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50D88" w14:textId="77777777" w:rsidR="00387474" w:rsidRDefault="00F40346" w:rsidP="00387474">
      <w:pPr>
        <w:pStyle w:val="Heading1"/>
        <w:jc w:val="center"/>
        <w:rPr>
          <w:rFonts w:ascii="Palatino Linotype" w:hAnsi="Palatino Linotype" w:cs="Times New Roman"/>
          <w:b/>
          <w:color w:val="auto"/>
          <w:sz w:val="28"/>
          <w:szCs w:val="28"/>
        </w:rPr>
      </w:pPr>
      <w:r w:rsidRPr="00F40346">
        <w:rPr>
          <w:rFonts w:ascii="Palatino Linotype" w:hAnsi="Palatino Linotype" w:cs="Times New Roman"/>
          <w:b/>
          <w:color w:val="auto"/>
          <w:sz w:val="28"/>
          <w:szCs w:val="28"/>
        </w:rPr>
        <w:t>RISKS AND REWARDS OF EXTERNSHIPS:</w:t>
      </w:r>
    </w:p>
    <w:p w14:paraId="28FA1247" w14:textId="19144F6A" w:rsidR="00896DC5" w:rsidRDefault="00F40346" w:rsidP="00387474">
      <w:pPr>
        <w:pStyle w:val="Heading1"/>
        <w:jc w:val="center"/>
        <w:rPr>
          <w:rFonts w:ascii="Palatino Linotype" w:hAnsi="Palatino Linotype" w:cs="Times New Roman"/>
          <w:b/>
          <w:color w:val="auto"/>
          <w:sz w:val="28"/>
          <w:szCs w:val="28"/>
        </w:rPr>
      </w:pPr>
      <w:r w:rsidRPr="00F40346">
        <w:rPr>
          <w:rFonts w:ascii="Palatino Linotype" w:hAnsi="Palatino Linotype" w:cs="Times New Roman"/>
          <w:b/>
          <w:color w:val="auto"/>
          <w:sz w:val="28"/>
          <w:szCs w:val="28"/>
        </w:rPr>
        <w:t xml:space="preserve"> EXPLORING GOALS AND METHODS</w:t>
      </w:r>
    </w:p>
    <w:p w14:paraId="3B374EFA" w14:textId="77777777" w:rsidR="00387474" w:rsidRPr="00387474" w:rsidRDefault="00387474" w:rsidP="00387474"/>
    <w:p w14:paraId="7D07767A" w14:textId="1C1A13FF" w:rsidR="003A35CA" w:rsidRPr="00F40346" w:rsidRDefault="003A35CA" w:rsidP="00F40346">
      <w:pPr>
        <w:spacing w:line="480" w:lineRule="auto"/>
        <w:rPr>
          <w:rFonts w:ascii="Palatino Linotype" w:hAnsi="Palatino Linotype" w:cs="Times New Roman"/>
          <w:b/>
          <w:sz w:val="28"/>
          <w:szCs w:val="28"/>
        </w:rPr>
      </w:pPr>
      <w:r w:rsidRPr="00F40346">
        <w:rPr>
          <w:rFonts w:ascii="Palatino Linotype" w:hAnsi="Palatino Linotype" w:cs="Times New Roman"/>
          <w:b/>
          <w:sz w:val="28"/>
          <w:szCs w:val="28"/>
        </w:rPr>
        <w:t>Linda F. Smith</w:t>
      </w:r>
      <w:r w:rsidR="00F5068D" w:rsidRPr="00F40346">
        <w:rPr>
          <w:rStyle w:val="FootnoteReference"/>
          <w:rFonts w:ascii="Palatino Linotype" w:hAnsi="Palatino Linotype" w:cs="Times New Roman"/>
          <w:b/>
          <w:sz w:val="28"/>
          <w:szCs w:val="28"/>
        </w:rPr>
        <w:footnoteReference w:customMarkFollows="1" w:id="1"/>
        <w:t>*</w:t>
      </w:r>
      <w:r w:rsidR="0044415B" w:rsidRPr="00F40346">
        <w:rPr>
          <w:rFonts w:ascii="Palatino Linotype" w:hAnsi="Palatino Linotype" w:cs="Times New Roman"/>
          <w:b/>
          <w:sz w:val="28"/>
          <w:szCs w:val="28"/>
        </w:rPr>
        <w:t>,</w:t>
      </w:r>
      <w:r w:rsidRPr="00F40346">
        <w:rPr>
          <w:rFonts w:ascii="Palatino Linotype" w:hAnsi="Palatino Linotype" w:cs="Times New Roman"/>
          <w:b/>
          <w:sz w:val="28"/>
          <w:szCs w:val="28"/>
        </w:rPr>
        <w:t xml:space="preserve"> Jeff Giddings</w:t>
      </w:r>
      <w:r w:rsidR="0044415B" w:rsidRPr="00F40346">
        <w:rPr>
          <w:rStyle w:val="FootnoteReference"/>
          <w:rFonts w:ascii="Palatino Linotype" w:hAnsi="Palatino Linotype" w:cs="Times New Roman"/>
          <w:b/>
          <w:sz w:val="28"/>
          <w:szCs w:val="28"/>
        </w:rPr>
        <w:footnoteReference w:customMarkFollows="1" w:id="2"/>
        <w:t>**</w:t>
      </w:r>
      <w:r w:rsidR="0044415B" w:rsidRPr="00F40346">
        <w:rPr>
          <w:rFonts w:ascii="Palatino Linotype" w:hAnsi="Palatino Linotype" w:cs="Times New Roman"/>
          <w:b/>
          <w:sz w:val="28"/>
          <w:szCs w:val="28"/>
        </w:rPr>
        <w:t>,</w:t>
      </w:r>
      <w:r w:rsidRPr="00F40346">
        <w:rPr>
          <w:rFonts w:ascii="Palatino Linotype" w:hAnsi="Palatino Linotype" w:cs="Times New Roman"/>
          <w:b/>
          <w:sz w:val="28"/>
          <w:szCs w:val="28"/>
        </w:rPr>
        <w:t xml:space="preserve"> Leah Wortham</w:t>
      </w:r>
      <w:r w:rsidR="0044415B" w:rsidRPr="00F40346">
        <w:rPr>
          <w:rStyle w:val="FootnoteReference"/>
          <w:rFonts w:ascii="Palatino Linotype" w:hAnsi="Palatino Linotype" w:cs="Times New Roman"/>
          <w:b/>
          <w:sz w:val="28"/>
          <w:szCs w:val="28"/>
        </w:rPr>
        <w:footnoteReference w:customMarkFollows="1" w:id="3"/>
        <w:t>***</w:t>
      </w:r>
      <w:r w:rsidR="0044415B" w:rsidRPr="00F40346">
        <w:rPr>
          <w:rStyle w:val="FootnoteReference"/>
          <w:rFonts w:ascii="Palatino Linotype" w:hAnsi="Palatino Linotype" w:cs="Times New Roman"/>
          <w:b/>
          <w:sz w:val="28"/>
          <w:szCs w:val="28"/>
        </w:rPr>
        <w:footnoteReference w:customMarkFollows="1" w:id="4"/>
        <w:t>+</w:t>
      </w:r>
    </w:p>
    <w:p w14:paraId="73971C7A" w14:textId="77777777" w:rsidR="0086090A" w:rsidRPr="00F40346" w:rsidRDefault="0086090A" w:rsidP="00F40346">
      <w:pPr>
        <w:spacing w:line="480" w:lineRule="auto"/>
        <w:rPr>
          <w:rFonts w:ascii="Palatino Linotype" w:eastAsia="Times New Roman" w:hAnsi="Palatino Linotype" w:cs="Times New Roman"/>
          <w:i/>
          <w:szCs w:val="24"/>
        </w:rPr>
      </w:pPr>
    </w:p>
    <w:p w14:paraId="1A3EA233" w14:textId="7C78364A" w:rsidR="00D149F1" w:rsidRPr="00F40346" w:rsidRDefault="00D149F1" w:rsidP="00F40346">
      <w:pPr>
        <w:shd w:val="clear" w:color="auto" w:fill="FFFFFF"/>
        <w:spacing w:line="480" w:lineRule="auto"/>
        <w:rPr>
          <w:rFonts w:ascii="Palatino Linotype" w:eastAsia="Times New Roman" w:hAnsi="Palatino Linotype" w:cs="Times New Roman"/>
          <w:b/>
          <w:szCs w:val="24"/>
          <w:lang w:val="en-AU" w:eastAsia="en-AU"/>
        </w:rPr>
      </w:pPr>
      <w:r w:rsidRPr="00F40346">
        <w:rPr>
          <w:rFonts w:ascii="Palatino Linotype" w:eastAsia="Times New Roman" w:hAnsi="Palatino Linotype" w:cs="Times New Roman"/>
          <w:b/>
          <w:color w:val="222222"/>
          <w:szCs w:val="24"/>
          <w:lang w:val="en-AU" w:eastAsia="en-AU"/>
        </w:rPr>
        <w:t>INTRODUCTION</w:t>
      </w:r>
    </w:p>
    <w:p w14:paraId="47BCC1BC" w14:textId="5C1131D2" w:rsidR="00E409E2" w:rsidRPr="00F40346" w:rsidRDefault="00A5616F"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This article grew from a presentation relating externship clinical programs to the theme of the July 2016 </w:t>
      </w:r>
      <w:r w:rsidRPr="00F40346">
        <w:rPr>
          <w:rFonts w:ascii="Palatino Linotype" w:hAnsi="Palatino Linotype" w:cs="Times New Roman"/>
          <w:smallCaps/>
          <w:szCs w:val="24"/>
        </w:rPr>
        <w:t>International Journal of Clinical Legal Education</w:t>
      </w:r>
      <w:r w:rsidRPr="00F40346">
        <w:rPr>
          <w:rFonts w:ascii="Palatino Linotype" w:hAnsi="Palatino Linotype" w:cs="Times New Roman"/>
          <w:szCs w:val="24"/>
        </w:rPr>
        <w:t xml:space="preserve"> and Association of Canadian Legal Education conference:</w:t>
      </w:r>
      <w:r w:rsidR="003D2C5F" w:rsidRPr="00F40346">
        <w:rPr>
          <w:rFonts w:ascii="Palatino Linotype" w:hAnsi="Palatino Linotype" w:cs="Times New Roman"/>
          <w:szCs w:val="24"/>
        </w:rPr>
        <w:t xml:space="preserve"> </w:t>
      </w:r>
      <w:r w:rsidRPr="00F40346">
        <w:rPr>
          <w:rFonts w:ascii="Palatino Linotype" w:hAnsi="Palatino Linotype" w:cs="Times New Roman"/>
          <w:szCs w:val="24"/>
        </w:rPr>
        <w:t xml:space="preserve"> </w:t>
      </w:r>
      <w:r w:rsidRPr="00F40346">
        <w:rPr>
          <w:rFonts w:ascii="Palatino Linotype" w:hAnsi="Palatino Linotype" w:cs="Times New Roman"/>
          <w:i/>
          <w:szCs w:val="24"/>
        </w:rPr>
        <w:t xml:space="preserve">The Risks and Rewards of Clinical Legal Education Programmes. </w:t>
      </w:r>
      <w:r w:rsidRPr="00F40346">
        <w:rPr>
          <w:rFonts w:ascii="Palatino Linotype" w:hAnsi="Palatino Linotype" w:cs="Times New Roman"/>
          <w:szCs w:val="24"/>
        </w:rPr>
        <w:t>Externships or field placement programs involve students placed away from the law school and supervised by a person who is not employed by the law school.  Externships offer many potential rewards for students</w:t>
      </w:r>
      <w:r w:rsidRPr="00F40346">
        <w:rPr>
          <w:rFonts w:ascii="Palatino Linotype" w:eastAsia="Times New Roman" w:hAnsi="Palatino Linotype"/>
          <w:szCs w:val="24"/>
        </w:rPr>
        <w:t xml:space="preserve"> </w:t>
      </w:r>
      <w:r w:rsidR="00896EB7" w:rsidRPr="00F40346">
        <w:rPr>
          <w:rFonts w:ascii="Palatino Linotype" w:eastAsia="Times New Roman" w:hAnsi="Palatino Linotype"/>
          <w:szCs w:val="24"/>
        </w:rPr>
        <w:t>as well as</w:t>
      </w:r>
      <w:r w:rsidRPr="00F40346">
        <w:rPr>
          <w:rFonts w:ascii="Palatino Linotype" w:hAnsi="Palatino Linotype" w:cs="Times New Roman"/>
          <w:szCs w:val="24"/>
        </w:rPr>
        <w:t xml:space="preserve"> other stakeholders, including especially community institutions.  But there are also risks</w:t>
      </w:r>
      <w:r w:rsidR="00413858" w:rsidRPr="00F40346">
        <w:rPr>
          <w:rFonts w:ascii="Palatino Linotype" w:hAnsi="Palatino Linotype" w:cs="Times New Roman"/>
          <w:szCs w:val="24"/>
        </w:rPr>
        <w:t>—</w:t>
      </w:r>
      <w:r w:rsidRPr="00F40346">
        <w:rPr>
          <w:rFonts w:ascii="Palatino Linotype" w:hAnsi="Palatino Linotype" w:cs="Times New Roman"/>
          <w:szCs w:val="24"/>
        </w:rPr>
        <w:t xml:space="preserve">risks that the externship will be expected to accomplish too much with too few resources or that the externship program will be held back in the potential for </w:t>
      </w:r>
      <w:r w:rsidRPr="00F40346">
        <w:rPr>
          <w:rFonts w:ascii="Palatino Linotype" w:hAnsi="Palatino Linotype" w:cs="Times New Roman"/>
          <w:szCs w:val="24"/>
        </w:rPr>
        <w:lastRenderedPageBreak/>
        <w:t>contribution due to inadequate imagination or planning.</w:t>
      </w:r>
      <w:r w:rsidR="003A3683" w:rsidRPr="00F40346">
        <w:rPr>
          <w:rFonts w:ascii="Palatino Linotype" w:hAnsi="Palatino Linotype" w:cs="Times New Roman"/>
          <w:szCs w:val="24"/>
        </w:rPr>
        <w:t xml:space="preserve"> </w:t>
      </w:r>
      <w:r w:rsidR="00E409E2" w:rsidRPr="00F40346">
        <w:rPr>
          <w:rFonts w:ascii="Palatino Linotype" w:hAnsi="Palatino Linotype" w:cs="Times New Roman"/>
          <w:szCs w:val="24"/>
        </w:rPr>
        <w:t>This article seeks to encourage ext</w:t>
      </w:r>
      <w:r w:rsidR="003A3683" w:rsidRPr="00F40346">
        <w:rPr>
          <w:rFonts w:ascii="Palatino Linotype" w:hAnsi="Palatino Linotype" w:cs="Times New Roman"/>
          <w:szCs w:val="24"/>
        </w:rPr>
        <w:t>erns</w:t>
      </w:r>
      <w:r w:rsidR="00383FB1" w:rsidRPr="00F40346">
        <w:rPr>
          <w:rFonts w:ascii="Palatino Linotype" w:hAnsi="Palatino Linotype" w:cs="Times New Roman"/>
          <w:szCs w:val="24"/>
        </w:rPr>
        <w:t xml:space="preserve">hip teachers to put aside </w:t>
      </w:r>
      <w:r w:rsidR="003A3683" w:rsidRPr="00F40346">
        <w:rPr>
          <w:rFonts w:ascii="Palatino Linotype" w:hAnsi="Palatino Linotype" w:cs="Times New Roman"/>
          <w:szCs w:val="24"/>
        </w:rPr>
        <w:t>assumptions that are sometimes made about how externship programs “should be” and consider some alternative approaches to course design and possible goals for externship courses.</w:t>
      </w:r>
    </w:p>
    <w:p w14:paraId="6695AC28" w14:textId="4FF31591" w:rsidR="006C6D3D" w:rsidRPr="00F40346" w:rsidRDefault="00A5616F"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Skills development often is assumed to be a primary goal for all clinical programs, including externships. </w:t>
      </w:r>
      <w:r w:rsidR="003D2C5F" w:rsidRPr="00F40346">
        <w:rPr>
          <w:rFonts w:ascii="Palatino Linotype" w:hAnsi="Palatino Linotype" w:cs="Times New Roman"/>
          <w:szCs w:val="24"/>
        </w:rPr>
        <w:t xml:space="preserve"> </w:t>
      </w:r>
      <w:r w:rsidRPr="00F40346">
        <w:rPr>
          <w:rFonts w:ascii="Palatino Linotype" w:hAnsi="Palatino Linotype" w:cs="Times New Roman"/>
          <w:szCs w:val="24"/>
        </w:rPr>
        <w:t>Similarly, clinical education often is equated with  encouraging student commitment to social justice, and some assume that all forms of clinical education including externships should be directed toward this end.</w:t>
      </w:r>
      <w:r w:rsidR="006C6D3D" w:rsidRPr="00F40346">
        <w:rPr>
          <w:rStyle w:val="FootnoteReference"/>
          <w:rFonts w:ascii="Palatino Linotype" w:hAnsi="Palatino Linotype" w:cs="Times New Roman"/>
          <w:szCs w:val="24"/>
        </w:rPr>
        <w:footnoteReference w:id="5"/>
      </w:r>
      <w:r w:rsidR="006C6D3D" w:rsidRPr="00F40346">
        <w:rPr>
          <w:rFonts w:ascii="Palatino Linotype" w:hAnsi="Palatino Linotype" w:cs="Times New Roman"/>
          <w:szCs w:val="24"/>
        </w:rPr>
        <w:t xml:space="preserve">  This article argues that broad characterizations of clinical programs generally, and externship programs specifically</w:t>
      </w:r>
      <w:r w:rsidR="006F026C" w:rsidRPr="00F40346">
        <w:rPr>
          <w:rFonts w:ascii="Palatino Linotype" w:hAnsi="Palatino Linotype" w:cs="Times New Roman"/>
          <w:szCs w:val="24"/>
        </w:rPr>
        <w:t>,</w:t>
      </w:r>
      <w:r w:rsidR="006C6D3D" w:rsidRPr="00F40346">
        <w:rPr>
          <w:rFonts w:ascii="Palatino Linotype" w:hAnsi="Palatino Linotype" w:cs="Times New Roman"/>
          <w:szCs w:val="24"/>
        </w:rPr>
        <w:t xml:space="preserve"> as skills development or promoting social justice </w:t>
      </w:r>
      <w:r w:rsidR="006F026C" w:rsidRPr="00F40346">
        <w:rPr>
          <w:rFonts w:ascii="Palatino Linotype" w:hAnsi="Palatino Linotype" w:cs="Times New Roman"/>
          <w:szCs w:val="24"/>
        </w:rPr>
        <w:t>can</w:t>
      </w:r>
      <w:r w:rsidR="006C6D3D" w:rsidRPr="00F40346">
        <w:rPr>
          <w:rFonts w:ascii="Palatino Linotype" w:hAnsi="Palatino Linotype" w:cs="Times New Roman"/>
          <w:szCs w:val="24"/>
        </w:rPr>
        <w:t xml:space="preserve"> obscure the need to look more specifically at what a particular course</w:t>
      </w:r>
      <w:r w:rsidR="006F026C" w:rsidRPr="00F40346">
        <w:rPr>
          <w:rFonts w:ascii="Palatino Linotype" w:hAnsi="Palatino Linotype" w:cs="Times New Roman"/>
          <w:szCs w:val="24"/>
        </w:rPr>
        <w:t xml:space="preserve"> </w:t>
      </w:r>
      <w:r w:rsidR="006C6D3D" w:rsidRPr="00F40346">
        <w:rPr>
          <w:rFonts w:ascii="Palatino Linotype" w:hAnsi="Palatino Linotype" w:cs="Times New Roman"/>
          <w:szCs w:val="24"/>
        </w:rPr>
        <w:t xml:space="preserve">seeks to achieve with regard to student learning and motivation.  We </w:t>
      </w:r>
      <w:r w:rsidR="00BD2EFE" w:rsidRPr="00F40346">
        <w:rPr>
          <w:rFonts w:ascii="Palatino Linotype" w:hAnsi="Palatino Linotype" w:cs="Times New Roman"/>
          <w:szCs w:val="24"/>
        </w:rPr>
        <w:t>argue to</w:t>
      </w:r>
      <w:r w:rsidR="006F026C" w:rsidRPr="00F40346">
        <w:rPr>
          <w:rFonts w:ascii="Palatino Linotype" w:hAnsi="Palatino Linotype" w:cs="Times New Roman"/>
          <w:szCs w:val="24"/>
        </w:rPr>
        <w:t xml:space="preserve"> put aside broad characterizations of goals for externship programs and instead to focus on intentional design working back from desired outcomes for students </w:t>
      </w:r>
      <w:r w:rsidR="00BD2EFE" w:rsidRPr="00F40346">
        <w:rPr>
          <w:rFonts w:ascii="Palatino Linotype" w:hAnsi="Palatino Linotype" w:cs="Times New Roman"/>
          <w:szCs w:val="24"/>
        </w:rPr>
        <w:t xml:space="preserve">and </w:t>
      </w:r>
      <w:r w:rsidR="006F026C" w:rsidRPr="00F40346">
        <w:rPr>
          <w:rFonts w:ascii="Palatino Linotype" w:hAnsi="Palatino Linotype" w:cs="Times New Roman"/>
          <w:szCs w:val="24"/>
        </w:rPr>
        <w:t xml:space="preserve">considering </w:t>
      </w:r>
      <w:r w:rsidR="006C6D3D" w:rsidRPr="00F40346">
        <w:rPr>
          <w:rFonts w:ascii="Palatino Linotype" w:hAnsi="Palatino Linotype" w:cs="Times New Roman"/>
          <w:szCs w:val="24"/>
        </w:rPr>
        <w:t xml:space="preserve">the particular law school student </w:t>
      </w:r>
      <w:r w:rsidR="006F026C" w:rsidRPr="00F40346">
        <w:rPr>
          <w:rFonts w:ascii="Palatino Linotype" w:hAnsi="Palatino Linotype" w:cs="Times New Roman"/>
          <w:szCs w:val="24"/>
        </w:rPr>
        <w:t>population,</w:t>
      </w:r>
      <w:r w:rsidR="006C6D3D" w:rsidRPr="00F40346">
        <w:rPr>
          <w:rFonts w:ascii="Palatino Linotype" w:hAnsi="Palatino Linotype" w:cs="Times New Roman"/>
          <w:szCs w:val="24"/>
        </w:rPr>
        <w:t xml:space="preserve"> community in which the law school is situated, and the externship courses’ place in the overall curricul</w:t>
      </w:r>
      <w:r w:rsidR="00BC6A12" w:rsidRPr="00F40346">
        <w:rPr>
          <w:rFonts w:ascii="Palatino Linotype" w:hAnsi="Palatino Linotype" w:cs="Times New Roman"/>
          <w:szCs w:val="24"/>
        </w:rPr>
        <w:t>um.</w:t>
      </w:r>
    </w:p>
    <w:p w14:paraId="740A6199" w14:textId="60F20AC9"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Part I discusses intentional design.  While “skills” acquisition may be a desired outcome, a course should be specific about what “skills” students should acquire and choose design features in light of those objectives.  Part II. A. discusses the wide-ranging conceptions of “skills” employed by various regulators and commentators on </w:t>
      </w:r>
      <w:r w:rsidRPr="00F40346">
        <w:rPr>
          <w:rFonts w:ascii="Palatino Linotype" w:hAnsi="Palatino Linotype" w:cs="Times New Roman"/>
          <w:szCs w:val="24"/>
        </w:rPr>
        <w:lastRenderedPageBreak/>
        <w:t>legal education and how the malleability of the concept may make it less than useful without careful delineation of a particular course’s desired outcomes.  Part II. B. develops an “intentional” approach to design of externship programs considering how placement type, supervisor selection, division of responsibility between law school externship teacher and site supervisor, classroom component topics, and teaching methods might differ among two types of externships termed “tailor-made” and “retail” externships.</w:t>
      </w:r>
    </w:p>
    <w:p w14:paraId="5A0D317B" w14:textId="769D4331" w:rsidR="00AB3B69"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Many discussions of clinical education assume commitment to social justice is a necessary or overarching goal.  With this assumption, some externship programs take as a given that only placement in non-profit agencies should be permissible</w:t>
      </w:r>
      <w:r w:rsidR="001679B3" w:rsidRPr="00F40346">
        <w:rPr>
          <w:rFonts w:ascii="Palatino Linotype" w:hAnsi="Palatino Linotype" w:cs="Times New Roman"/>
          <w:szCs w:val="24"/>
        </w:rPr>
        <w:t>.</w:t>
      </w:r>
      <w:r w:rsidRPr="00F40346">
        <w:rPr>
          <w:rFonts w:ascii="Palatino Linotype" w:hAnsi="Palatino Linotype" w:cs="Times New Roman"/>
          <w:szCs w:val="24"/>
        </w:rPr>
        <w:t xml:space="preserve"> </w:t>
      </w:r>
      <w:r w:rsidR="00B22312" w:rsidRPr="00F40346">
        <w:rPr>
          <w:rFonts w:ascii="Palatino Linotype" w:hAnsi="Palatino Linotype" w:cs="Times New Roman"/>
          <w:szCs w:val="24"/>
        </w:rPr>
        <w:t>I</w:t>
      </w:r>
      <w:r w:rsidR="00F35F18" w:rsidRPr="00F40346">
        <w:rPr>
          <w:rFonts w:ascii="Palatino Linotype" w:hAnsi="Palatino Linotype" w:cs="Times New Roman"/>
          <w:szCs w:val="24"/>
        </w:rPr>
        <w:t xml:space="preserve">n doing so though, </w:t>
      </w:r>
      <w:r w:rsidRPr="00F40346">
        <w:rPr>
          <w:rFonts w:ascii="Palatino Linotype" w:hAnsi="Palatino Linotype" w:cs="Times New Roman"/>
          <w:szCs w:val="24"/>
        </w:rPr>
        <w:t xml:space="preserve">there </w:t>
      </w:r>
      <w:r w:rsidR="00F35F18" w:rsidRPr="00F40346">
        <w:rPr>
          <w:rFonts w:ascii="Palatino Linotype" w:hAnsi="Palatino Linotype" w:cs="Times New Roman"/>
          <w:szCs w:val="24"/>
        </w:rPr>
        <w:t>often</w:t>
      </w:r>
      <w:r w:rsidRPr="00F40346">
        <w:rPr>
          <w:rFonts w:ascii="Palatino Linotype" w:hAnsi="Palatino Linotype" w:cs="Times New Roman"/>
          <w:szCs w:val="24"/>
        </w:rPr>
        <w:t xml:space="preserve"> </w:t>
      </w:r>
      <w:r w:rsidR="00BF29C9" w:rsidRPr="00F40346">
        <w:rPr>
          <w:rFonts w:ascii="Palatino Linotype" w:hAnsi="Palatino Linotype" w:cs="Times New Roman"/>
          <w:szCs w:val="24"/>
        </w:rPr>
        <w:t xml:space="preserve">is </w:t>
      </w:r>
      <w:r w:rsidRPr="00F40346">
        <w:rPr>
          <w:rFonts w:ascii="Palatino Linotype" w:hAnsi="Palatino Linotype" w:cs="Times New Roman"/>
          <w:szCs w:val="24"/>
        </w:rPr>
        <w:t>little</w:t>
      </w:r>
      <w:r w:rsidR="00BF29C9" w:rsidRPr="00F40346">
        <w:rPr>
          <w:rFonts w:ascii="Palatino Linotype" w:hAnsi="Palatino Linotype" w:cs="Times New Roman"/>
          <w:szCs w:val="24"/>
        </w:rPr>
        <w:t xml:space="preserve"> </w:t>
      </w:r>
      <w:r w:rsidRPr="00F40346">
        <w:rPr>
          <w:rFonts w:ascii="Palatino Linotype" w:hAnsi="Palatino Linotype" w:cs="Times New Roman"/>
          <w:szCs w:val="24"/>
        </w:rPr>
        <w:t xml:space="preserve">explicit </w:t>
      </w:r>
      <w:r w:rsidR="006F026C" w:rsidRPr="00F40346">
        <w:rPr>
          <w:rFonts w:ascii="Palatino Linotype" w:hAnsi="Palatino Linotype" w:cs="Times New Roman"/>
          <w:szCs w:val="24"/>
        </w:rPr>
        <w:t xml:space="preserve">consideration of </w:t>
      </w:r>
      <w:r w:rsidRPr="00F40346">
        <w:rPr>
          <w:rFonts w:ascii="Palatino Linotype" w:hAnsi="Palatino Linotype" w:cs="Times New Roman"/>
          <w:szCs w:val="24"/>
        </w:rPr>
        <w:t>how one would know students’ commitment to social justice has deepened and what methods, aside from the design feature of placement type, are directed toward that outcome.</w:t>
      </w:r>
      <w:r w:rsidR="00383FB1" w:rsidRPr="00F40346">
        <w:rPr>
          <w:rFonts w:ascii="Palatino Linotype" w:hAnsi="Palatino Linotype" w:cs="Times New Roman"/>
          <w:szCs w:val="24"/>
        </w:rPr>
        <w:t xml:space="preserve"> </w:t>
      </w:r>
      <w:r w:rsidRPr="00F40346">
        <w:rPr>
          <w:rFonts w:ascii="Palatino Linotype" w:hAnsi="Palatino Linotype" w:cs="Times New Roman"/>
          <w:szCs w:val="24"/>
        </w:rPr>
        <w:t xml:space="preserve">Part III of this article considers </w:t>
      </w:r>
      <w:r w:rsidR="0075552A" w:rsidRPr="00F40346">
        <w:rPr>
          <w:rFonts w:ascii="Palatino Linotype" w:hAnsi="Palatino Linotype" w:cs="Times New Roman"/>
          <w:szCs w:val="24"/>
        </w:rPr>
        <w:t>complementary</w:t>
      </w:r>
      <w:r w:rsidRPr="00F40346">
        <w:rPr>
          <w:rFonts w:ascii="Palatino Linotype" w:hAnsi="Palatino Linotype" w:cs="Times New Roman"/>
          <w:szCs w:val="24"/>
        </w:rPr>
        <w:t xml:space="preserve"> values toward which a program might be directed: formation of professional identity and institutional critique.  An externship course could be directed toward helping students consider how to act consistent with their vision of the kind of lawyers they wish to be; it could critically assess how institutions function and what lawyers do within them.  </w:t>
      </w:r>
      <w:r w:rsidR="00F203F6" w:rsidRPr="00F40346">
        <w:rPr>
          <w:rFonts w:ascii="Palatino Linotype" w:hAnsi="Palatino Linotype" w:cs="Times New Roman"/>
          <w:szCs w:val="24"/>
        </w:rPr>
        <w:t>This part argues</w:t>
      </w:r>
      <w:r w:rsidRPr="00F40346">
        <w:rPr>
          <w:rFonts w:ascii="Palatino Linotype" w:hAnsi="Palatino Linotype" w:cs="Times New Roman"/>
          <w:szCs w:val="24"/>
        </w:rPr>
        <w:t xml:space="preserve"> that a useful design frame toward these goals is the “micro” and “macro” exploration of values.  </w:t>
      </w:r>
    </w:p>
    <w:p w14:paraId="67F4BAD6" w14:textId="0A27976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Micro examination of values refers to definition of the students’ own professional identity and desired course for their legal careers.  This may be achieved through working toward learning outcomes like enhanced student ability to learn from </w:t>
      </w:r>
      <w:r w:rsidRPr="00F40346">
        <w:rPr>
          <w:rFonts w:ascii="Palatino Linotype" w:hAnsi="Palatino Linotype" w:cs="Times New Roman"/>
          <w:szCs w:val="24"/>
        </w:rPr>
        <w:lastRenderedPageBreak/>
        <w:t>experience, helping students establish patterns of intrinsic motivation and self-direction to carry through to their careers, and assisting them in deciding the kind of lawyer they want to be both in the sense of particular types of jobs and the broader sense of professional identity.</w:t>
      </w:r>
      <w:r w:rsidRPr="00F40346">
        <w:rPr>
          <w:rStyle w:val="FootnoteReference"/>
          <w:rFonts w:ascii="Palatino Linotype" w:hAnsi="Palatino Linotype" w:cs="Times New Roman"/>
          <w:szCs w:val="24"/>
        </w:rPr>
        <w:footnoteReference w:id="6"/>
      </w:r>
      <w:r w:rsidRPr="00F40346" w:rsidDel="00BF7B29">
        <w:rPr>
          <w:rFonts w:ascii="Palatino Linotype" w:hAnsi="Palatino Linotype" w:cs="Times New Roman"/>
          <w:szCs w:val="24"/>
        </w:rPr>
        <w:t xml:space="preserve"> </w:t>
      </w:r>
      <w:r w:rsidRPr="00F40346">
        <w:rPr>
          <w:rFonts w:ascii="Palatino Linotype" w:hAnsi="Palatino Linotype" w:cs="Times New Roman"/>
          <w:szCs w:val="24"/>
        </w:rPr>
        <w:t xml:space="preserve"> Macro exploration refers to the motivation to and capacity for institutional critique and the way lawyers function in the legal system and society more generally—carrying out the “public citizen” role referred to in the Preamble of the ABA Model Rules of Professional Conduct.  Part III’s discussion of macro values explores externships’ potential to </w:t>
      </w:r>
      <w:r w:rsidRPr="00F40346">
        <w:rPr>
          <w:rFonts w:ascii="Palatino Linotype" w:hAnsi="Palatino Linotype" w:cs="Times New Roman"/>
          <w:szCs w:val="24"/>
          <w:lang w:val="en-AU"/>
        </w:rPr>
        <w:t>help students understand the dynamics and requirements of law-related workplaces</w:t>
      </w:r>
      <w:r w:rsidRPr="00F40346">
        <w:rPr>
          <w:rStyle w:val="FootnoteReference"/>
          <w:rFonts w:ascii="Palatino Linotype" w:hAnsi="Palatino Linotype" w:cs="Times New Roman"/>
          <w:szCs w:val="24"/>
          <w:lang w:val="en-AU"/>
        </w:rPr>
        <w:footnoteReference w:id="7"/>
      </w:r>
      <w:r w:rsidRPr="00F40346">
        <w:rPr>
          <w:rFonts w:ascii="Palatino Linotype" w:hAnsi="Palatino Linotype" w:cs="Times New Roman"/>
          <w:szCs w:val="24"/>
          <w:lang w:val="en-AU"/>
        </w:rPr>
        <w:t xml:space="preserve"> and consider critically whether and how lawyers’ behaviour promotes or hinders the achievement of justice.  Stuckey </w:t>
      </w:r>
      <w:r w:rsidRPr="00F40346">
        <w:rPr>
          <w:rFonts w:ascii="Palatino Linotype" w:hAnsi="Palatino Linotype" w:cs="Times New Roman"/>
          <w:i/>
          <w:szCs w:val="24"/>
          <w:lang w:val="en-AU"/>
        </w:rPr>
        <w:t>et al</w:t>
      </w:r>
      <w:r w:rsidRPr="00F40346">
        <w:rPr>
          <w:rFonts w:ascii="Palatino Linotype" w:hAnsi="Palatino Linotype" w:cs="Times New Roman"/>
          <w:szCs w:val="24"/>
          <w:lang w:val="en-AU"/>
        </w:rPr>
        <w:t xml:space="preserve"> observed that externships are well suited to enable students to engage in critique of legal institutions and practice but </w:t>
      </w:r>
      <w:r w:rsidRPr="00F40346">
        <w:rPr>
          <w:rFonts w:ascii="Palatino Linotype" w:hAnsi="Palatino Linotype" w:cs="Times New Roman"/>
          <w:szCs w:val="24"/>
        </w:rPr>
        <w:t>observed “What is surprising is the apparent absence of our collective appreciation of practice observation courses as a forum for studying the values, behaviors, attitudes, and ethical requirements of lawyers (professionalism).”</w:t>
      </w:r>
      <w:r w:rsidRPr="00F40346">
        <w:rPr>
          <w:rStyle w:val="FootnoteReference"/>
          <w:rFonts w:ascii="Palatino Linotype" w:hAnsi="Palatino Linotype" w:cs="Times New Roman"/>
          <w:szCs w:val="24"/>
        </w:rPr>
        <w:footnoteReference w:id="8"/>
      </w:r>
    </w:p>
    <w:p w14:paraId="073F5C66" w14:textId="4659D723"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In summary, the article urges moving past general references to “skills development” and “promoting social justice” to more specific articulation of the outcomes the </w:t>
      </w:r>
      <w:r w:rsidRPr="00F40346">
        <w:rPr>
          <w:rFonts w:ascii="Palatino Linotype" w:hAnsi="Palatino Linotype" w:cs="Times New Roman"/>
          <w:szCs w:val="24"/>
        </w:rPr>
        <w:lastRenderedPageBreak/>
        <w:t>program seeks with regard to student motivation and capabilities and aligning design features to those outcomes.  The article argues that a component of professional identity formation should be the capacity for and motivation to engage in institutional critique and work for constructive change consistent with the public citizen role.  The concepts of micro and macro exploration of values are offered as a conceptual framework for learning objectives that promote social justice through students’ enhanced competency and motivation toward that goal.</w:t>
      </w:r>
    </w:p>
    <w:p w14:paraId="6FE149FA" w14:textId="6269A822" w:rsidR="006C6D3D" w:rsidRPr="00F40346" w:rsidRDefault="006C6D3D" w:rsidP="00F40346">
      <w:pPr>
        <w:shd w:val="clear" w:color="auto" w:fill="FFFFFF"/>
        <w:spacing w:line="480" w:lineRule="auto"/>
        <w:jc w:val="both"/>
        <w:rPr>
          <w:rFonts w:ascii="Palatino Linotype" w:eastAsia="Times New Roman" w:hAnsi="Palatino Linotype" w:cs="Times New Roman"/>
          <w:b/>
          <w:color w:val="222222"/>
          <w:szCs w:val="24"/>
          <w:lang w:val="en-AU" w:eastAsia="en-AU"/>
        </w:rPr>
      </w:pPr>
    </w:p>
    <w:p w14:paraId="30DFF8A7" w14:textId="17DD5388" w:rsidR="006C6D3D" w:rsidRPr="00F40346" w:rsidRDefault="006C6D3D" w:rsidP="00F40346">
      <w:pPr>
        <w:shd w:val="clear" w:color="auto" w:fill="FFFFFF"/>
        <w:spacing w:line="480" w:lineRule="auto"/>
        <w:ind w:left="547" w:hanging="547"/>
        <w:jc w:val="both"/>
        <w:rPr>
          <w:rFonts w:ascii="Palatino Linotype" w:eastAsia="Times New Roman" w:hAnsi="Palatino Linotype" w:cs="Times New Roman"/>
          <w:b/>
          <w:color w:val="222222"/>
          <w:szCs w:val="24"/>
          <w:lang w:val="en-AU" w:eastAsia="en-AU"/>
        </w:rPr>
      </w:pPr>
      <w:r w:rsidRPr="00F40346">
        <w:rPr>
          <w:rFonts w:ascii="Palatino Linotype" w:eastAsia="Times New Roman" w:hAnsi="Palatino Linotype" w:cs="Times New Roman"/>
          <w:b/>
          <w:color w:val="222222"/>
          <w:szCs w:val="24"/>
          <w:lang w:val="en-AU" w:eastAsia="en-AU"/>
        </w:rPr>
        <w:t>I.</w:t>
      </w:r>
      <w:r w:rsidRPr="00F40346">
        <w:rPr>
          <w:rFonts w:ascii="Palatino Linotype" w:eastAsia="Times New Roman" w:hAnsi="Palatino Linotype" w:cs="Times New Roman"/>
          <w:b/>
          <w:color w:val="222222"/>
          <w:szCs w:val="24"/>
          <w:lang w:val="en-AU" w:eastAsia="en-AU"/>
        </w:rPr>
        <w:tab/>
        <w:t>INTENTIONAL DESIGN</w:t>
      </w:r>
    </w:p>
    <w:p w14:paraId="6AC69202" w14:textId="5C946005" w:rsidR="004E2453" w:rsidRPr="00F40346" w:rsidRDefault="00D17703" w:rsidP="00F40346">
      <w:pPr>
        <w:shd w:val="clear" w:color="auto" w:fill="FFFFFF"/>
        <w:spacing w:line="480" w:lineRule="auto"/>
        <w:jc w:val="both"/>
        <w:rPr>
          <w:rFonts w:ascii="Palatino Linotype" w:hAnsi="Palatino Linotype" w:cs="Times New Roman"/>
          <w:color w:val="222222"/>
          <w:szCs w:val="24"/>
          <w:shd w:val="clear" w:color="auto" w:fill="FFFFFF"/>
        </w:rPr>
      </w:pPr>
      <w:r w:rsidRPr="00F40346">
        <w:rPr>
          <w:rFonts w:ascii="Palatino Linotype" w:hAnsi="Palatino Linotype" w:cs="Times New Roman"/>
          <w:color w:val="222222"/>
          <w:szCs w:val="24"/>
          <w:shd w:val="clear" w:color="auto" w:fill="FFFFFF"/>
        </w:rPr>
        <w:t xml:space="preserve">As will be discussed in Part II, a range of </w:t>
      </w:r>
      <w:r w:rsidR="00FB1008" w:rsidRPr="00F40346">
        <w:rPr>
          <w:rFonts w:ascii="Palatino Linotype" w:hAnsi="Palatino Linotype" w:cs="Times New Roman"/>
          <w:color w:val="222222"/>
          <w:szCs w:val="24"/>
          <w:shd w:val="clear" w:color="auto" w:fill="FFFFFF"/>
        </w:rPr>
        <w:t xml:space="preserve">national legal education regulatory schemes </w:t>
      </w:r>
      <w:r w:rsidRPr="00F40346">
        <w:rPr>
          <w:rFonts w:ascii="Palatino Linotype" w:hAnsi="Palatino Linotype" w:cs="Times New Roman"/>
          <w:color w:val="222222"/>
          <w:szCs w:val="24"/>
          <w:shd w:val="clear" w:color="auto" w:fill="FFFFFF"/>
        </w:rPr>
        <w:t>are</w:t>
      </w:r>
      <w:r w:rsidR="00FB1008" w:rsidRPr="00F40346">
        <w:rPr>
          <w:rFonts w:ascii="Palatino Linotype" w:hAnsi="Palatino Linotype" w:cs="Times New Roman"/>
          <w:color w:val="222222"/>
          <w:szCs w:val="24"/>
          <w:shd w:val="clear" w:color="auto" w:fill="FFFFFF"/>
        </w:rPr>
        <w:t xml:space="preserve"> converg</w:t>
      </w:r>
      <w:r w:rsidRPr="00F40346">
        <w:rPr>
          <w:rFonts w:ascii="Palatino Linotype" w:hAnsi="Palatino Linotype" w:cs="Times New Roman"/>
          <w:color w:val="222222"/>
          <w:szCs w:val="24"/>
          <w:shd w:val="clear" w:color="auto" w:fill="FFFFFF"/>
        </w:rPr>
        <w:t>ing</w:t>
      </w:r>
      <w:r w:rsidR="00FB1008" w:rsidRPr="00F40346">
        <w:rPr>
          <w:rFonts w:ascii="Palatino Linotype" w:hAnsi="Palatino Linotype" w:cs="Times New Roman"/>
          <w:color w:val="222222"/>
          <w:szCs w:val="24"/>
          <w:shd w:val="clear" w:color="auto" w:fill="FFFFFF"/>
        </w:rPr>
        <w:t xml:space="preserve"> in </w:t>
      </w:r>
      <w:r w:rsidRPr="00F40346">
        <w:rPr>
          <w:rFonts w:ascii="Palatino Linotype" w:hAnsi="Palatino Linotype" w:cs="Times New Roman"/>
          <w:color w:val="222222"/>
          <w:szCs w:val="24"/>
          <w:shd w:val="clear" w:color="auto" w:fill="FFFFFF"/>
        </w:rPr>
        <w:t xml:space="preserve">their use of </w:t>
      </w:r>
      <w:r w:rsidR="00FB1008" w:rsidRPr="00F40346">
        <w:rPr>
          <w:rFonts w:ascii="Palatino Linotype" w:hAnsi="Palatino Linotype" w:cs="Times New Roman"/>
          <w:color w:val="222222"/>
          <w:szCs w:val="24"/>
          <w:shd w:val="clear" w:color="auto" w:fill="FFFFFF"/>
        </w:rPr>
        <w:t>student learning outcomes expressed as competencies to be gained in a legal education program and in particular courses.</w:t>
      </w:r>
      <w:r w:rsidR="00FB1008" w:rsidRPr="00F40346">
        <w:rPr>
          <w:rStyle w:val="FootnoteReference"/>
          <w:rFonts w:ascii="Palatino Linotype" w:hAnsi="Palatino Linotype" w:cs="Times New Roman"/>
          <w:color w:val="222222"/>
          <w:szCs w:val="24"/>
          <w:shd w:val="clear" w:color="auto" w:fill="FFFFFF"/>
        </w:rPr>
        <w:footnoteReference w:id="9"/>
      </w:r>
      <w:r w:rsidR="00FB1008" w:rsidRPr="00F40346">
        <w:rPr>
          <w:rFonts w:ascii="Palatino Linotype" w:hAnsi="Palatino Linotype" w:cs="Times New Roman"/>
          <w:color w:val="222222"/>
          <w:szCs w:val="24"/>
          <w:shd w:val="clear" w:color="auto" w:fill="FFFFFF"/>
        </w:rPr>
        <w:t xml:space="preserve">  This approach starts from what students should be able and motivated to do as a result of their education, including </w:t>
      </w:r>
      <w:r w:rsidR="00E86CE9" w:rsidRPr="00F40346">
        <w:rPr>
          <w:rFonts w:ascii="Palatino Linotype" w:hAnsi="Palatino Linotype" w:cs="Times New Roman"/>
          <w:color w:val="222222"/>
          <w:szCs w:val="24"/>
          <w:shd w:val="clear" w:color="auto" w:fill="FFFFFF"/>
        </w:rPr>
        <w:t>how</w:t>
      </w:r>
      <w:r w:rsidR="00FB1008" w:rsidRPr="00F40346">
        <w:rPr>
          <w:rFonts w:ascii="Palatino Linotype" w:hAnsi="Palatino Linotype" w:cs="Times New Roman"/>
          <w:color w:val="222222"/>
          <w:szCs w:val="24"/>
          <w:shd w:val="clear" w:color="auto" w:fill="FFFFFF"/>
        </w:rPr>
        <w:t xml:space="preserve"> assessments will measure if outcomes are met, how students will understand what they are supposed to learn, how they will receive </w:t>
      </w:r>
      <w:r w:rsidR="00FB1008" w:rsidRPr="00F40346">
        <w:rPr>
          <w:rFonts w:ascii="Palatino Linotype" w:hAnsi="Palatino Linotype" w:cs="Times New Roman"/>
          <w:color w:val="222222"/>
          <w:szCs w:val="24"/>
          <w:shd w:val="clear" w:color="auto" w:fill="FFFFFF"/>
        </w:rPr>
        <w:lastRenderedPageBreak/>
        <w:t>useful feedback to e</w:t>
      </w:r>
      <w:r w:rsidR="00E86CE9" w:rsidRPr="00F40346">
        <w:rPr>
          <w:rFonts w:ascii="Palatino Linotype" w:hAnsi="Palatino Linotype" w:cs="Times New Roman"/>
          <w:color w:val="222222"/>
          <w:szCs w:val="24"/>
          <w:shd w:val="clear" w:color="auto" w:fill="FFFFFF"/>
        </w:rPr>
        <w:t>nhance progress to learning goals</w:t>
      </w:r>
      <w:r w:rsidR="00FB1008" w:rsidRPr="00F40346">
        <w:rPr>
          <w:rFonts w:ascii="Palatino Linotype" w:hAnsi="Palatino Linotype" w:cs="Times New Roman"/>
          <w:color w:val="222222"/>
          <w:szCs w:val="24"/>
          <w:shd w:val="clear" w:color="auto" w:fill="FFFFFF"/>
        </w:rPr>
        <w:t xml:space="preserve">, and so on.  </w:t>
      </w:r>
      <w:r w:rsidR="004E2453" w:rsidRPr="00F40346">
        <w:rPr>
          <w:rFonts w:ascii="Palatino Linotype" w:eastAsia="Times New Roman" w:hAnsi="Palatino Linotype" w:cs="Times New Roman"/>
          <w:color w:val="222222"/>
          <w:szCs w:val="24"/>
          <w:lang w:val="en-AU" w:eastAsia="en-AU"/>
        </w:rPr>
        <w:t>More traditionally, teachers thought of what they needed to “cover.”</w:t>
      </w:r>
    </w:p>
    <w:p w14:paraId="579C1819" w14:textId="5D48C209" w:rsidR="00204CC2" w:rsidRPr="00F40346" w:rsidRDefault="00FB1008" w:rsidP="00F40346">
      <w:pPr>
        <w:pStyle w:val="FootnoteText"/>
        <w:spacing w:line="480" w:lineRule="auto"/>
        <w:jc w:val="both"/>
        <w:rPr>
          <w:rFonts w:ascii="Palatino Linotype" w:hAnsi="Palatino Linotype" w:cs="Times New Roman"/>
          <w:color w:val="222222"/>
          <w:sz w:val="24"/>
          <w:szCs w:val="24"/>
          <w:shd w:val="clear" w:color="auto" w:fill="FFFFFF"/>
        </w:rPr>
      </w:pPr>
      <w:r w:rsidRPr="00F40346">
        <w:rPr>
          <w:rFonts w:ascii="Palatino Linotype" w:hAnsi="Palatino Linotype" w:cs="Times New Roman"/>
          <w:color w:val="222222"/>
          <w:sz w:val="24"/>
          <w:szCs w:val="24"/>
          <w:shd w:val="clear" w:color="auto" w:fill="FFFFFF"/>
        </w:rPr>
        <w:t>The “backward design” approach of Wiggins &amp; McTighe</w:t>
      </w:r>
      <w:r w:rsidRPr="00F40346">
        <w:rPr>
          <w:rStyle w:val="FootnoteReference"/>
          <w:rFonts w:ascii="Palatino Linotype" w:hAnsi="Palatino Linotype" w:cs="Times New Roman"/>
          <w:color w:val="222222"/>
          <w:sz w:val="24"/>
          <w:szCs w:val="24"/>
          <w:shd w:val="clear" w:color="auto" w:fill="FFFFFF"/>
        </w:rPr>
        <w:footnoteReference w:id="10"/>
      </w:r>
      <w:r w:rsidRPr="00F40346">
        <w:rPr>
          <w:rFonts w:ascii="Palatino Linotype" w:hAnsi="Palatino Linotype" w:cs="Times New Roman"/>
          <w:color w:val="222222"/>
          <w:sz w:val="24"/>
          <w:szCs w:val="24"/>
          <w:shd w:val="clear" w:color="auto" w:fill="FFFFFF"/>
        </w:rPr>
        <w:t xml:space="preserve"> has been influential in US K-12 education and general university education and has now been applied by some US legal educators as well.</w:t>
      </w:r>
      <w:r w:rsidRPr="00F40346">
        <w:rPr>
          <w:rStyle w:val="FootnoteReference"/>
          <w:rFonts w:ascii="Palatino Linotype" w:hAnsi="Palatino Linotype" w:cs="Times New Roman"/>
          <w:color w:val="222222"/>
          <w:sz w:val="24"/>
          <w:szCs w:val="24"/>
          <w:shd w:val="clear" w:color="auto" w:fill="FFFFFF"/>
        </w:rPr>
        <w:footnoteReference w:id="11"/>
      </w:r>
      <w:r w:rsidRPr="00F40346">
        <w:rPr>
          <w:rFonts w:ascii="Palatino Linotype" w:hAnsi="Palatino Linotype" w:cs="Times New Roman"/>
          <w:color w:val="222222"/>
          <w:sz w:val="24"/>
          <w:szCs w:val="24"/>
          <w:shd w:val="clear" w:color="auto" w:fill="FFFFFF"/>
        </w:rPr>
        <w:t xml:space="preserve"> Legal education works from British Commonwealth countries</w:t>
      </w:r>
      <w:r w:rsidRPr="00F40346">
        <w:rPr>
          <w:rStyle w:val="FootnoteReference"/>
          <w:rFonts w:ascii="Palatino Linotype" w:hAnsi="Palatino Linotype" w:cs="Times New Roman"/>
          <w:color w:val="222222"/>
          <w:sz w:val="24"/>
          <w:szCs w:val="24"/>
          <w:shd w:val="clear" w:color="auto" w:fill="FFFFFF"/>
        </w:rPr>
        <w:footnoteReference w:id="12"/>
      </w:r>
      <w:r w:rsidRPr="00F40346">
        <w:rPr>
          <w:rFonts w:ascii="Palatino Linotype" w:hAnsi="Palatino Linotype" w:cs="Times New Roman"/>
          <w:color w:val="222222"/>
          <w:sz w:val="24"/>
          <w:szCs w:val="24"/>
          <w:shd w:val="clear" w:color="auto" w:fill="FFFFFF"/>
        </w:rPr>
        <w:t xml:space="preserve"> more frequently refer to the work of John Biggs.</w:t>
      </w:r>
      <w:r w:rsidRPr="00F40346">
        <w:rPr>
          <w:rStyle w:val="FootnoteReference"/>
          <w:rFonts w:ascii="Palatino Linotype" w:hAnsi="Palatino Linotype" w:cs="Times New Roman"/>
          <w:color w:val="222222"/>
          <w:sz w:val="24"/>
          <w:szCs w:val="24"/>
          <w:shd w:val="clear" w:color="auto" w:fill="FFFFFF"/>
        </w:rPr>
        <w:footnoteReference w:id="13"/>
      </w:r>
      <w:r w:rsidRPr="00F40346">
        <w:rPr>
          <w:rFonts w:ascii="Palatino Linotype" w:hAnsi="Palatino Linotype" w:cs="Times New Roman"/>
          <w:color w:val="222222"/>
          <w:sz w:val="24"/>
          <w:szCs w:val="24"/>
          <w:shd w:val="clear" w:color="auto" w:fill="FFFFFF"/>
        </w:rPr>
        <w:t xml:space="preserve"> </w:t>
      </w:r>
      <w:r w:rsidR="00204CC2" w:rsidRPr="00F40346">
        <w:rPr>
          <w:rFonts w:ascii="Palatino Linotype" w:hAnsi="Palatino Linotype" w:cs="Times New Roman"/>
          <w:smallCaps/>
          <w:color w:val="222222"/>
          <w:sz w:val="24"/>
          <w:szCs w:val="24"/>
          <w:shd w:val="clear" w:color="auto" w:fill="FFFFFF"/>
        </w:rPr>
        <w:t>Teaching Law by Design</w:t>
      </w:r>
      <w:r w:rsidR="00204CC2" w:rsidRPr="00F40346">
        <w:rPr>
          <w:rFonts w:ascii="Palatino Linotype" w:hAnsi="Palatino Linotype" w:cs="Times New Roman"/>
          <w:color w:val="222222"/>
          <w:sz w:val="24"/>
          <w:szCs w:val="24"/>
          <w:shd w:val="clear" w:color="auto" w:fill="FFFFFF"/>
        </w:rPr>
        <w:t>, a well-known book by American legal educators Michael Hunter Sch</w:t>
      </w:r>
      <w:r w:rsidR="00394D47" w:rsidRPr="00F40346">
        <w:rPr>
          <w:rFonts w:ascii="Palatino Linotype" w:hAnsi="Palatino Linotype" w:cs="Times New Roman"/>
          <w:color w:val="222222"/>
          <w:sz w:val="24"/>
          <w:szCs w:val="24"/>
          <w:shd w:val="clear" w:color="auto" w:fill="FFFFFF"/>
        </w:rPr>
        <w:t>w</w:t>
      </w:r>
      <w:r w:rsidR="00204CC2" w:rsidRPr="00F40346">
        <w:rPr>
          <w:rFonts w:ascii="Palatino Linotype" w:hAnsi="Palatino Linotype" w:cs="Times New Roman"/>
          <w:color w:val="222222"/>
          <w:sz w:val="24"/>
          <w:szCs w:val="24"/>
          <w:shd w:val="clear" w:color="auto" w:fill="FFFFFF"/>
        </w:rPr>
        <w:t>artz, Sophie Sparrow, and Gerald Hess,</w:t>
      </w:r>
      <w:r w:rsidR="00F40346">
        <w:rPr>
          <w:rFonts w:ascii="Palatino Linotype" w:hAnsi="Palatino Linotype" w:cs="Times New Roman"/>
          <w:color w:val="222222"/>
          <w:sz w:val="24"/>
          <w:szCs w:val="24"/>
          <w:shd w:val="clear" w:color="auto" w:fill="FFFFFF"/>
        </w:rPr>
        <w:t xml:space="preserve"> </w:t>
      </w:r>
      <w:r w:rsidR="00204CC2" w:rsidRPr="00F40346">
        <w:rPr>
          <w:rFonts w:ascii="Palatino Linotype" w:hAnsi="Palatino Linotype" w:cs="Times New Roman"/>
          <w:color w:val="222222"/>
          <w:sz w:val="24"/>
          <w:szCs w:val="24"/>
          <w:shd w:val="clear" w:color="auto" w:fill="FFFFFF"/>
        </w:rPr>
        <w:t>does not refer explicitly to Wiggins or Biggs.</w:t>
      </w:r>
      <w:r w:rsidR="00204CC2" w:rsidRPr="00F40346">
        <w:rPr>
          <w:rStyle w:val="FootnoteReference"/>
          <w:rFonts w:ascii="Palatino Linotype" w:hAnsi="Palatino Linotype" w:cs="Times New Roman"/>
          <w:color w:val="222222"/>
          <w:sz w:val="24"/>
          <w:szCs w:val="24"/>
          <w:shd w:val="clear" w:color="auto" w:fill="FFFFFF"/>
        </w:rPr>
        <w:footnoteReference w:id="14"/>
      </w:r>
      <w:r w:rsidR="00204CC2" w:rsidRPr="00F40346">
        <w:rPr>
          <w:rFonts w:ascii="Palatino Linotype" w:hAnsi="Palatino Linotype" w:cs="Times New Roman"/>
          <w:color w:val="222222"/>
          <w:sz w:val="24"/>
          <w:szCs w:val="24"/>
          <w:shd w:val="clear" w:color="auto" w:fill="FFFFFF"/>
        </w:rPr>
        <w:t xml:space="preserve">  It, however, takes a consistent approach focusing on beginning with goals, an assessment of the target learners, and consideration of the assessments that will provide information on whether the students are learning.</w:t>
      </w:r>
      <w:r w:rsidR="00204CC2" w:rsidRPr="00F40346">
        <w:rPr>
          <w:rStyle w:val="FootnoteReference"/>
          <w:rFonts w:ascii="Palatino Linotype" w:hAnsi="Palatino Linotype" w:cs="Times New Roman"/>
          <w:color w:val="222222"/>
          <w:sz w:val="24"/>
          <w:szCs w:val="24"/>
          <w:shd w:val="clear" w:color="auto" w:fill="FFFFFF"/>
        </w:rPr>
        <w:footnoteReference w:id="15"/>
      </w:r>
    </w:p>
    <w:p w14:paraId="452A0754" w14:textId="5826E951" w:rsidR="00FB1008" w:rsidRPr="00F40346" w:rsidRDefault="00FB1008" w:rsidP="00F40346">
      <w:pPr>
        <w:pStyle w:val="FootnoteText"/>
        <w:spacing w:line="480" w:lineRule="auto"/>
        <w:jc w:val="both"/>
        <w:rPr>
          <w:rFonts w:ascii="Palatino Linotype" w:hAnsi="Palatino Linotype" w:cs="Times New Roman"/>
          <w:b/>
          <w:color w:val="222222"/>
          <w:szCs w:val="24"/>
          <w:lang w:eastAsia="en-AU"/>
        </w:rPr>
      </w:pPr>
      <w:r w:rsidRPr="00F40346">
        <w:rPr>
          <w:rFonts w:ascii="Palatino Linotype" w:hAnsi="Palatino Linotype" w:cs="Times New Roman"/>
          <w:color w:val="222222"/>
          <w:sz w:val="24"/>
          <w:szCs w:val="24"/>
          <w:shd w:val="clear" w:color="auto" w:fill="FFFFFF"/>
        </w:rPr>
        <w:t xml:space="preserve">Australian academic Nick James refers to the work of both Wiggins and Biggs, as well as other education researchers, to coin the term “educationalism” to describe an emphasis on university teaching consistent with education scholarship, which grew from some university professors’ interest in research on teaching and learning and </w:t>
      </w:r>
      <w:r w:rsidRPr="00F40346">
        <w:rPr>
          <w:rFonts w:ascii="Palatino Linotype" w:hAnsi="Palatino Linotype" w:cs="Times New Roman"/>
          <w:color w:val="222222"/>
          <w:sz w:val="24"/>
          <w:szCs w:val="24"/>
          <w:shd w:val="clear" w:color="auto" w:fill="FFFFFF"/>
        </w:rPr>
        <w:lastRenderedPageBreak/>
        <w:t>efforts to encourage colleagues to adopt methods consistent with this work.</w:t>
      </w:r>
      <w:r w:rsidRPr="00F40346">
        <w:rPr>
          <w:rStyle w:val="FootnoteReference"/>
          <w:rFonts w:ascii="Palatino Linotype" w:hAnsi="Palatino Linotype" w:cs="Times New Roman"/>
          <w:color w:val="222222"/>
          <w:sz w:val="24"/>
          <w:szCs w:val="24"/>
          <w:shd w:val="clear" w:color="auto" w:fill="FFFFFF"/>
        </w:rPr>
        <w:footnoteReference w:id="16"/>
      </w:r>
      <w:r w:rsidRPr="00F40346">
        <w:rPr>
          <w:rFonts w:ascii="Palatino Linotype" w:hAnsi="Palatino Linotype" w:cs="Times New Roman"/>
          <w:color w:val="222222"/>
          <w:sz w:val="24"/>
          <w:szCs w:val="24"/>
          <w:shd w:val="clear" w:color="auto" w:fill="FFFFFF"/>
        </w:rPr>
        <w:t>   He argues that in some instances these initial motives may have been co</w:t>
      </w:r>
      <w:r w:rsidR="004712EB" w:rsidRPr="00F40346">
        <w:rPr>
          <w:rFonts w:ascii="Palatino Linotype" w:hAnsi="Palatino Linotype" w:cs="Times New Roman"/>
          <w:color w:val="222222"/>
          <w:sz w:val="24"/>
          <w:szCs w:val="24"/>
          <w:shd w:val="clear" w:color="auto" w:fill="FFFFFF"/>
        </w:rPr>
        <w:t>-</w:t>
      </w:r>
      <w:r w:rsidRPr="00F40346">
        <w:rPr>
          <w:rFonts w:ascii="Palatino Linotype" w:hAnsi="Palatino Linotype" w:cs="Times New Roman"/>
          <w:color w:val="222222"/>
          <w:sz w:val="24"/>
          <w:szCs w:val="24"/>
          <w:shd w:val="clear" w:color="auto" w:fill="FFFFFF"/>
        </w:rPr>
        <w:t>opted by “corporatism,” which he use</w:t>
      </w:r>
      <w:r w:rsidR="00437259" w:rsidRPr="00F40346">
        <w:rPr>
          <w:rFonts w:ascii="Palatino Linotype" w:hAnsi="Palatino Linotype" w:cs="Times New Roman"/>
          <w:color w:val="222222"/>
          <w:sz w:val="24"/>
          <w:szCs w:val="24"/>
          <w:shd w:val="clear" w:color="auto" w:fill="FFFFFF"/>
        </w:rPr>
        <w:t>s</w:t>
      </w:r>
      <w:r w:rsidRPr="00F40346">
        <w:rPr>
          <w:rFonts w:ascii="Palatino Linotype" w:hAnsi="Palatino Linotype" w:cs="Times New Roman"/>
          <w:color w:val="222222"/>
          <w:sz w:val="24"/>
          <w:szCs w:val="24"/>
          <w:shd w:val="clear" w:color="auto" w:fill="FFFFFF"/>
        </w:rPr>
        <w:t xml:space="preserve"> to describe an emphasis on “the accountability of academics, and the efficiency, marketability, and growth of the law school as a corporate institution,” and the possible role of this convergence in faculty resistance to adopting</w:t>
      </w:r>
      <w:r w:rsidRPr="00F40346">
        <w:rPr>
          <w:rFonts w:ascii="Palatino Linotype" w:hAnsi="Palatino Linotype" w:cs="Times New Roman"/>
          <w:color w:val="222222"/>
          <w:shd w:val="clear" w:color="auto" w:fill="FFFFFF"/>
        </w:rPr>
        <w:t xml:space="preserve"> </w:t>
      </w:r>
      <w:r w:rsidRPr="00F40346">
        <w:rPr>
          <w:rFonts w:ascii="Palatino Linotype" w:hAnsi="Palatino Linotype" w:cs="Times New Roman"/>
          <w:color w:val="222222"/>
          <w:sz w:val="24"/>
          <w:szCs w:val="24"/>
          <w:shd w:val="clear" w:color="auto" w:fill="FFFFFF"/>
        </w:rPr>
        <w:t>new methods.</w:t>
      </w:r>
      <w:r w:rsidRPr="00F40346">
        <w:rPr>
          <w:rStyle w:val="FootnoteReference"/>
          <w:rFonts w:ascii="Palatino Linotype" w:hAnsi="Palatino Linotype" w:cs="Times New Roman"/>
          <w:color w:val="222222"/>
          <w:sz w:val="24"/>
          <w:szCs w:val="24"/>
          <w:shd w:val="clear" w:color="auto" w:fill="FFFFFF"/>
        </w:rPr>
        <w:footnoteReference w:id="17"/>
      </w:r>
      <w:r w:rsidRPr="00F40346">
        <w:rPr>
          <w:rFonts w:ascii="Palatino Linotype" w:hAnsi="Palatino Linotype" w:cs="Arial"/>
          <w:color w:val="222222"/>
          <w:sz w:val="24"/>
          <w:szCs w:val="24"/>
          <w:shd w:val="clear" w:color="auto" w:fill="FFFFFF"/>
        </w:rPr>
        <w:t xml:space="preserve"> </w:t>
      </w:r>
      <w:r w:rsidR="00DA15F7" w:rsidRPr="00F40346">
        <w:rPr>
          <w:rFonts w:ascii="Palatino Linotype" w:hAnsi="Palatino Linotype" w:cs="Times New Roman"/>
          <w:sz w:val="24"/>
          <w:szCs w:val="24"/>
          <w:lang w:val="en-US"/>
        </w:rPr>
        <w:t>While the authors are concerned that bureaucratization and heavy-handed regulation can “hijack” concepts like learning outcomes and aligned assessment, we continue to believe that backward design and constructive alignment are useful approaches to course design toward their original purposes of enhancing students’ educational experiences.</w:t>
      </w:r>
    </w:p>
    <w:p w14:paraId="1B1974ED" w14:textId="67D1BF69" w:rsidR="006C6D3D" w:rsidRPr="00F40346" w:rsidRDefault="006C6D3D" w:rsidP="00F40346">
      <w:pPr>
        <w:shd w:val="clear" w:color="auto" w:fill="FFFFFF"/>
        <w:spacing w:line="480" w:lineRule="auto"/>
        <w:jc w:val="both"/>
        <w:rPr>
          <w:rFonts w:ascii="Palatino Linotype" w:eastAsia="Times New Roman" w:hAnsi="Palatino Linotype" w:cs="Times New Roman"/>
          <w:color w:val="222222"/>
          <w:szCs w:val="24"/>
          <w:lang w:val="en-AU" w:eastAsia="en-AU"/>
        </w:rPr>
      </w:pPr>
      <w:r w:rsidRPr="00F40346">
        <w:rPr>
          <w:rFonts w:ascii="Palatino Linotype" w:eastAsia="Times New Roman" w:hAnsi="Palatino Linotype" w:cs="Times New Roman"/>
          <w:color w:val="222222"/>
          <w:szCs w:val="24"/>
          <w:lang w:val="en-AU" w:eastAsia="en-AU"/>
        </w:rPr>
        <w:t xml:space="preserve">Clinical education, by its nature, </w:t>
      </w:r>
      <w:r w:rsidR="003607FA" w:rsidRPr="00F40346">
        <w:rPr>
          <w:rFonts w:ascii="Palatino Linotype" w:eastAsia="Times New Roman" w:hAnsi="Palatino Linotype" w:cs="Times New Roman"/>
          <w:color w:val="222222"/>
          <w:szCs w:val="24"/>
          <w:lang w:val="en-AU" w:eastAsia="en-AU"/>
        </w:rPr>
        <w:t>presses</w:t>
      </w:r>
      <w:r w:rsidRPr="00F40346">
        <w:rPr>
          <w:rFonts w:ascii="Palatino Linotype" w:eastAsia="Times New Roman" w:hAnsi="Palatino Linotype" w:cs="Times New Roman"/>
          <w:color w:val="222222"/>
          <w:szCs w:val="24"/>
          <w:lang w:val="en-AU" w:eastAsia="en-AU"/>
        </w:rPr>
        <w:t xml:space="preserve"> teachers to consider the nature of the experience from which a student would learn—not just what readings the teacher would assign or what she might say in a class.  We all may have experienced trying to communicate that difference in the teacher’s role to classroom teachers, </w:t>
      </w:r>
      <w:r w:rsidRPr="00F40346">
        <w:rPr>
          <w:rFonts w:ascii="Palatino Linotype" w:eastAsia="Times New Roman" w:hAnsi="Palatino Linotype" w:cs="Times New Roman"/>
          <w:i/>
          <w:color w:val="222222"/>
          <w:szCs w:val="24"/>
          <w:lang w:val="en-AU" w:eastAsia="en-AU"/>
        </w:rPr>
        <w:t>e.g.</w:t>
      </w:r>
      <w:r w:rsidRPr="00F40346">
        <w:rPr>
          <w:rFonts w:ascii="Palatino Linotype" w:eastAsia="Times New Roman" w:hAnsi="Palatino Linotype" w:cs="Times New Roman"/>
          <w:color w:val="222222"/>
          <w:szCs w:val="24"/>
          <w:lang w:val="en-AU" w:eastAsia="en-AU"/>
        </w:rPr>
        <w:t xml:space="preserve">, in application of the law school’s teacher evaluation practices to clinical teachers.  Traditional evaluation of classroom teaching for retention, promotion, and tenure normally includes classroom visits by faculty to observe “teaching.”  It is sometimes difficult to explain to relevant law school committee members that an evaluation of a clinical teacher’s “teaching” would include looking at much more than what happens </w:t>
      </w:r>
      <w:r w:rsidRPr="00F40346">
        <w:rPr>
          <w:rFonts w:ascii="Palatino Linotype" w:eastAsia="Times New Roman" w:hAnsi="Palatino Linotype" w:cs="Times New Roman"/>
          <w:color w:val="222222"/>
          <w:szCs w:val="24"/>
          <w:lang w:val="en-AU" w:eastAsia="en-AU"/>
        </w:rPr>
        <w:lastRenderedPageBreak/>
        <w:t xml:space="preserve">in the “classroom component.”  For example, an externship teacher’s teaching effectiveness is also based in choices about placement sites and supervisors, ways of interacting and communicating expectations to field supervisors, techniques for </w:t>
      </w:r>
      <w:r w:rsidR="00D17703" w:rsidRPr="00F40346">
        <w:rPr>
          <w:rFonts w:ascii="Palatino Linotype" w:eastAsia="Times New Roman" w:hAnsi="Palatino Linotype" w:cs="Times New Roman"/>
          <w:color w:val="222222"/>
          <w:szCs w:val="24"/>
          <w:lang w:val="en-AU" w:eastAsia="en-AU"/>
        </w:rPr>
        <w:t xml:space="preserve">fostering </w:t>
      </w:r>
      <w:r w:rsidRPr="00F40346">
        <w:rPr>
          <w:rFonts w:ascii="Palatino Linotype" w:eastAsia="Times New Roman" w:hAnsi="Palatino Linotype" w:cs="Times New Roman"/>
          <w:color w:val="222222"/>
          <w:szCs w:val="24"/>
          <w:lang w:val="en-AU" w:eastAsia="en-AU"/>
        </w:rPr>
        <w:t>student reflection and self-learning and evaluation, and other dimensions of structuring the student’s experience.</w:t>
      </w:r>
    </w:p>
    <w:p w14:paraId="3663DF2F" w14:textId="74A90A10" w:rsidR="006C6D3D" w:rsidRPr="00F40346" w:rsidRDefault="006C6D3D" w:rsidP="00F40346">
      <w:pPr>
        <w:shd w:val="clear" w:color="auto" w:fill="FFFFFF"/>
        <w:spacing w:line="480" w:lineRule="auto"/>
        <w:jc w:val="both"/>
        <w:rPr>
          <w:rFonts w:ascii="Palatino Linotype" w:eastAsia="Times New Roman" w:hAnsi="Palatino Linotype" w:cs="Times New Roman"/>
          <w:color w:val="222222"/>
          <w:szCs w:val="24"/>
          <w:lang w:val="en-AU" w:eastAsia="en-AU"/>
        </w:rPr>
      </w:pPr>
      <w:r w:rsidRPr="00F40346">
        <w:rPr>
          <w:rFonts w:ascii="Palatino Linotype" w:eastAsia="Times New Roman" w:hAnsi="Palatino Linotype" w:cs="Times New Roman"/>
          <w:color w:val="222222"/>
          <w:szCs w:val="24"/>
          <w:lang w:val="en-AU" w:eastAsia="en-AU"/>
        </w:rPr>
        <w:t xml:space="preserve">This article flows from our view that there are not per se “right choices” about </w:t>
      </w:r>
      <w:r w:rsidR="003607FA" w:rsidRPr="00F40346">
        <w:rPr>
          <w:rFonts w:ascii="Palatino Linotype" w:eastAsia="Times New Roman" w:hAnsi="Palatino Linotype" w:cs="Times New Roman"/>
          <w:color w:val="222222"/>
          <w:szCs w:val="24"/>
          <w:lang w:val="en-AU" w:eastAsia="en-AU"/>
        </w:rPr>
        <w:t xml:space="preserve">such </w:t>
      </w:r>
      <w:r w:rsidRPr="00F40346">
        <w:rPr>
          <w:rFonts w:ascii="Palatino Linotype" w:eastAsia="Times New Roman" w:hAnsi="Palatino Linotype" w:cs="Times New Roman"/>
          <w:color w:val="222222"/>
          <w:szCs w:val="24"/>
          <w:lang w:val="en-AU" w:eastAsia="en-AU"/>
        </w:rPr>
        <w:t xml:space="preserve">design features; they should flow from the objectives of the particular externship.  Rather than </w:t>
      </w:r>
      <w:r w:rsidR="00D17703" w:rsidRPr="00F40346">
        <w:rPr>
          <w:rFonts w:ascii="Palatino Linotype" w:eastAsia="Times New Roman" w:hAnsi="Palatino Linotype" w:cs="Times New Roman"/>
          <w:color w:val="222222"/>
          <w:szCs w:val="24"/>
          <w:lang w:val="en-AU" w:eastAsia="en-AU"/>
        </w:rPr>
        <w:t xml:space="preserve">using </w:t>
      </w:r>
      <w:r w:rsidRPr="00F40346">
        <w:rPr>
          <w:rFonts w:ascii="Palatino Linotype" w:eastAsia="Times New Roman" w:hAnsi="Palatino Linotype" w:cs="Times New Roman"/>
          <w:color w:val="222222"/>
          <w:szCs w:val="24"/>
          <w:lang w:val="en-AU" w:eastAsia="en-AU"/>
        </w:rPr>
        <w:t xml:space="preserve">an intentional design approach, we have observed that teachers can fall into “assumptions” about the goals of clinical education and program structure.  This article encourages externship teachers to “open the frame” and think about what they most would like to see students gain from a particular course, realizing that there are a broad range of learning outcomes that might be attained through the externship method.  Program structure and design should then follow “intentionally” from those choices rather than </w:t>
      </w:r>
      <w:r w:rsidR="00D17703" w:rsidRPr="00F40346">
        <w:rPr>
          <w:rFonts w:ascii="Palatino Linotype" w:eastAsia="Times New Roman" w:hAnsi="Palatino Linotype" w:cs="Times New Roman"/>
          <w:color w:val="222222"/>
          <w:szCs w:val="24"/>
          <w:lang w:val="en-AU" w:eastAsia="en-AU"/>
        </w:rPr>
        <w:t xml:space="preserve">from </w:t>
      </w:r>
      <w:r w:rsidRPr="00F40346">
        <w:rPr>
          <w:rFonts w:ascii="Palatino Linotype" w:eastAsia="Times New Roman" w:hAnsi="Palatino Linotype" w:cs="Times New Roman"/>
          <w:color w:val="222222"/>
          <w:szCs w:val="24"/>
          <w:lang w:val="en-AU" w:eastAsia="en-AU"/>
        </w:rPr>
        <w:t>assumptions about how things “should be.”</w:t>
      </w:r>
    </w:p>
    <w:p w14:paraId="086D6600" w14:textId="17B0267F" w:rsidR="006C6D3D" w:rsidRPr="00F40346" w:rsidRDefault="006C6D3D" w:rsidP="00F40346">
      <w:pPr>
        <w:shd w:val="clear" w:color="auto" w:fill="FFFFFF"/>
        <w:spacing w:line="480" w:lineRule="auto"/>
        <w:jc w:val="both"/>
        <w:rPr>
          <w:rFonts w:ascii="Palatino Linotype" w:eastAsia="Times New Roman" w:hAnsi="Palatino Linotype" w:cs="Times New Roman"/>
          <w:color w:val="222222"/>
          <w:szCs w:val="24"/>
          <w:lang w:val="en-AU" w:eastAsia="en-AU"/>
        </w:rPr>
      </w:pPr>
      <w:r w:rsidRPr="00F40346">
        <w:rPr>
          <w:rFonts w:ascii="Palatino Linotype" w:eastAsia="Times New Roman" w:hAnsi="Palatino Linotype" w:cs="Times New Roman"/>
          <w:color w:val="222222"/>
          <w:szCs w:val="24"/>
          <w:lang w:val="en-AU" w:eastAsia="en-AU"/>
        </w:rPr>
        <w:t>For example, it sometimes is assumed that externship programs “are” directed toward enhanced proficiency in client representation and advocacy tasks so, therefore, it is best to have a small, repeating group of placements where the teacher is assured what tasks students will perform and that the placement supervisor has expertise in those tasks.  As the examples of</w:t>
      </w:r>
      <w:r w:rsidR="00F92DC9" w:rsidRPr="00F40346">
        <w:rPr>
          <w:rFonts w:ascii="Palatino Linotype" w:eastAsia="Times New Roman" w:hAnsi="Palatino Linotype" w:cs="Times New Roman"/>
          <w:color w:val="222222"/>
          <w:szCs w:val="24"/>
          <w:lang w:val="en-AU" w:eastAsia="en-AU"/>
        </w:rPr>
        <w:t xml:space="preserve"> “tailor-made”</w:t>
      </w:r>
      <w:r w:rsidRPr="00F40346">
        <w:rPr>
          <w:rFonts w:ascii="Palatino Linotype" w:eastAsia="Times New Roman" w:hAnsi="Palatino Linotype" w:cs="Times New Roman"/>
          <w:color w:val="222222"/>
          <w:szCs w:val="24"/>
          <w:lang w:val="en-AU" w:eastAsia="en-AU"/>
        </w:rPr>
        <w:t xml:space="preserve"> and “retail” externships developed in Part II.B discuss, those design choices appropriately might vary if the skills considered were ones of more general work management and enhanced self-directed learning, depending on other coursework students might have had, and whether a primary </w:t>
      </w:r>
      <w:r w:rsidRPr="00F40346">
        <w:rPr>
          <w:rFonts w:ascii="Palatino Linotype" w:eastAsia="Times New Roman" w:hAnsi="Palatino Linotype" w:cs="Times New Roman"/>
          <w:color w:val="222222"/>
          <w:szCs w:val="24"/>
          <w:lang w:val="en-AU" w:eastAsia="en-AU"/>
        </w:rPr>
        <w:lastRenderedPageBreak/>
        <w:t>course goal was development of professional identity and consideration of the type of lawyer a student wants to “be.”  Similarly</w:t>
      </w:r>
      <w:r w:rsidR="003607FA" w:rsidRPr="00F40346">
        <w:rPr>
          <w:rFonts w:ascii="Palatino Linotype" w:eastAsia="Times New Roman" w:hAnsi="Palatino Linotype" w:cs="Times New Roman"/>
          <w:color w:val="222222"/>
          <w:szCs w:val="24"/>
          <w:lang w:val="en-AU" w:eastAsia="en-AU"/>
        </w:rPr>
        <w:t>,</w:t>
      </w:r>
      <w:r w:rsidRPr="00F40346">
        <w:rPr>
          <w:rFonts w:ascii="Palatino Linotype" w:eastAsia="Times New Roman" w:hAnsi="Palatino Linotype" w:cs="Times New Roman"/>
          <w:color w:val="222222"/>
          <w:szCs w:val="24"/>
          <w:lang w:val="en-AU" w:eastAsia="en-AU"/>
        </w:rPr>
        <w:t xml:space="preserve"> Part III considers an alternative approach to the assumptions that a primary goal of all clinical education including externships is promoting social justice and, therefore, placements should be limited to non-profit organizations engaged in social justice work.</w:t>
      </w:r>
    </w:p>
    <w:p w14:paraId="1B52E9D3" w14:textId="5F3B370F" w:rsidR="006C6D3D" w:rsidRPr="00F40346" w:rsidRDefault="006C6D3D" w:rsidP="00F40346">
      <w:pPr>
        <w:shd w:val="clear" w:color="auto" w:fill="FFFFFF"/>
        <w:spacing w:line="480" w:lineRule="auto"/>
        <w:rPr>
          <w:rFonts w:ascii="Palatino Linotype" w:eastAsia="Times New Roman" w:hAnsi="Palatino Linotype" w:cs="Times New Roman"/>
          <w:b/>
          <w:color w:val="222222"/>
          <w:szCs w:val="24"/>
          <w:lang w:val="en-AU" w:eastAsia="en-AU"/>
        </w:rPr>
      </w:pPr>
    </w:p>
    <w:p w14:paraId="56E0FE3F" w14:textId="17A8EC06" w:rsidR="006C6D3D" w:rsidRPr="00F40346" w:rsidRDefault="006C6D3D" w:rsidP="00F40346">
      <w:pPr>
        <w:shd w:val="clear" w:color="auto" w:fill="FFFFFF"/>
        <w:spacing w:line="480" w:lineRule="auto"/>
        <w:ind w:left="547" w:hanging="547"/>
        <w:rPr>
          <w:rFonts w:ascii="Palatino Linotype" w:eastAsia="Times New Roman" w:hAnsi="Palatino Linotype" w:cs="Times New Roman"/>
          <w:b/>
          <w:color w:val="222222"/>
          <w:szCs w:val="24"/>
          <w:lang w:val="en-AU" w:eastAsia="en-AU"/>
        </w:rPr>
      </w:pPr>
      <w:r w:rsidRPr="00F40346">
        <w:rPr>
          <w:rFonts w:ascii="Palatino Linotype" w:eastAsia="Times New Roman" w:hAnsi="Palatino Linotype" w:cs="Times New Roman"/>
          <w:b/>
          <w:color w:val="222222"/>
          <w:szCs w:val="24"/>
          <w:lang w:val="en-AU" w:eastAsia="en-AU"/>
        </w:rPr>
        <w:t>II.</w:t>
      </w:r>
      <w:r w:rsidRPr="00F40346">
        <w:rPr>
          <w:rFonts w:ascii="Palatino Linotype" w:eastAsia="Times New Roman" w:hAnsi="Palatino Linotype" w:cs="Times New Roman"/>
          <w:b/>
          <w:color w:val="222222"/>
          <w:szCs w:val="24"/>
          <w:lang w:val="en-AU" w:eastAsia="en-AU"/>
        </w:rPr>
        <w:tab/>
        <w:t>ASSUMING SKILLS DEVELOPMENT AS A PREDOMINANT GOAL FOR EXTERNSHIP PROGRAMS</w:t>
      </w:r>
    </w:p>
    <w:p w14:paraId="27BBBA1D" w14:textId="46735595" w:rsidR="006C6D3D" w:rsidRPr="00F40346" w:rsidRDefault="006C6D3D" w:rsidP="00F40346">
      <w:pPr>
        <w:spacing w:line="480" w:lineRule="auto"/>
        <w:ind w:left="1094" w:hanging="547"/>
        <w:outlineLvl w:val="0"/>
        <w:rPr>
          <w:rFonts w:ascii="Palatino Linotype" w:hAnsi="Palatino Linotype" w:cs="Times New Roman"/>
          <w:b/>
          <w:szCs w:val="24"/>
          <w:u w:val="single"/>
        </w:rPr>
      </w:pPr>
      <w:r w:rsidRPr="00F40346">
        <w:rPr>
          <w:rFonts w:ascii="Palatino Linotype" w:hAnsi="Palatino Linotype" w:cs="Times New Roman"/>
          <w:b/>
          <w:szCs w:val="24"/>
        </w:rPr>
        <w:t>A.</w:t>
      </w:r>
      <w:r w:rsidRPr="00F40346">
        <w:rPr>
          <w:rFonts w:ascii="Palatino Linotype" w:hAnsi="Palatino Linotype" w:cs="Times New Roman"/>
          <w:b/>
          <w:szCs w:val="24"/>
        </w:rPr>
        <w:tab/>
      </w:r>
      <w:r w:rsidRPr="00F40346">
        <w:rPr>
          <w:rFonts w:ascii="Palatino Linotype" w:hAnsi="Palatino Linotype" w:cs="Times New Roman"/>
          <w:b/>
          <w:szCs w:val="24"/>
          <w:u w:val="single"/>
        </w:rPr>
        <w:t>The Malleable Definition of “Skills”</w:t>
      </w:r>
    </w:p>
    <w:p w14:paraId="0B62543C" w14:textId="77777777" w:rsidR="006C6D3D" w:rsidRPr="00F40346" w:rsidRDefault="006C6D3D" w:rsidP="00F40346">
      <w:pPr>
        <w:spacing w:line="480" w:lineRule="auto"/>
        <w:jc w:val="both"/>
        <w:rPr>
          <w:rFonts w:ascii="Palatino Linotype" w:hAnsi="Palatino Linotype"/>
        </w:rPr>
      </w:pPr>
      <w:r w:rsidRPr="00F40346">
        <w:rPr>
          <w:rFonts w:ascii="Palatino Linotype" w:hAnsi="Palatino Linotype"/>
        </w:rPr>
        <w:t xml:space="preserve">Regulators and legal educators often characterize the skills associated with legal work in different ways. Some are more specific and detailed than others. There are also differences across countries in the expectations placed on law schools to contribute to the development of such skills. </w:t>
      </w:r>
    </w:p>
    <w:p w14:paraId="370FA945" w14:textId="4E52FD7C" w:rsidR="006C6D3D" w:rsidRPr="00F40346" w:rsidRDefault="006C6D3D" w:rsidP="00F40346">
      <w:pPr>
        <w:spacing w:line="480" w:lineRule="auto"/>
        <w:jc w:val="both"/>
        <w:rPr>
          <w:rFonts w:ascii="Palatino Linotype" w:hAnsi="Palatino Linotype"/>
        </w:rPr>
      </w:pPr>
      <w:r w:rsidRPr="00F40346">
        <w:rPr>
          <w:rFonts w:ascii="Palatino Linotype" w:hAnsi="Palatino Linotype"/>
        </w:rPr>
        <w:t>In this part of the article, we provide an overview of some of the approaches taken to articulating skills that should be developed as part of a legal education.  While there are points of common ground, differences relating to level of prescription and content make it difficult to distil the various views into a single framework.  The approach taken in the USA and is more prescriptive of law school content than in Australia, Canada, and England.  Australian and English regulators rely heavily on the acquisition of skills during a practice-focused training program that is generally undertaken separate from and following upon completion of a law degree.</w:t>
      </w:r>
    </w:p>
    <w:p w14:paraId="007C1815" w14:textId="1D837719" w:rsidR="006C6D3D" w:rsidRPr="00F40346" w:rsidRDefault="006C6D3D" w:rsidP="00F40346">
      <w:pPr>
        <w:spacing w:line="480" w:lineRule="auto"/>
        <w:jc w:val="both"/>
        <w:rPr>
          <w:rFonts w:ascii="Palatino Linotype" w:hAnsi="Palatino Linotype"/>
        </w:rPr>
      </w:pPr>
      <w:r w:rsidRPr="00F40346">
        <w:rPr>
          <w:rFonts w:ascii="Palatino Linotype" w:hAnsi="Palatino Linotype"/>
        </w:rPr>
        <w:lastRenderedPageBreak/>
        <w:t xml:space="preserve">While the term “skill” is used extensively by these various regulators, the term is generally not defined although examples may be given.  The </w:t>
      </w:r>
      <w:r w:rsidRPr="00F40346">
        <w:rPr>
          <w:rFonts w:ascii="Palatino Linotype" w:hAnsi="Palatino Linotype"/>
          <w:smallCaps/>
        </w:rPr>
        <w:t>Macquarie Dictionary</w:t>
      </w:r>
      <w:r w:rsidRPr="00F40346">
        <w:rPr>
          <w:rFonts w:ascii="Palatino Linotype" w:hAnsi="Palatino Linotype"/>
        </w:rPr>
        <w:t xml:space="preserve"> provides this useful succinct definition of the noun, “skill”: </w:t>
      </w:r>
      <w:r w:rsidR="00352C32" w:rsidRPr="00F40346">
        <w:rPr>
          <w:rFonts w:ascii="Palatino Linotype" w:hAnsi="Palatino Linotype"/>
        </w:rPr>
        <w:t>“</w:t>
      </w:r>
      <w:r w:rsidRPr="00F40346">
        <w:rPr>
          <w:rFonts w:ascii="Palatino Linotype" w:hAnsi="Palatino Linotype"/>
        </w:rPr>
        <w:t>the ability that comes from knowledge, practice, aptitude etc., to do something well.</w:t>
      </w:r>
      <w:r w:rsidR="00352C32" w:rsidRPr="00F40346">
        <w:rPr>
          <w:rFonts w:ascii="Palatino Linotype" w:hAnsi="Palatino Linotype"/>
        </w:rPr>
        <w:t>”</w:t>
      </w:r>
      <w:r w:rsidRPr="00F40346">
        <w:rPr>
          <w:rStyle w:val="FootnoteReference"/>
          <w:rFonts w:ascii="Palatino Linotype" w:hAnsi="Palatino Linotype"/>
        </w:rPr>
        <w:footnoteReference w:id="18"/>
      </w:r>
      <w:r w:rsidRPr="00F40346">
        <w:rPr>
          <w:rFonts w:ascii="Palatino Linotype" w:hAnsi="Palatino Linotype"/>
        </w:rPr>
        <w:t xml:space="preserve">  Externships and other forms of experiential learning can be designed to provide students with opportunities to build law-related skills through their blending of knowledge, practice, and aptitude.  The potential of externships to contribute to this skill development is increased when the skills in question are fully articulated.</w:t>
      </w:r>
    </w:p>
    <w:p w14:paraId="03687E40" w14:textId="0C51FC49" w:rsidR="006C6D3D" w:rsidRPr="00F40346" w:rsidRDefault="006C6D3D" w:rsidP="00F40346">
      <w:pPr>
        <w:spacing w:line="480" w:lineRule="auto"/>
        <w:jc w:val="both"/>
        <w:rPr>
          <w:rFonts w:ascii="Palatino Linotype" w:hAnsi="Palatino Linotype"/>
        </w:rPr>
      </w:pPr>
      <w:r w:rsidRPr="00F40346">
        <w:rPr>
          <w:rFonts w:ascii="Palatino Linotype" w:hAnsi="Palatino Linotype"/>
        </w:rPr>
        <w:t>There is also variation in the terms used to describe the skills to be developed through a legal education. Some authors refer to “legal skills” while others refer to “lawyering skills” or “professional skills.”  An alternative approach is Schultz and Zedeck’s development of “lawyering-effectiveness factors” through interviews with five stakeholder groups of University of California at Berkeley law school: lawyer alumni in three cities; clients plus reading complaints made by clients; faculty; students; and judges.</w:t>
      </w:r>
      <w:r w:rsidRPr="00F40346">
        <w:rPr>
          <w:rStyle w:val="FootnoteReference"/>
          <w:rFonts w:ascii="Palatino Linotype" w:hAnsi="Palatino Linotype"/>
        </w:rPr>
        <w:t xml:space="preserve"> </w:t>
      </w:r>
      <w:r w:rsidRPr="00F40346">
        <w:rPr>
          <w:rStyle w:val="FootnoteReference"/>
          <w:rFonts w:ascii="Palatino Linotype" w:hAnsi="Palatino Linotype"/>
        </w:rPr>
        <w:footnoteReference w:id="19"/>
      </w:r>
    </w:p>
    <w:p w14:paraId="614F6494" w14:textId="350766D3" w:rsidR="006C6D3D" w:rsidRPr="00F40346" w:rsidRDefault="006C6D3D" w:rsidP="00F40346">
      <w:pPr>
        <w:spacing w:line="480" w:lineRule="auto"/>
        <w:jc w:val="both"/>
        <w:rPr>
          <w:rFonts w:ascii="Palatino Linotype" w:hAnsi="Palatino Linotype"/>
        </w:rPr>
      </w:pPr>
      <w:r w:rsidRPr="00F40346">
        <w:rPr>
          <w:rFonts w:ascii="Palatino Linotype" w:hAnsi="Palatino Linotype"/>
        </w:rPr>
        <w:t xml:space="preserve">Some characterizations of skills are narrow in their focus on specific tasks required of lawyers (for example, legal analysis and reasoning, drafting of legal documents) while others address skills that should be transferable between different professions and occupations (for example, collaboration, self-management).  Most include </w:t>
      </w:r>
      <w:r w:rsidRPr="00F40346">
        <w:rPr>
          <w:rFonts w:ascii="Palatino Linotype" w:hAnsi="Palatino Linotype"/>
        </w:rPr>
        <w:lastRenderedPageBreak/>
        <w:t>interpersonal skills in legal contexts as well as skills related to self-evaluation and reflective practice.</w:t>
      </w:r>
    </w:p>
    <w:p w14:paraId="5C1543A1" w14:textId="77777777" w:rsidR="001A3802" w:rsidRPr="00F40346" w:rsidRDefault="006C6D3D" w:rsidP="00F40346">
      <w:pPr>
        <w:spacing w:line="480" w:lineRule="auto"/>
        <w:jc w:val="both"/>
        <w:outlineLvl w:val="0"/>
        <w:rPr>
          <w:rFonts w:ascii="Palatino Linotype" w:hAnsi="Palatino Linotype" w:cs="Times New Roman"/>
          <w:szCs w:val="24"/>
        </w:rPr>
      </w:pPr>
      <w:r w:rsidRPr="00F40346">
        <w:rPr>
          <w:rFonts w:ascii="Palatino Linotype" w:hAnsi="Palatino Linotype" w:cs="Times New Roman"/>
          <w:szCs w:val="24"/>
        </w:rPr>
        <w:t xml:space="preserve">Along with variation in the language used and concepts addressed, there is common ground among many of the various stakeholders in legal education regarding the importance of law schools graduating students who are “practice ready.”  Kindred calls have come from critics, regulators, some law faculty, and students.  </w:t>
      </w:r>
    </w:p>
    <w:p w14:paraId="71D82928" w14:textId="77777777" w:rsidR="001A3802" w:rsidRPr="00F40346" w:rsidRDefault="001A3802" w:rsidP="00F40346">
      <w:pPr>
        <w:spacing w:line="480" w:lineRule="auto"/>
        <w:jc w:val="both"/>
        <w:outlineLvl w:val="0"/>
        <w:rPr>
          <w:rFonts w:ascii="Palatino Linotype" w:hAnsi="Palatino Linotype" w:cs="Times New Roman"/>
          <w:szCs w:val="24"/>
        </w:rPr>
      </w:pPr>
    </w:p>
    <w:p w14:paraId="0CAFE3A9" w14:textId="3A444D17" w:rsidR="001A3802" w:rsidRPr="00F40346" w:rsidRDefault="001A3802" w:rsidP="00F40346">
      <w:pPr>
        <w:pStyle w:val="ListParagraph"/>
        <w:numPr>
          <w:ilvl w:val="0"/>
          <w:numId w:val="20"/>
        </w:numPr>
        <w:spacing w:line="480" w:lineRule="auto"/>
        <w:jc w:val="both"/>
        <w:outlineLvl w:val="0"/>
        <w:rPr>
          <w:rFonts w:ascii="Palatino Linotype" w:hAnsi="Palatino Linotype" w:cs="Times New Roman"/>
          <w:szCs w:val="24"/>
        </w:rPr>
      </w:pPr>
      <w:r w:rsidRPr="00F40346">
        <w:rPr>
          <w:rFonts w:ascii="Palatino Linotype" w:hAnsi="Palatino Linotype" w:cs="Times New Roman"/>
          <w:szCs w:val="24"/>
        </w:rPr>
        <w:t xml:space="preserve"> </w:t>
      </w:r>
      <w:r w:rsidRPr="00F40346">
        <w:rPr>
          <w:rFonts w:ascii="Palatino Linotype" w:hAnsi="Palatino Linotype" w:cs="Times New Roman"/>
          <w:sz w:val="24"/>
          <w:szCs w:val="24"/>
        </w:rPr>
        <w:t>The Regulatory Approach</w:t>
      </w:r>
    </w:p>
    <w:p w14:paraId="39BB41A5" w14:textId="36D0584C" w:rsidR="006C6D3D" w:rsidRPr="00F40346" w:rsidRDefault="006C6D3D" w:rsidP="00F40346">
      <w:pPr>
        <w:spacing w:line="480" w:lineRule="auto"/>
        <w:jc w:val="both"/>
        <w:outlineLvl w:val="0"/>
        <w:rPr>
          <w:rFonts w:ascii="Palatino Linotype" w:hAnsi="Palatino Linotype" w:cs="Times New Roman"/>
          <w:i/>
          <w:szCs w:val="24"/>
        </w:rPr>
      </w:pPr>
      <w:r w:rsidRPr="00F40346">
        <w:rPr>
          <w:rFonts w:ascii="Palatino Linotype" w:hAnsi="Palatino Linotype"/>
        </w:rPr>
        <w:t>The American Bar Association (ABA), as the accrediting agency for American law schools, has taken significant steps to integrate “skills” into the curriculum by requiring at least six credits of “experiential course(s).”</w:t>
      </w:r>
      <w:r w:rsidRPr="00F40346">
        <w:rPr>
          <w:rStyle w:val="FootnoteReference"/>
          <w:rFonts w:ascii="Palatino Linotype" w:hAnsi="Palatino Linotype"/>
        </w:rPr>
        <w:footnoteReference w:id="20"/>
      </w:r>
      <w:r w:rsidRPr="00F40346">
        <w:rPr>
          <w:rFonts w:ascii="Palatino Linotype" w:hAnsi="Palatino Linotype"/>
        </w:rPr>
        <w:t xml:space="preserve">  </w:t>
      </w:r>
      <w:r w:rsidRPr="00F40346">
        <w:rPr>
          <w:rFonts w:ascii="Palatino Linotype" w:hAnsi="Palatino Linotype" w:cs="Times New Roman"/>
          <w:szCs w:val="24"/>
        </w:rPr>
        <w:t xml:space="preserve">The ABA Standards state that </w:t>
      </w:r>
      <w:r w:rsidRPr="00F40346">
        <w:rPr>
          <w:rFonts w:ascii="Palatino Linotype" w:hAnsi="Palatino Linotype" w:cs="Times New Roman"/>
        </w:rPr>
        <w:t>the “learning outcomes” to be achieved in a legal education shall include competency in “[l]egal analysis and reasoning, legal research, problem-solving, and written and oral communication in the legal context” as well as “[o]ther professional skills needed for competent and ethical responsibilities to clients and the legal system.”</w:t>
      </w:r>
      <w:r w:rsidRPr="00F40346">
        <w:rPr>
          <w:rStyle w:val="FootnoteReference"/>
          <w:rFonts w:ascii="Palatino Linotype" w:hAnsi="Palatino Linotype" w:cs="Times New Roman"/>
        </w:rPr>
        <w:footnoteReference w:id="21"/>
      </w:r>
      <w:r w:rsidRPr="00F40346">
        <w:rPr>
          <w:rFonts w:ascii="Palatino Linotype" w:hAnsi="Palatino Linotype" w:cs="Times New Roman"/>
        </w:rPr>
        <w:t xml:space="preserve">  These “other professional skills . . . may include skills such as interviewing, </w:t>
      </w:r>
      <w:r w:rsidRPr="00F40346">
        <w:rPr>
          <w:rFonts w:ascii="Palatino Linotype" w:hAnsi="Palatino Linotype" w:cs="Times New Roman"/>
        </w:rPr>
        <w:lastRenderedPageBreak/>
        <w:t>counseling, negotiation, fact development and analysis, trial practice, document drafting, conflict resolution, organization and management of legal work, collaboration, cultural competency, and self-evaluation.”</w:t>
      </w:r>
      <w:r w:rsidRPr="00F40346">
        <w:rPr>
          <w:rStyle w:val="FootnoteReference"/>
          <w:rFonts w:ascii="Palatino Linotype" w:hAnsi="Palatino Linotype" w:cs="Times New Roman"/>
        </w:rPr>
        <w:footnoteReference w:id="22"/>
      </w:r>
    </w:p>
    <w:p w14:paraId="0A5B9824" w14:textId="577CB7F9" w:rsidR="006C6D3D" w:rsidRPr="00F40346" w:rsidRDefault="006C6D3D" w:rsidP="00F40346">
      <w:pPr>
        <w:spacing w:line="480" w:lineRule="auto"/>
        <w:jc w:val="both"/>
        <w:rPr>
          <w:rFonts w:ascii="Palatino Linotype" w:hAnsi="Palatino Linotype"/>
        </w:rPr>
      </w:pPr>
      <w:r w:rsidRPr="00F40346">
        <w:rPr>
          <w:rFonts w:ascii="Palatino Linotype" w:hAnsi="Palatino Linotype"/>
        </w:rPr>
        <w:t>An experiential course must be “primarily experiential in nature” and must be “a simulation course, a law clinic or a field placement.”</w:t>
      </w:r>
      <w:r w:rsidRPr="00F40346">
        <w:rPr>
          <w:rStyle w:val="FootnoteReference"/>
          <w:rFonts w:ascii="Palatino Linotype" w:hAnsi="Palatino Linotype"/>
        </w:rPr>
        <w:footnoteReference w:id="23"/>
      </w:r>
      <w:r w:rsidRPr="00F40346">
        <w:rPr>
          <w:rFonts w:ascii="Palatino Linotype" w:hAnsi="Palatino Linotype"/>
        </w:rPr>
        <w:t xml:space="preserve">  Such a course must “integrate doctrine, theory, skills and legal ethics, and engage students in performance of one or more of the professional skills identified in Standard 302; develop the concepts underlying the professional skills being taught; provide multiple opportunities for performance; and provide opportunities for self-evaluation.”</w:t>
      </w:r>
      <w:r w:rsidRPr="00F40346">
        <w:rPr>
          <w:rStyle w:val="FootnoteReference"/>
          <w:rFonts w:ascii="Palatino Linotype" w:hAnsi="Palatino Linotype"/>
        </w:rPr>
        <w:footnoteReference w:id="24"/>
      </w:r>
    </w:p>
    <w:p w14:paraId="21FB1450" w14:textId="78008CC8" w:rsidR="006C6D3D" w:rsidRPr="00F40346" w:rsidRDefault="006C6D3D" w:rsidP="00F40346">
      <w:pPr>
        <w:spacing w:line="480" w:lineRule="auto"/>
        <w:rPr>
          <w:rFonts w:ascii="Palatino Linotype" w:hAnsi="Palatino Linotype"/>
          <w:i/>
        </w:rPr>
      </w:pPr>
      <w:r w:rsidRPr="00F40346">
        <w:rPr>
          <w:rFonts w:ascii="Palatino Linotype" w:hAnsi="Palatino Linotype"/>
        </w:rPr>
        <w:t>The very language of Standard 303 focuses on “skills”</w:t>
      </w:r>
      <w:r w:rsidRPr="00F40346">
        <w:rPr>
          <w:rFonts w:ascii="Palatino Linotype" w:eastAsia="Times New Roman" w:hAnsi="Palatino Linotype"/>
          <w:szCs w:val="24"/>
        </w:rPr>
        <w:t>—</w:t>
      </w:r>
      <w:r w:rsidRPr="00F40346">
        <w:rPr>
          <w:rFonts w:ascii="Palatino Linotype" w:hAnsi="Palatino Linotype"/>
        </w:rPr>
        <w:t>multiple opportunities for their performance, the concepts underlying them, and the student’s evaluation of his or her performance of these skills.  The Standard that governs simulation courses and law clinics further emphasizes the importance of “skills” by requiring “direct supervision of the student’s performance by a faculty member; opportunities for performance, feedback from a faculty member, and self-evaluation.”</w:t>
      </w:r>
      <w:r w:rsidRPr="00F40346">
        <w:rPr>
          <w:rStyle w:val="FootnoteReference"/>
          <w:rFonts w:ascii="Palatino Linotype" w:hAnsi="Palatino Linotype"/>
        </w:rPr>
        <w:footnoteReference w:id="25"/>
      </w:r>
    </w:p>
    <w:p w14:paraId="165C5595" w14:textId="6A037643" w:rsidR="006C6D3D" w:rsidRPr="00F40346" w:rsidRDefault="006C6D3D" w:rsidP="00F40346">
      <w:pPr>
        <w:spacing w:line="480" w:lineRule="auto"/>
        <w:jc w:val="both"/>
        <w:rPr>
          <w:rFonts w:ascii="Palatino Linotype" w:hAnsi="Palatino Linotype"/>
          <w:i/>
        </w:rPr>
      </w:pPr>
      <w:r w:rsidRPr="00F40346">
        <w:rPr>
          <w:rFonts w:ascii="Palatino Linotype" w:hAnsi="Palatino Linotype"/>
        </w:rPr>
        <w:t xml:space="preserve">The ABA’s recent revision to Standard 304 explicitly defines externships, or “field placement” courses, as experiential courses if they provide “substantial lawyering experience that . . .  is reasonably similar to the experience of a lawyer advising or </w:t>
      </w:r>
      <w:r w:rsidRPr="00F40346">
        <w:rPr>
          <w:rFonts w:ascii="Palatino Linotype" w:hAnsi="Palatino Linotype"/>
        </w:rPr>
        <w:lastRenderedPageBreak/>
        <w:t>representing a client or engaging in other lawyering tasks.”</w:t>
      </w:r>
      <w:r w:rsidRPr="00F40346">
        <w:rPr>
          <w:rStyle w:val="FootnoteReference"/>
          <w:rFonts w:ascii="Palatino Linotype" w:hAnsi="Palatino Linotype"/>
        </w:rPr>
        <w:footnoteReference w:id="26"/>
      </w:r>
      <w:r w:rsidRPr="00F40346">
        <w:rPr>
          <w:rFonts w:ascii="Palatino Linotype" w:hAnsi="Palatino Linotype"/>
        </w:rPr>
        <w:t xml:space="preserve">  </w:t>
      </w:r>
      <w:bookmarkStart w:id="4" w:name="_Hlk488232478"/>
      <w:r w:rsidRPr="00F40346">
        <w:rPr>
          <w:rFonts w:ascii="Palatino Linotype" w:hAnsi="Palatino Linotype"/>
        </w:rPr>
        <w:t xml:space="preserve">This standard requires “direct supervision of the student’s </w:t>
      </w:r>
      <w:r w:rsidRPr="00F40346">
        <w:rPr>
          <w:rFonts w:ascii="Palatino Linotype" w:hAnsi="Palatino Linotype"/>
          <w:i/>
        </w:rPr>
        <w:t>performance</w:t>
      </w:r>
      <w:r w:rsidRPr="00F40346">
        <w:rPr>
          <w:rFonts w:ascii="Palatino Linotype" w:hAnsi="Palatino Linotype"/>
        </w:rPr>
        <w:t xml:space="preserve"> by a faculty member or site supervisor” as well as “opportunities for </w:t>
      </w:r>
      <w:r w:rsidRPr="00F40346">
        <w:rPr>
          <w:rFonts w:ascii="Palatino Linotype" w:hAnsi="Palatino Linotype"/>
          <w:i/>
        </w:rPr>
        <w:t>performance, feedback</w:t>
      </w:r>
      <w:r w:rsidRPr="00F40346">
        <w:rPr>
          <w:rFonts w:ascii="Palatino Linotype" w:hAnsi="Palatino Linotype"/>
        </w:rPr>
        <w:t xml:space="preserve"> from either a faculty member or a site supervisor, and </w:t>
      </w:r>
      <w:r w:rsidRPr="00F40346">
        <w:rPr>
          <w:rFonts w:ascii="Palatino Linotype" w:hAnsi="Palatino Linotype"/>
          <w:i/>
        </w:rPr>
        <w:t>self-evaluation</w:t>
      </w:r>
      <w:r w:rsidRPr="00F40346">
        <w:rPr>
          <w:rFonts w:ascii="Palatino Linotype" w:hAnsi="Palatino Linotype"/>
        </w:rPr>
        <w:t>.”</w:t>
      </w:r>
      <w:r w:rsidRPr="00F40346">
        <w:rPr>
          <w:rStyle w:val="FootnoteReference"/>
          <w:rFonts w:ascii="Palatino Linotype" w:hAnsi="Palatino Linotype"/>
        </w:rPr>
        <w:footnoteReference w:id="27"/>
      </w:r>
      <w:r w:rsidRPr="00F40346">
        <w:rPr>
          <w:rFonts w:ascii="Palatino Linotype" w:hAnsi="Palatino Linotype"/>
        </w:rPr>
        <w:t xml:space="preserve">  </w:t>
      </w:r>
      <w:bookmarkEnd w:id="4"/>
      <w:r w:rsidRPr="00F40346">
        <w:rPr>
          <w:rFonts w:ascii="Palatino Linotype" w:hAnsi="Palatino Linotype"/>
        </w:rPr>
        <w:t>The focus on performance, feedback, and evaluation underscores the importance of skills acquisition to the authors of this standard.</w:t>
      </w:r>
    </w:p>
    <w:p w14:paraId="2751BF4C" w14:textId="7EDF0584" w:rsidR="006C6D3D" w:rsidRPr="00F40346" w:rsidRDefault="006C6D3D" w:rsidP="00F40346">
      <w:pPr>
        <w:spacing w:line="480" w:lineRule="auto"/>
        <w:jc w:val="both"/>
        <w:rPr>
          <w:rFonts w:ascii="Palatino Linotype" w:hAnsi="Palatino Linotype"/>
        </w:rPr>
      </w:pPr>
      <w:r w:rsidRPr="00F40346">
        <w:rPr>
          <w:rFonts w:ascii="Palatino Linotype" w:hAnsi="Palatino Linotype"/>
        </w:rPr>
        <w:t xml:space="preserve">Externships and other forms of clinical and experiential learning are only peripherally addressed in the regulatory framework for Australian legal education. </w:t>
      </w:r>
      <w:bookmarkStart w:id="5" w:name="_Hlk488234128"/>
      <w:r w:rsidRPr="00F40346">
        <w:rPr>
          <w:rFonts w:ascii="Palatino Linotype" w:hAnsi="Palatino Linotype"/>
        </w:rPr>
        <w:t xml:space="preserve"> The Australian Qualifications Framework requires Bachelor of Law (LLB) and JD qualifications to satisfy a set of Threshold Learning Outcomes (TLOs) in six categories:  (1) knowledge; (2) ethics and professional responsibility; (3) thinking skills; (4) research skills; (5) ability to communicate and collaborate; and (6) self-management.</w:t>
      </w:r>
      <w:r w:rsidRPr="00F40346">
        <w:rPr>
          <w:rStyle w:val="FootnoteReference"/>
          <w:rFonts w:ascii="Palatino Linotype" w:hAnsi="Palatino Linotype"/>
        </w:rPr>
        <w:footnoteReference w:id="28"/>
      </w:r>
      <w:r w:rsidRPr="00F40346">
        <w:rPr>
          <w:rFonts w:ascii="Palatino Linotype" w:hAnsi="Palatino Linotype"/>
        </w:rPr>
        <w:t xml:space="preserve"> </w:t>
      </w:r>
      <w:bookmarkEnd w:id="5"/>
      <w:r w:rsidRPr="00F40346">
        <w:rPr>
          <w:rFonts w:ascii="Palatino Linotype" w:hAnsi="Palatino Linotype"/>
        </w:rPr>
        <w:t>These TLOs are designed to guide the general structure of Australian legal education programs rather than setting requirements for particular courses within a law program.  They emphasize a range of skills that could be interpreted to include the micro and macro evaluation of values discussed in the next section of this article.  The TLOs and the accompanying notes do not make any claims regarding the suitability of particular teaching methods for ensuring that students satisfy these requirements.</w:t>
      </w:r>
    </w:p>
    <w:p w14:paraId="6D1CF4E0" w14:textId="21637CB6" w:rsidR="006C6D3D" w:rsidRPr="00F40346" w:rsidRDefault="006C6D3D" w:rsidP="00F40346">
      <w:pPr>
        <w:spacing w:line="480" w:lineRule="auto"/>
        <w:jc w:val="both"/>
        <w:rPr>
          <w:rFonts w:ascii="Palatino Linotype" w:hAnsi="Palatino Linotype"/>
        </w:rPr>
      </w:pPr>
      <w:r w:rsidRPr="00F40346">
        <w:rPr>
          <w:rFonts w:ascii="Palatino Linotype" w:hAnsi="Palatino Linotype"/>
        </w:rPr>
        <w:lastRenderedPageBreak/>
        <w:t xml:space="preserve">While the contributions of experiential learning tend to be acknowledged by Australian legal educators, this has not resulted in clinical and placement experiences being embedded in the structures for LLB and JD studies.  The </w:t>
      </w:r>
      <w:r w:rsidRPr="00F40346">
        <w:rPr>
          <w:rFonts w:ascii="Palatino Linotype" w:hAnsi="Palatino Linotype"/>
          <w:smallCaps/>
        </w:rPr>
        <w:t>Australian Best Practices in Clinical Legal Education</w:t>
      </w:r>
      <w:r w:rsidRPr="00F40346">
        <w:rPr>
          <w:rFonts w:ascii="Palatino Linotype" w:hAnsi="Palatino Linotype"/>
        </w:rPr>
        <w:t xml:space="preserve"> lists various possible learning outcomes for clinical legal education, including students developing and refining their</w:t>
      </w:r>
      <w:r w:rsidR="00CA5F56" w:rsidRPr="00F40346">
        <w:rPr>
          <w:rFonts w:ascii="Palatino Linotype" w:hAnsi="Palatino Linotype"/>
        </w:rPr>
        <w:t>:</w:t>
      </w:r>
    </w:p>
    <w:p w14:paraId="04BFC0B3" w14:textId="77777777" w:rsidR="006C6D3D" w:rsidRPr="00F40346" w:rsidRDefault="006C6D3D" w:rsidP="00F40346">
      <w:pPr>
        <w:pStyle w:val="ListParagraph"/>
        <w:numPr>
          <w:ilvl w:val="0"/>
          <w:numId w:val="7"/>
        </w:numPr>
        <w:spacing w:line="360" w:lineRule="auto"/>
        <w:jc w:val="both"/>
        <w:rPr>
          <w:rFonts w:ascii="Palatino Linotype" w:hAnsi="Palatino Linotype" w:cs="Times New Roman"/>
          <w:sz w:val="24"/>
          <w:szCs w:val="24"/>
        </w:rPr>
      </w:pPr>
      <w:r w:rsidRPr="00F40346">
        <w:rPr>
          <w:rFonts w:ascii="Palatino Linotype" w:hAnsi="Palatino Linotype" w:cs="Times New Roman"/>
          <w:sz w:val="24"/>
          <w:szCs w:val="24"/>
        </w:rPr>
        <w:t xml:space="preserve">critical analyses of legal concepts through reflective practice; </w:t>
      </w:r>
    </w:p>
    <w:p w14:paraId="6190D5D4" w14:textId="5576D128" w:rsidR="006C6D3D" w:rsidRPr="00F40346" w:rsidRDefault="006C6D3D" w:rsidP="00F40346">
      <w:pPr>
        <w:pStyle w:val="ListParagraph"/>
        <w:numPr>
          <w:ilvl w:val="0"/>
          <w:numId w:val="7"/>
        </w:numPr>
        <w:spacing w:line="360" w:lineRule="auto"/>
        <w:jc w:val="both"/>
        <w:rPr>
          <w:rFonts w:ascii="Palatino Linotype" w:hAnsi="Palatino Linotype" w:cs="Times New Roman"/>
          <w:sz w:val="24"/>
          <w:szCs w:val="24"/>
        </w:rPr>
      </w:pPr>
      <w:r w:rsidRPr="00F40346">
        <w:rPr>
          <w:rFonts w:ascii="Palatino Linotype" w:hAnsi="Palatino Linotype" w:cs="Times New Roman"/>
          <w:sz w:val="24"/>
          <w:szCs w:val="24"/>
        </w:rPr>
        <w:t xml:space="preserve">ability to work collaboratively; </w:t>
      </w:r>
    </w:p>
    <w:p w14:paraId="3733D4C7" w14:textId="64AA606D" w:rsidR="006C6D3D" w:rsidRPr="00F40346" w:rsidRDefault="006C6D3D" w:rsidP="00F40346">
      <w:pPr>
        <w:pStyle w:val="ListParagraph"/>
        <w:numPr>
          <w:ilvl w:val="0"/>
          <w:numId w:val="7"/>
        </w:numPr>
        <w:spacing w:line="360" w:lineRule="auto"/>
        <w:jc w:val="both"/>
        <w:rPr>
          <w:rFonts w:ascii="Palatino Linotype" w:hAnsi="Palatino Linotype" w:cs="Times New Roman"/>
          <w:sz w:val="24"/>
          <w:szCs w:val="24"/>
        </w:rPr>
      </w:pPr>
      <w:r w:rsidRPr="00F40346">
        <w:rPr>
          <w:rFonts w:ascii="Palatino Linotype" w:hAnsi="Palatino Linotype" w:cs="Times New Roman"/>
          <w:sz w:val="24"/>
          <w:szCs w:val="24"/>
        </w:rPr>
        <w:t xml:space="preserve">interpersonal skills, emotional intelligence, and self-awareness of their own cognitive abilities and values; </w:t>
      </w:r>
    </w:p>
    <w:p w14:paraId="240C3724" w14:textId="7742241D" w:rsidR="006C6D3D" w:rsidRPr="00F40346" w:rsidRDefault="006C6D3D" w:rsidP="00F40346">
      <w:pPr>
        <w:pStyle w:val="ListParagraph"/>
        <w:numPr>
          <w:ilvl w:val="0"/>
          <w:numId w:val="7"/>
        </w:numPr>
        <w:spacing w:line="360" w:lineRule="auto"/>
        <w:jc w:val="both"/>
        <w:rPr>
          <w:rFonts w:ascii="Palatino Linotype" w:hAnsi="Palatino Linotype" w:cs="Times New Roman"/>
          <w:sz w:val="24"/>
          <w:szCs w:val="24"/>
        </w:rPr>
      </w:pPr>
      <w:r w:rsidRPr="00F40346">
        <w:rPr>
          <w:rFonts w:ascii="Palatino Linotype" w:hAnsi="Palatino Linotype" w:cs="Times New Roman"/>
          <w:sz w:val="24"/>
          <w:szCs w:val="24"/>
        </w:rPr>
        <w:t xml:space="preserve">awareness of lawyering as a professional role in the context of wider society (including the imperatives of corporate social responsibility, social justice, and the provision of legal services to those unable to afford them) and of the importance of professional relationships; </w:t>
      </w:r>
    </w:p>
    <w:p w14:paraId="745499FB" w14:textId="77777777" w:rsidR="006C6D3D" w:rsidRPr="00F40346" w:rsidRDefault="006C6D3D" w:rsidP="00F40346">
      <w:pPr>
        <w:pStyle w:val="ListParagraph"/>
        <w:numPr>
          <w:ilvl w:val="0"/>
          <w:numId w:val="7"/>
        </w:numPr>
        <w:spacing w:line="360" w:lineRule="auto"/>
        <w:jc w:val="both"/>
        <w:rPr>
          <w:rFonts w:ascii="Palatino Linotype" w:hAnsi="Palatino Linotype" w:cs="Times New Roman"/>
          <w:sz w:val="24"/>
          <w:szCs w:val="24"/>
        </w:rPr>
      </w:pPr>
      <w:r w:rsidRPr="00F40346">
        <w:rPr>
          <w:rFonts w:ascii="Palatino Linotype" w:hAnsi="Palatino Linotype" w:cs="Times New Roman"/>
          <w:sz w:val="24"/>
          <w:szCs w:val="24"/>
        </w:rPr>
        <w:t xml:space="preserve">developing preference for an ethical approach to legal practice and an understanding of the impact of that preference in exercising professional judgment; and </w:t>
      </w:r>
    </w:p>
    <w:p w14:paraId="596FCDA6" w14:textId="483B4C99" w:rsidR="006C6D3D" w:rsidRPr="00F40346" w:rsidRDefault="006C6D3D" w:rsidP="00F40346">
      <w:pPr>
        <w:pStyle w:val="ListParagraph"/>
        <w:numPr>
          <w:ilvl w:val="0"/>
          <w:numId w:val="7"/>
        </w:numPr>
        <w:spacing w:line="360" w:lineRule="auto"/>
        <w:jc w:val="both"/>
        <w:rPr>
          <w:rFonts w:ascii="Palatino Linotype" w:hAnsi="Palatino Linotype" w:cs="Times New Roman"/>
          <w:sz w:val="24"/>
          <w:szCs w:val="24"/>
        </w:rPr>
      </w:pPr>
      <w:r w:rsidRPr="00F40346">
        <w:rPr>
          <w:rFonts w:ascii="Palatino Linotype" w:hAnsi="Palatino Linotype" w:cs="Times New Roman"/>
          <w:sz w:val="24"/>
          <w:szCs w:val="24"/>
        </w:rPr>
        <w:t>awareness of the social issues of justice, power and disadvantage and an ability to critically analyse entrenched issues of justice in the legal system.</w:t>
      </w:r>
    </w:p>
    <w:p w14:paraId="13AFA3B4" w14:textId="77777777" w:rsidR="00F40346" w:rsidRDefault="00F40346" w:rsidP="00F40346">
      <w:pPr>
        <w:spacing w:line="480" w:lineRule="auto"/>
        <w:jc w:val="both"/>
        <w:rPr>
          <w:rFonts w:ascii="Palatino Linotype" w:hAnsi="Palatino Linotype"/>
        </w:rPr>
      </w:pPr>
    </w:p>
    <w:p w14:paraId="4F244899" w14:textId="3CF164AA" w:rsidR="006C6D3D" w:rsidRPr="00F40346" w:rsidRDefault="006C6D3D" w:rsidP="00F40346">
      <w:pPr>
        <w:spacing w:line="480" w:lineRule="auto"/>
        <w:jc w:val="both"/>
        <w:rPr>
          <w:rFonts w:ascii="Palatino Linotype" w:hAnsi="Palatino Linotype"/>
        </w:rPr>
      </w:pPr>
      <w:r w:rsidRPr="00F40346">
        <w:rPr>
          <w:rFonts w:ascii="Palatino Linotype" w:hAnsi="Palatino Linotype"/>
        </w:rPr>
        <w:t>While they refer to the capacity of clinical courses to build in students an ability to practice ‘lawyering” skills;”</w:t>
      </w:r>
      <w:r w:rsidRPr="00F40346">
        <w:rPr>
          <w:rStyle w:val="FootnoteReference"/>
          <w:rFonts w:ascii="Palatino Linotype" w:hAnsi="Palatino Linotype"/>
        </w:rPr>
        <w:footnoteReference w:id="29"/>
      </w:r>
      <w:r w:rsidRPr="00F40346">
        <w:rPr>
          <w:rFonts w:ascii="Palatino Linotype" w:hAnsi="Palatino Linotype"/>
        </w:rPr>
        <w:t xml:space="preserve"> the authors of the </w:t>
      </w:r>
      <w:r w:rsidRPr="00F40346">
        <w:rPr>
          <w:rFonts w:ascii="Palatino Linotype" w:hAnsi="Palatino Linotype"/>
          <w:smallCaps/>
        </w:rPr>
        <w:t>Australian Clinical Best Practices</w:t>
      </w:r>
      <w:r w:rsidRPr="00F40346">
        <w:rPr>
          <w:rFonts w:ascii="Palatino Linotype" w:hAnsi="Palatino Linotype"/>
        </w:rPr>
        <w:t xml:space="preserve"> emphasized potential learning outcomes well beyond narrow conceptions of legal </w:t>
      </w:r>
      <w:r w:rsidRPr="00F40346">
        <w:rPr>
          <w:rFonts w:ascii="Palatino Linotype" w:hAnsi="Palatino Linotype"/>
        </w:rPr>
        <w:lastRenderedPageBreak/>
        <w:t>skills and substantive legal knowledge.  Their intention was to highlight the potential of clinical programs to facilitate learning well beyond the skills focus often associated with such programs.</w:t>
      </w:r>
    </w:p>
    <w:p w14:paraId="76FE62AB" w14:textId="4B17FD88" w:rsidR="006C6D3D" w:rsidRPr="00F40346" w:rsidRDefault="006C6D3D" w:rsidP="00F40346">
      <w:pPr>
        <w:spacing w:line="480" w:lineRule="auto"/>
        <w:jc w:val="both"/>
        <w:rPr>
          <w:rFonts w:ascii="Palatino Linotype" w:hAnsi="Palatino Linotype"/>
        </w:rPr>
      </w:pPr>
      <w:r w:rsidRPr="00F40346">
        <w:rPr>
          <w:rFonts w:ascii="Palatino Linotype" w:hAnsi="Palatino Linotype"/>
        </w:rPr>
        <w:t>Upon completing an LLB, Australian graduates must also undertake a Practical Legal Training (PLT) program or a supervised work traineeship to gain admission to the legal profession. A PLT program must include at least 450 hours of programmed training along with at least 15 days of workplace experience.</w:t>
      </w:r>
      <w:r w:rsidRPr="00F40346">
        <w:rPr>
          <w:rStyle w:val="FootnoteReference"/>
          <w:rFonts w:ascii="Palatino Linotype" w:hAnsi="Palatino Linotype"/>
        </w:rPr>
        <w:footnoteReference w:id="30"/>
      </w:r>
      <w:r w:rsidRPr="00F40346">
        <w:rPr>
          <w:rFonts w:ascii="Palatino Linotype" w:hAnsi="Palatino Linotype"/>
        </w:rPr>
        <w:t xml:space="preserve">  The program must develop the competence of trainees in relation to three areas: skills, prescribed practice areas and values.  The reference to skills covers four key skills areas:  lawyers’ skills; problem solving; work management and business skills; and trust and office accounting.  This characterization focuses on narrow legal skills while also addressing interpersonal skills and cultural awareness.  The lawyers’ skills for which candidates must demonstrate competence are oral communication, legal interviewing, advocacy, negotiation, dispute resolution, letter writing, and drafting.</w:t>
      </w:r>
    </w:p>
    <w:p w14:paraId="6E643036" w14:textId="6189BB3B" w:rsidR="006C6D3D" w:rsidRPr="00F40346" w:rsidRDefault="006C6D3D" w:rsidP="00F40346">
      <w:pPr>
        <w:spacing w:line="480" w:lineRule="auto"/>
        <w:jc w:val="both"/>
        <w:rPr>
          <w:rFonts w:ascii="Palatino Linotype" w:hAnsi="Palatino Linotype"/>
        </w:rPr>
      </w:pPr>
      <w:r w:rsidRPr="00F40346">
        <w:rPr>
          <w:rFonts w:ascii="Palatino Linotype" w:hAnsi="Palatino Linotype"/>
        </w:rPr>
        <w:t>While the skills requirements are fairly detailed, there are only limited specifications for the workplace experience component of the PLT.</w:t>
      </w:r>
      <w:r w:rsidRPr="00F40346">
        <w:rPr>
          <w:rStyle w:val="FootnoteReference"/>
          <w:rFonts w:ascii="Palatino Linotype" w:hAnsi="Palatino Linotype"/>
        </w:rPr>
        <w:footnoteReference w:id="31"/>
      </w:r>
      <w:r w:rsidRPr="00F40346">
        <w:rPr>
          <w:rFonts w:ascii="Palatino Linotype" w:hAnsi="Palatino Linotype"/>
        </w:rPr>
        <w:t xml:space="preserve">  It was only in 2016 that Australian admitting authorities approved standards relating to the purpose of the workplace experience phase of PLT studies.  The standards set four learning outcomes </w:t>
      </w:r>
      <w:r w:rsidRPr="00F40346">
        <w:rPr>
          <w:rFonts w:ascii="Palatino Linotype" w:hAnsi="Palatino Linotype"/>
        </w:rPr>
        <w:lastRenderedPageBreak/>
        <w:t>for such workplace experiences:  applying their learning in the context of legal practice; being supervised in the execution of legal work; gaining a “basic understanding” of what legal practitioners do in practice; and critically reflecting on their experiences.</w:t>
      </w:r>
      <w:r w:rsidRPr="00F40346">
        <w:rPr>
          <w:rStyle w:val="FootnoteReference"/>
          <w:rFonts w:ascii="Palatino Linotype" w:hAnsi="Palatino Linotype"/>
        </w:rPr>
        <w:footnoteReference w:id="32"/>
      </w:r>
      <w:r w:rsidRPr="00F40346">
        <w:rPr>
          <w:rFonts w:ascii="Palatino Linotype" w:hAnsi="Palatino Linotype"/>
        </w:rPr>
        <w:t xml:space="preserve">  These arrangements mean that the opportunity to effectively integrate the placement with the other aspects of the PLT program has been missed. Concerns have been raised elsewhere in relation to this lack of engagement with issues related to the effective design of the workplace experiences undertaken by students.</w:t>
      </w:r>
      <w:r w:rsidRPr="00F40346">
        <w:rPr>
          <w:rStyle w:val="FootnoteReference"/>
          <w:rFonts w:ascii="Palatino Linotype" w:hAnsi="Palatino Linotype"/>
        </w:rPr>
        <w:footnoteReference w:id="33"/>
      </w:r>
      <w:r w:rsidRPr="00F40346">
        <w:rPr>
          <w:rFonts w:ascii="Palatino Linotype" w:hAnsi="Palatino Linotype"/>
        </w:rPr>
        <w:t xml:space="preserve">  The Australian PLT standards would benefit from specific detail regarding the purpose and content of the workplace experience and the skills learners need to develop.</w:t>
      </w:r>
    </w:p>
    <w:p w14:paraId="038DC0C1" w14:textId="308034BE" w:rsidR="006C6D3D" w:rsidRPr="00F40346" w:rsidRDefault="006C6D3D" w:rsidP="00F40346">
      <w:pPr>
        <w:spacing w:line="480" w:lineRule="auto"/>
        <w:jc w:val="both"/>
        <w:rPr>
          <w:rFonts w:ascii="Palatino Linotype" w:hAnsi="Palatino Linotype"/>
          <w:i/>
        </w:rPr>
      </w:pPr>
      <w:r w:rsidRPr="00F40346">
        <w:rPr>
          <w:rFonts w:ascii="Palatino Linotype" w:hAnsi="Palatino Linotype"/>
        </w:rPr>
        <w:t xml:space="preserve">In England and Wales, the Joint Statement on the Academic Stage of Training issued by the Law Society and the General Council of the Bar specifies that Qualifying Law Degrees and Graduate Diplomas in Law need to address skills including: legal research, analysis and application “to the solution of legal problems;” oral and written communication “to the needs of a variety of audiences;” problem solving; use of language “with care and accuracy;” electronic research, communication, and work </w:t>
      </w:r>
      <w:r w:rsidRPr="00F40346">
        <w:rPr>
          <w:rFonts w:ascii="Palatino Linotype" w:hAnsi="Palatino Linotype"/>
        </w:rPr>
        <w:lastRenderedPageBreak/>
        <w:t>processing.</w:t>
      </w:r>
      <w:r w:rsidRPr="00F40346">
        <w:rPr>
          <w:rStyle w:val="FootnoteReference"/>
          <w:rFonts w:ascii="Palatino Linotype" w:hAnsi="Palatino Linotype"/>
        </w:rPr>
        <w:footnoteReference w:id="34"/>
      </w:r>
      <w:r w:rsidRPr="00F40346">
        <w:rPr>
          <w:rFonts w:ascii="Palatino Linotype" w:hAnsi="Palatino Linotype"/>
        </w:rPr>
        <w:t xml:space="preserve">  The Bar Professional Training Program that graduates must complete in order to practice as a barrister addresses the development of skills related to advocacy, opinion writing, drafting, conference skills, dispute resolution, and legal research.</w:t>
      </w:r>
      <w:r w:rsidRPr="00F40346">
        <w:rPr>
          <w:rStyle w:val="FootnoteReference"/>
          <w:rFonts w:ascii="Palatino Linotype" w:hAnsi="Palatino Linotype"/>
        </w:rPr>
        <w:footnoteReference w:id="35"/>
      </w:r>
      <w:r w:rsidRPr="00F40346">
        <w:rPr>
          <w:rFonts w:ascii="Palatino Linotype" w:hAnsi="Palatino Linotype"/>
        </w:rPr>
        <w:t xml:space="preserve">  These standards involve a relatively limited set of lawyering tasks and have not addressed the broader conceptions used elsewhere.</w:t>
      </w:r>
    </w:p>
    <w:p w14:paraId="44BD42F2" w14:textId="37760349" w:rsidR="006C6D3D" w:rsidRPr="00F40346" w:rsidRDefault="006C6D3D" w:rsidP="00F40346">
      <w:pPr>
        <w:spacing w:line="480" w:lineRule="auto"/>
        <w:jc w:val="both"/>
        <w:rPr>
          <w:rFonts w:ascii="Palatino Linotype" w:hAnsi="Palatino Linotype"/>
        </w:rPr>
      </w:pPr>
      <w:r w:rsidRPr="00F40346">
        <w:rPr>
          <w:rFonts w:ascii="Palatino Linotype" w:hAnsi="Palatino Linotype"/>
        </w:rPr>
        <w:t>The 2013 Report of the Legal Education and Training Review for England and Wales adapted a framework from medicine to identify 32 attributes related to professional competencies in legal services.</w:t>
      </w:r>
      <w:r w:rsidRPr="00F40346">
        <w:rPr>
          <w:rStyle w:val="FootnoteReference"/>
          <w:rFonts w:ascii="Palatino Linotype" w:hAnsi="Palatino Linotype"/>
        </w:rPr>
        <w:footnoteReference w:id="36"/>
      </w:r>
      <w:r w:rsidRPr="00F40346">
        <w:rPr>
          <w:rFonts w:ascii="Palatino Linotype" w:hAnsi="Palatino Linotype"/>
        </w:rPr>
        <w:t xml:space="preserve">  These competencies extend beyond a narrow conception of the skills required by lawyers to address six dimensions:</w:t>
      </w:r>
    </w:p>
    <w:p w14:paraId="50E38AA7" w14:textId="09319065" w:rsidR="006C6D3D" w:rsidRPr="00F40346" w:rsidRDefault="006C6D3D" w:rsidP="00F40346">
      <w:pPr>
        <w:pStyle w:val="ListParagraph"/>
        <w:numPr>
          <w:ilvl w:val="0"/>
          <w:numId w:val="9"/>
        </w:numPr>
        <w:spacing w:line="360" w:lineRule="auto"/>
        <w:jc w:val="both"/>
        <w:rPr>
          <w:rFonts w:ascii="Palatino Linotype" w:hAnsi="Palatino Linotype" w:cs="Times New Roman"/>
          <w:sz w:val="24"/>
          <w:szCs w:val="24"/>
        </w:rPr>
      </w:pPr>
      <w:r w:rsidRPr="00F40346">
        <w:rPr>
          <w:rFonts w:ascii="Palatino Linotype" w:hAnsi="Palatino Linotype" w:cs="Times New Roman"/>
          <w:sz w:val="24"/>
          <w:szCs w:val="24"/>
        </w:rPr>
        <w:t>Cognitive (including self-directed acquisition of new knowledge and learning from experience);</w:t>
      </w:r>
    </w:p>
    <w:p w14:paraId="607CE64D" w14:textId="7F6DFB58" w:rsidR="006C6D3D" w:rsidRPr="00F40346" w:rsidRDefault="006C6D3D" w:rsidP="00F40346">
      <w:pPr>
        <w:pStyle w:val="ListParagraph"/>
        <w:numPr>
          <w:ilvl w:val="0"/>
          <w:numId w:val="9"/>
        </w:numPr>
        <w:spacing w:line="360" w:lineRule="auto"/>
        <w:jc w:val="both"/>
        <w:rPr>
          <w:rFonts w:ascii="Palatino Linotype" w:hAnsi="Palatino Linotype" w:cs="Times New Roman"/>
          <w:sz w:val="24"/>
          <w:szCs w:val="24"/>
        </w:rPr>
      </w:pPr>
      <w:r w:rsidRPr="00F40346">
        <w:rPr>
          <w:rFonts w:ascii="Palatino Linotype" w:hAnsi="Palatino Linotype" w:cs="Times New Roman"/>
          <w:sz w:val="24"/>
          <w:szCs w:val="24"/>
        </w:rPr>
        <w:t>Integrative (including managing uncertainty);</w:t>
      </w:r>
    </w:p>
    <w:p w14:paraId="5D1BB9BF" w14:textId="32194120" w:rsidR="006C6D3D" w:rsidRPr="00F40346" w:rsidRDefault="006C6D3D" w:rsidP="00F40346">
      <w:pPr>
        <w:pStyle w:val="ListParagraph"/>
        <w:numPr>
          <w:ilvl w:val="0"/>
          <w:numId w:val="9"/>
        </w:numPr>
        <w:spacing w:line="360" w:lineRule="auto"/>
        <w:jc w:val="both"/>
        <w:rPr>
          <w:rFonts w:ascii="Palatino Linotype" w:hAnsi="Palatino Linotype" w:cs="Times New Roman"/>
          <w:sz w:val="24"/>
          <w:szCs w:val="24"/>
        </w:rPr>
      </w:pPr>
      <w:r w:rsidRPr="00F40346">
        <w:rPr>
          <w:rFonts w:ascii="Palatino Linotype" w:hAnsi="Palatino Linotype" w:cs="Times New Roman"/>
          <w:sz w:val="24"/>
          <w:szCs w:val="24"/>
        </w:rPr>
        <w:t>Context (including understanding the professional work setting and professional work);</w:t>
      </w:r>
    </w:p>
    <w:p w14:paraId="1D951149" w14:textId="066241A7" w:rsidR="006C6D3D" w:rsidRPr="00F40346" w:rsidRDefault="006C6D3D" w:rsidP="00F40346">
      <w:pPr>
        <w:pStyle w:val="ListParagraph"/>
        <w:numPr>
          <w:ilvl w:val="0"/>
          <w:numId w:val="9"/>
        </w:numPr>
        <w:spacing w:line="360" w:lineRule="auto"/>
        <w:jc w:val="both"/>
        <w:rPr>
          <w:rFonts w:ascii="Palatino Linotype" w:hAnsi="Palatino Linotype" w:cs="Times New Roman"/>
          <w:sz w:val="24"/>
          <w:szCs w:val="24"/>
        </w:rPr>
      </w:pPr>
      <w:r w:rsidRPr="00F40346">
        <w:rPr>
          <w:rFonts w:ascii="Palatino Linotype" w:hAnsi="Palatino Linotype" w:cs="Times New Roman"/>
          <w:sz w:val="24"/>
          <w:szCs w:val="24"/>
        </w:rPr>
        <w:t>Relationship (including handling conflict and supervision);</w:t>
      </w:r>
    </w:p>
    <w:p w14:paraId="1BE744BA" w14:textId="50DD7400" w:rsidR="006C6D3D" w:rsidRPr="00F40346" w:rsidRDefault="006C6D3D" w:rsidP="00F40346">
      <w:pPr>
        <w:pStyle w:val="ListParagraph"/>
        <w:numPr>
          <w:ilvl w:val="0"/>
          <w:numId w:val="9"/>
        </w:numPr>
        <w:spacing w:line="360" w:lineRule="auto"/>
        <w:jc w:val="both"/>
        <w:rPr>
          <w:rFonts w:ascii="Palatino Linotype" w:hAnsi="Palatino Linotype" w:cs="Times New Roman"/>
          <w:sz w:val="24"/>
          <w:szCs w:val="24"/>
        </w:rPr>
      </w:pPr>
      <w:r w:rsidRPr="00F40346">
        <w:rPr>
          <w:rFonts w:ascii="Palatino Linotype" w:hAnsi="Palatino Linotype" w:cs="Times New Roman"/>
          <w:sz w:val="24"/>
          <w:szCs w:val="24"/>
        </w:rPr>
        <w:t>Affective/Moral (including empathy and social responsibility); and</w:t>
      </w:r>
    </w:p>
    <w:p w14:paraId="578E49A5" w14:textId="1B9DA41E" w:rsidR="006C6D3D" w:rsidRPr="00F40346" w:rsidRDefault="006C6D3D" w:rsidP="00F40346">
      <w:pPr>
        <w:pStyle w:val="ListParagraph"/>
        <w:numPr>
          <w:ilvl w:val="0"/>
          <w:numId w:val="9"/>
        </w:numPr>
        <w:spacing w:line="360" w:lineRule="auto"/>
        <w:jc w:val="both"/>
        <w:rPr>
          <w:rFonts w:ascii="Palatino Linotype" w:hAnsi="Palatino Linotype" w:cs="Times New Roman"/>
          <w:sz w:val="24"/>
          <w:szCs w:val="24"/>
        </w:rPr>
      </w:pPr>
      <w:r w:rsidRPr="00F40346">
        <w:rPr>
          <w:rFonts w:ascii="Palatino Linotype" w:hAnsi="Palatino Linotype" w:cs="Times New Roman"/>
          <w:sz w:val="24"/>
          <w:szCs w:val="24"/>
        </w:rPr>
        <w:t>Habits of mind (including willingness to acknowledge and correct errors).</w:t>
      </w:r>
    </w:p>
    <w:p w14:paraId="16C76C65" w14:textId="213E9B69" w:rsidR="006C6D3D" w:rsidRPr="00F40346" w:rsidRDefault="00607638" w:rsidP="00F40346">
      <w:pPr>
        <w:spacing w:line="480" w:lineRule="auto"/>
        <w:jc w:val="both"/>
        <w:rPr>
          <w:rFonts w:ascii="Palatino Linotype" w:hAnsi="Palatino Linotype"/>
        </w:rPr>
      </w:pPr>
      <w:r w:rsidRPr="00F40346">
        <w:rPr>
          <w:rFonts w:ascii="Palatino Linotype" w:hAnsi="Palatino Linotype"/>
        </w:rPr>
        <w:t>Similarly,</w:t>
      </w:r>
      <w:r w:rsidR="006C6D3D" w:rsidRPr="00F40346">
        <w:rPr>
          <w:rFonts w:ascii="Palatino Linotype" w:hAnsi="Palatino Linotype"/>
        </w:rPr>
        <w:t xml:space="preserve"> to Australia, legal education regulators for England and Wales have not set requirements as to the extent of law student engagement in experiential learning or </w:t>
      </w:r>
      <w:r w:rsidR="006C6D3D" w:rsidRPr="00F40346">
        <w:rPr>
          <w:rFonts w:ascii="Palatino Linotype" w:hAnsi="Palatino Linotype"/>
        </w:rPr>
        <w:lastRenderedPageBreak/>
        <w:t>the content of any such experiences.  The Report of the Legal Education and Training Review contained surprisingly little reference to the place of clinical and experiential methods in the LLB.</w:t>
      </w:r>
    </w:p>
    <w:p w14:paraId="54E8780E" w14:textId="0EA50547" w:rsidR="006C6D3D" w:rsidRPr="00F40346" w:rsidRDefault="006C6D3D" w:rsidP="00F40346">
      <w:pPr>
        <w:spacing w:line="480" w:lineRule="auto"/>
        <w:jc w:val="both"/>
        <w:rPr>
          <w:rFonts w:ascii="Palatino Linotype" w:hAnsi="Palatino Linotype"/>
          <w:i/>
        </w:rPr>
      </w:pPr>
      <w:r w:rsidRPr="00F40346">
        <w:rPr>
          <w:rFonts w:ascii="Palatino Linotype" w:hAnsi="Palatino Linotype"/>
        </w:rPr>
        <w:t xml:space="preserve">The </w:t>
      </w:r>
      <w:r w:rsidR="00EE34FF" w:rsidRPr="00F40346">
        <w:rPr>
          <w:rFonts w:ascii="Palatino Linotype" w:hAnsi="Palatino Linotype"/>
        </w:rPr>
        <w:t xml:space="preserve">English </w:t>
      </w:r>
      <w:r w:rsidRPr="00F40346">
        <w:rPr>
          <w:rFonts w:ascii="Palatino Linotype" w:hAnsi="Palatino Linotype"/>
        </w:rPr>
        <w:t xml:space="preserve">Clinical Legal Education Organisation (CLEO) published Model Standards for Live Client Clinics that refer to the development of “legal and transferrable skills” as one of four broad aims of live client clinics.  The other aims relate to developing </w:t>
      </w:r>
      <w:r w:rsidRPr="00F40346">
        <w:rPr>
          <w:rFonts w:ascii="Palatino Linotype" w:hAnsi="Palatino Linotype"/>
          <w:lang w:val="en"/>
        </w:rPr>
        <w:t xml:space="preserve">and enhancing the students' learning experience and understanding of the substantive law and legal process; professional responsibility and ethics; and the role of law and justice in society.  </w:t>
      </w:r>
      <w:r w:rsidRPr="00F40346">
        <w:rPr>
          <w:rFonts w:ascii="Palatino Linotype" w:hAnsi="Palatino Linotype"/>
        </w:rPr>
        <w:t>The CLEO Model Standards represent good practice and are not intended to be prescriptive.  Hence, they do not define skills or specify required leaning outcomes but rather give possible examples including the development of skills related to client interviewing, drafting, dispute resolution through negotiation or advocacy, and group work.</w:t>
      </w:r>
      <w:r w:rsidRPr="00F40346">
        <w:rPr>
          <w:rStyle w:val="FootnoteReference"/>
          <w:rFonts w:ascii="Palatino Linotype" w:hAnsi="Palatino Linotype"/>
        </w:rPr>
        <w:footnoteReference w:id="37"/>
      </w:r>
    </w:p>
    <w:p w14:paraId="7E854B47" w14:textId="5C4D3039"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Canadian law schools are required to meet a National Requirement specified by the Federation of Law Societies of Canada.</w:t>
      </w:r>
      <w:r w:rsidRPr="00F40346">
        <w:rPr>
          <w:rStyle w:val="FootnoteReference"/>
          <w:rFonts w:ascii="Palatino Linotype" w:hAnsi="Palatino Linotype" w:cs="Times New Roman"/>
          <w:szCs w:val="24"/>
        </w:rPr>
        <w:footnoteReference w:id="38"/>
      </w:r>
      <w:r w:rsidRPr="00F40346">
        <w:rPr>
          <w:rFonts w:ascii="Palatino Linotype" w:hAnsi="Palatino Linotype" w:cs="Times New Roman"/>
          <w:szCs w:val="24"/>
        </w:rPr>
        <w:t xml:space="preserve">  This National Requirement outlines three sets of competencies: addressing skills (problem-solving, research, and communication); ethics and professionalism; and substantive legal knowledge. </w:t>
      </w:r>
      <w:r w:rsidRPr="00F40346">
        <w:rPr>
          <w:rFonts w:ascii="Palatino Linotype" w:hAnsi="Palatino Linotype" w:cs="Times New Roman"/>
          <w:i/>
          <w:szCs w:val="24"/>
        </w:rPr>
        <w:t xml:space="preserve"> </w:t>
      </w:r>
      <w:r w:rsidRPr="00F40346">
        <w:rPr>
          <w:rFonts w:ascii="Palatino Linotype" w:hAnsi="Palatino Linotype" w:cs="Times New Roman"/>
          <w:szCs w:val="24"/>
        </w:rPr>
        <w:t xml:space="preserve">The Canadian Requirement also addresses the nature of the academic program in terms of its length (3 years full-time), mode (primarily in-person), pre-entry requirements, and </w:t>
      </w:r>
      <w:r w:rsidRPr="00F40346">
        <w:rPr>
          <w:rFonts w:ascii="Palatino Linotype" w:hAnsi="Palatino Linotype" w:cs="Times New Roman"/>
          <w:szCs w:val="24"/>
        </w:rPr>
        <w:lastRenderedPageBreak/>
        <w:t>the inclusion of a course dedicated to ethics and professionalism.  No reference is made to the extent and content of law student engagement in experiential learning.  Canadian clinicians have not yet developed universal best practices or standards for the operation of experiential programs.</w:t>
      </w:r>
      <w:r w:rsidRPr="00F40346">
        <w:rPr>
          <w:rStyle w:val="FootnoteReference"/>
          <w:rFonts w:ascii="Palatino Linotype" w:hAnsi="Palatino Linotype" w:cs="Times New Roman"/>
          <w:szCs w:val="24"/>
        </w:rPr>
        <w:footnoteReference w:id="39"/>
      </w:r>
    </w:p>
    <w:p w14:paraId="4324405C" w14:textId="6BC83C46"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These statements from regulators illustrate that skills development is taken to be an important focus for legal education and for experiential programs that form part of the preparation of lawyers for their profession.  Some statements tend to be concerned with specific tasks required of lawyers rather than addressing the more generalized skills required for working with clients and other aspects of successful law practice.  Further, they provide little in specificity on the particular skills to be developed by experiential programs such as externships.</w:t>
      </w:r>
    </w:p>
    <w:p w14:paraId="1B95A66E" w14:textId="77777777" w:rsidR="003A747B" w:rsidRPr="00F40346" w:rsidRDefault="003A747B" w:rsidP="00F40346">
      <w:pPr>
        <w:spacing w:line="480" w:lineRule="auto"/>
        <w:rPr>
          <w:rFonts w:ascii="Palatino Linotype" w:hAnsi="Palatino Linotype" w:cs="Times New Roman"/>
          <w:szCs w:val="24"/>
        </w:rPr>
      </w:pPr>
    </w:p>
    <w:p w14:paraId="571E8F0B" w14:textId="1BEA7ABA" w:rsidR="003A747B" w:rsidRPr="00F40346" w:rsidRDefault="003A747B" w:rsidP="00F40346">
      <w:pPr>
        <w:pStyle w:val="ListParagraph"/>
        <w:numPr>
          <w:ilvl w:val="0"/>
          <w:numId w:val="20"/>
        </w:numPr>
        <w:spacing w:line="480" w:lineRule="auto"/>
        <w:rPr>
          <w:rFonts w:ascii="Palatino Linotype" w:hAnsi="Palatino Linotype" w:cs="Times New Roman"/>
          <w:szCs w:val="24"/>
        </w:rPr>
      </w:pPr>
      <w:r w:rsidRPr="00F40346">
        <w:rPr>
          <w:rFonts w:ascii="Palatino Linotype" w:hAnsi="Palatino Linotype" w:cs="Times New Roman"/>
          <w:sz w:val="24"/>
          <w:szCs w:val="24"/>
        </w:rPr>
        <w:t>Commentators’ Approaches</w:t>
      </w:r>
    </w:p>
    <w:p w14:paraId="712B9086" w14:textId="3515EE20" w:rsidR="006C6D3D" w:rsidRPr="00F40346" w:rsidRDefault="006C6D3D" w:rsidP="00F40346">
      <w:pPr>
        <w:spacing w:line="480" w:lineRule="auto"/>
        <w:jc w:val="both"/>
        <w:outlineLvl w:val="0"/>
        <w:rPr>
          <w:rFonts w:ascii="Palatino Linotype" w:hAnsi="Palatino Linotype" w:cs="Times New Roman"/>
          <w:i/>
          <w:szCs w:val="24"/>
        </w:rPr>
      </w:pPr>
      <w:r w:rsidRPr="00F40346">
        <w:rPr>
          <w:rFonts w:ascii="Palatino Linotype" w:hAnsi="Palatino Linotype" w:cs="Times New Roman"/>
          <w:szCs w:val="24"/>
        </w:rPr>
        <w:t xml:space="preserve">While it is clear that “skills” are important, it is less clear exactly what skills legal education should impart.  Some writers use broad categories while others are more specific.  The specifically legal skills identified tend to relate to legal research, working with clients, various forms of legal communication, dispute resolution and trial practice.  The broader approaches incorporate reference to collaboration, recognizing and addressing ethical issues, work management, and self-evaluation.  Externships </w:t>
      </w:r>
      <w:r w:rsidRPr="00F40346">
        <w:rPr>
          <w:rFonts w:ascii="Palatino Linotype" w:hAnsi="Palatino Linotype" w:cs="Times New Roman"/>
          <w:szCs w:val="24"/>
        </w:rPr>
        <w:lastRenderedPageBreak/>
        <w:t>have the potential to provide students with development opportunities across the range of these skills.</w:t>
      </w:r>
    </w:p>
    <w:p w14:paraId="1AF97A09" w14:textId="255D23B5" w:rsidR="006C6D3D" w:rsidRPr="00F40346" w:rsidRDefault="006C6D3D" w:rsidP="00F40346">
      <w:pPr>
        <w:spacing w:line="480" w:lineRule="auto"/>
        <w:jc w:val="both"/>
        <w:outlineLvl w:val="0"/>
        <w:rPr>
          <w:rFonts w:ascii="Palatino Linotype" w:hAnsi="Palatino Linotype" w:cs="Times New Roman"/>
          <w:szCs w:val="24"/>
        </w:rPr>
      </w:pPr>
      <w:r w:rsidRPr="00F40346">
        <w:rPr>
          <w:rFonts w:ascii="Palatino Linotype" w:hAnsi="Palatino Linotype" w:cs="Times New Roman"/>
          <w:szCs w:val="24"/>
        </w:rPr>
        <w:t>The 1992 MacCrate Report</w:t>
      </w:r>
      <w:r w:rsidRPr="00F40346">
        <w:rPr>
          <w:rStyle w:val="FootnoteReference"/>
          <w:rFonts w:ascii="Palatino Linotype" w:hAnsi="Palatino Linotype" w:cs="Times New Roman"/>
          <w:szCs w:val="24"/>
        </w:rPr>
        <w:footnoteReference w:id="40"/>
      </w:r>
      <w:r w:rsidRPr="00F40346">
        <w:rPr>
          <w:rFonts w:ascii="Palatino Linotype" w:hAnsi="Palatino Linotype" w:cs="Times New Roman"/>
          <w:szCs w:val="24"/>
        </w:rPr>
        <w:t xml:space="preserve"> provided an Overview of Skills and Values that lawyers need, and includes as “fundamental lawyering skills” the following:  problem-solving, legal analysis and reasoning; legal research; factual investigation; communication; counseling; negotiation; litigation and alternative dispute-resolution procedures; organization and management of legal work.  It broadens this list by also identifying the importance of recognizing and resolving ethical dilemmas.</w:t>
      </w:r>
      <w:r w:rsidRPr="00F40346">
        <w:rPr>
          <w:rStyle w:val="FootnoteReference"/>
          <w:rFonts w:ascii="Palatino Linotype" w:hAnsi="Palatino Linotype" w:cs="Times New Roman"/>
          <w:szCs w:val="24"/>
        </w:rPr>
        <w:footnoteReference w:id="41"/>
      </w:r>
    </w:p>
    <w:p w14:paraId="073B2055" w14:textId="734E350B" w:rsidR="006C6D3D" w:rsidRPr="00F40346" w:rsidRDefault="006C6D3D" w:rsidP="00F40346">
      <w:pPr>
        <w:spacing w:line="480" w:lineRule="auto"/>
        <w:jc w:val="both"/>
        <w:outlineLvl w:val="0"/>
        <w:rPr>
          <w:rFonts w:ascii="Palatino Linotype" w:hAnsi="Palatino Linotype" w:cs="Times New Roman"/>
          <w:szCs w:val="24"/>
        </w:rPr>
      </w:pPr>
      <w:r w:rsidRPr="00F40346">
        <w:rPr>
          <w:rFonts w:ascii="Palatino Linotype" w:hAnsi="Palatino Linotype" w:cs="Times New Roman"/>
          <w:szCs w:val="24"/>
        </w:rPr>
        <w:t xml:space="preserve">The 2007 </w:t>
      </w:r>
      <w:r w:rsidRPr="00F40346">
        <w:rPr>
          <w:rFonts w:ascii="Palatino Linotype" w:hAnsi="Palatino Linotype" w:cs="Times New Roman"/>
          <w:smallCaps/>
          <w:szCs w:val="24"/>
        </w:rPr>
        <w:t>Best Practices for Legal Education</w:t>
      </w:r>
      <w:r w:rsidRPr="00F40346">
        <w:rPr>
          <w:rStyle w:val="FootnoteReference"/>
          <w:rFonts w:ascii="Palatino Linotype" w:hAnsi="Palatino Linotype" w:cs="Times New Roman"/>
          <w:szCs w:val="24"/>
        </w:rPr>
        <w:footnoteReference w:id="42"/>
      </w:r>
      <w:r w:rsidRPr="00F40346">
        <w:rPr>
          <w:rFonts w:ascii="Palatino Linotype" w:hAnsi="Palatino Linotype" w:cs="Times New Roman"/>
          <w:szCs w:val="24"/>
        </w:rPr>
        <w:t xml:space="preserve"> book identifies “attributes of effective, responsible lawyers” as including:</w:t>
      </w:r>
    </w:p>
    <w:p w14:paraId="025412FB" w14:textId="5B668193" w:rsidR="006C6D3D" w:rsidRPr="00F40346" w:rsidRDefault="006C6D3D" w:rsidP="00F40346">
      <w:pPr>
        <w:pStyle w:val="ListParagraph"/>
        <w:numPr>
          <w:ilvl w:val="0"/>
          <w:numId w:val="2"/>
        </w:numPr>
        <w:spacing w:line="360" w:lineRule="auto"/>
        <w:jc w:val="both"/>
        <w:outlineLvl w:val="0"/>
        <w:rPr>
          <w:rFonts w:ascii="Palatino Linotype" w:hAnsi="Palatino Linotype" w:cs="Times New Roman"/>
          <w:sz w:val="24"/>
          <w:szCs w:val="24"/>
        </w:rPr>
      </w:pPr>
      <w:r w:rsidRPr="00F40346">
        <w:rPr>
          <w:rFonts w:ascii="Palatino Linotype" w:hAnsi="Palatino Linotype" w:cs="Times New Roman"/>
          <w:sz w:val="24"/>
          <w:szCs w:val="24"/>
        </w:rPr>
        <w:t>Self-reflection and Lifelong Learning;</w:t>
      </w:r>
    </w:p>
    <w:p w14:paraId="6E68E034" w14:textId="6DED8FD3" w:rsidR="006C6D3D" w:rsidRPr="00F40346" w:rsidRDefault="006C6D3D" w:rsidP="00F40346">
      <w:pPr>
        <w:pStyle w:val="ListParagraph"/>
        <w:numPr>
          <w:ilvl w:val="0"/>
          <w:numId w:val="2"/>
        </w:numPr>
        <w:spacing w:line="360" w:lineRule="auto"/>
        <w:jc w:val="both"/>
        <w:outlineLvl w:val="0"/>
        <w:rPr>
          <w:rFonts w:ascii="Palatino Linotype" w:hAnsi="Palatino Linotype" w:cs="Times New Roman"/>
          <w:sz w:val="24"/>
          <w:szCs w:val="24"/>
        </w:rPr>
      </w:pPr>
      <w:r w:rsidRPr="00F40346">
        <w:rPr>
          <w:rFonts w:ascii="Palatino Linotype" w:hAnsi="Palatino Linotype" w:cs="Times New Roman"/>
          <w:sz w:val="24"/>
          <w:szCs w:val="24"/>
        </w:rPr>
        <w:t>Intellectual and Analytical Skills;</w:t>
      </w:r>
    </w:p>
    <w:p w14:paraId="486E0D80" w14:textId="4DB38BEF" w:rsidR="006C6D3D" w:rsidRPr="00F40346" w:rsidRDefault="006C6D3D" w:rsidP="00F40346">
      <w:pPr>
        <w:pStyle w:val="ListParagraph"/>
        <w:numPr>
          <w:ilvl w:val="0"/>
          <w:numId w:val="2"/>
        </w:numPr>
        <w:spacing w:line="360" w:lineRule="auto"/>
        <w:jc w:val="both"/>
        <w:outlineLvl w:val="0"/>
        <w:rPr>
          <w:rFonts w:ascii="Palatino Linotype" w:hAnsi="Palatino Linotype" w:cs="Times New Roman"/>
          <w:sz w:val="24"/>
          <w:szCs w:val="24"/>
        </w:rPr>
      </w:pPr>
      <w:r w:rsidRPr="00F40346">
        <w:rPr>
          <w:rFonts w:ascii="Palatino Linotype" w:hAnsi="Palatino Linotype" w:cs="Times New Roman"/>
          <w:sz w:val="24"/>
          <w:szCs w:val="24"/>
        </w:rPr>
        <w:t>Core Knowledge of the Law;</w:t>
      </w:r>
    </w:p>
    <w:p w14:paraId="4108B38D" w14:textId="7C0C3A72" w:rsidR="006C6D3D" w:rsidRPr="00F40346" w:rsidRDefault="006C6D3D" w:rsidP="00F40346">
      <w:pPr>
        <w:pStyle w:val="ListParagraph"/>
        <w:numPr>
          <w:ilvl w:val="0"/>
          <w:numId w:val="2"/>
        </w:numPr>
        <w:spacing w:line="360" w:lineRule="auto"/>
        <w:jc w:val="both"/>
        <w:outlineLvl w:val="0"/>
        <w:rPr>
          <w:rFonts w:ascii="Palatino Linotype" w:hAnsi="Palatino Linotype" w:cs="Times New Roman"/>
          <w:sz w:val="24"/>
          <w:szCs w:val="24"/>
        </w:rPr>
      </w:pPr>
      <w:r w:rsidRPr="00F40346">
        <w:rPr>
          <w:rFonts w:ascii="Palatino Linotype" w:hAnsi="Palatino Linotype" w:cs="Times New Roman"/>
          <w:sz w:val="24"/>
          <w:szCs w:val="24"/>
        </w:rPr>
        <w:t>Core Understanding of the Law;</w:t>
      </w:r>
    </w:p>
    <w:p w14:paraId="05DD1014" w14:textId="012FA7AE" w:rsidR="006C6D3D" w:rsidRPr="00F40346" w:rsidRDefault="006C6D3D" w:rsidP="00F40346">
      <w:pPr>
        <w:pStyle w:val="ListParagraph"/>
        <w:numPr>
          <w:ilvl w:val="0"/>
          <w:numId w:val="2"/>
        </w:numPr>
        <w:spacing w:line="360" w:lineRule="auto"/>
        <w:jc w:val="both"/>
        <w:outlineLvl w:val="0"/>
        <w:rPr>
          <w:rFonts w:ascii="Palatino Linotype" w:hAnsi="Palatino Linotype" w:cs="Times New Roman"/>
          <w:sz w:val="24"/>
          <w:szCs w:val="24"/>
        </w:rPr>
      </w:pPr>
      <w:r w:rsidRPr="00F40346">
        <w:rPr>
          <w:rFonts w:ascii="Palatino Linotype" w:hAnsi="Palatino Linotype" w:cs="Times New Roman"/>
          <w:sz w:val="24"/>
          <w:szCs w:val="24"/>
        </w:rPr>
        <w:t>Professional Skills; &amp;</w:t>
      </w:r>
    </w:p>
    <w:p w14:paraId="0CBE794E" w14:textId="1B966D03" w:rsidR="006C6D3D" w:rsidRPr="00F40346" w:rsidRDefault="006C6D3D" w:rsidP="00F40346">
      <w:pPr>
        <w:pStyle w:val="ListParagraph"/>
        <w:numPr>
          <w:ilvl w:val="0"/>
          <w:numId w:val="2"/>
        </w:numPr>
        <w:spacing w:line="360" w:lineRule="auto"/>
        <w:jc w:val="both"/>
        <w:outlineLvl w:val="0"/>
        <w:rPr>
          <w:rFonts w:ascii="Palatino Linotype" w:hAnsi="Palatino Linotype" w:cs="Times New Roman"/>
          <w:sz w:val="24"/>
          <w:szCs w:val="24"/>
        </w:rPr>
      </w:pPr>
      <w:r w:rsidRPr="00F40346">
        <w:rPr>
          <w:rFonts w:ascii="Palatino Linotype" w:hAnsi="Palatino Linotype" w:cs="Times New Roman"/>
          <w:sz w:val="24"/>
          <w:szCs w:val="24"/>
        </w:rPr>
        <w:t>Professionalism.</w:t>
      </w:r>
    </w:p>
    <w:p w14:paraId="65A40509" w14:textId="42E131F1" w:rsidR="006C6D3D" w:rsidRPr="00F40346" w:rsidRDefault="006C6D3D" w:rsidP="00F40346">
      <w:pPr>
        <w:spacing w:line="480" w:lineRule="auto"/>
        <w:jc w:val="both"/>
        <w:outlineLvl w:val="0"/>
        <w:rPr>
          <w:rFonts w:ascii="Palatino Linotype" w:hAnsi="Palatino Linotype" w:cs="Times New Roman"/>
          <w:szCs w:val="24"/>
        </w:rPr>
      </w:pPr>
      <w:r w:rsidRPr="00F40346">
        <w:rPr>
          <w:rFonts w:ascii="Palatino Linotype" w:hAnsi="Palatino Linotype" w:cs="Times New Roman"/>
          <w:szCs w:val="24"/>
        </w:rPr>
        <w:t>These attributes indicate a broader conception of the requirements for effective lawyering.  Externships and other forms of experiential learning have valuable and distinctive roles to play in relation to Attributes 1, 5, and 6 in particular.  Externships</w:t>
      </w:r>
      <w:r w:rsidRPr="00F40346">
        <w:rPr>
          <w:rFonts w:ascii="Palatino Linotype" w:hAnsi="Palatino Linotype"/>
          <w:szCs w:val="24"/>
        </w:rPr>
        <w:t>—</w:t>
      </w:r>
      <w:r w:rsidRPr="00F40346">
        <w:rPr>
          <w:rFonts w:ascii="Palatino Linotype" w:hAnsi="Palatino Linotype" w:cs="Times New Roman"/>
          <w:szCs w:val="24"/>
        </w:rPr>
        <w:lastRenderedPageBreak/>
        <w:t>both the practice-based experience and the related classroom component</w:t>
      </w:r>
      <w:r w:rsidRPr="00F40346">
        <w:rPr>
          <w:rFonts w:ascii="Palatino Linotype" w:hAnsi="Palatino Linotype"/>
          <w:szCs w:val="24"/>
        </w:rPr>
        <w:t>—</w:t>
      </w:r>
      <w:r w:rsidRPr="00F40346">
        <w:rPr>
          <w:rFonts w:ascii="Palatino Linotype" w:hAnsi="Palatino Linotype" w:cs="Times New Roman"/>
          <w:szCs w:val="24"/>
        </w:rPr>
        <w:t>can provide students with opportunities to understand and develop reflective practices.  They can develop the ability to learn from their own experiences as well as those of clients and colleagues.</w:t>
      </w:r>
    </w:p>
    <w:p w14:paraId="79095BD4" w14:textId="1335C5E2" w:rsidR="006C6D3D" w:rsidRPr="00F40346" w:rsidRDefault="006C6D3D" w:rsidP="00F40346">
      <w:pPr>
        <w:spacing w:line="480" w:lineRule="auto"/>
        <w:jc w:val="both"/>
        <w:outlineLvl w:val="0"/>
        <w:rPr>
          <w:rFonts w:ascii="Palatino Linotype" w:hAnsi="Palatino Linotype" w:cs="Times New Roman"/>
          <w:szCs w:val="24"/>
        </w:rPr>
      </w:pPr>
      <w:r w:rsidRPr="00F40346">
        <w:rPr>
          <w:rFonts w:ascii="Palatino Linotype" w:hAnsi="Palatino Linotype" w:cs="Times New Roman"/>
          <w:szCs w:val="24"/>
        </w:rPr>
        <w:t xml:space="preserve">In exploring the “Professional Skills” required by lawyers, </w:t>
      </w:r>
      <w:r w:rsidR="00607638" w:rsidRPr="00F40346">
        <w:rPr>
          <w:rFonts w:ascii="Palatino Linotype" w:hAnsi="Palatino Linotype" w:cs="Times New Roman"/>
          <w:szCs w:val="24"/>
        </w:rPr>
        <w:t>t</w:t>
      </w:r>
      <w:r w:rsidRPr="00F40346">
        <w:rPr>
          <w:rFonts w:ascii="Palatino Linotype" w:hAnsi="Palatino Linotype" w:cs="Times New Roman"/>
          <w:szCs w:val="24"/>
        </w:rPr>
        <w:t xml:space="preserve">he 2007 US </w:t>
      </w:r>
      <w:r w:rsidRPr="00F40346">
        <w:rPr>
          <w:rFonts w:ascii="Palatino Linotype" w:hAnsi="Palatino Linotype" w:cs="Times New Roman"/>
          <w:smallCaps/>
          <w:szCs w:val="24"/>
        </w:rPr>
        <w:t>Best Practices</w:t>
      </w:r>
      <w:r w:rsidRPr="00F40346">
        <w:rPr>
          <w:rFonts w:ascii="Palatino Linotype" w:hAnsi="Palatino Linotype" w:cs="Times New Roman"/>
          <w:szCs w:val="24"/>
        </w:rPr>
        <w:t xml:space="preserve"> book identifies the following:</w:t>
      </w:r>
    </w:p>
    <w:p w14:paraId="7714BFC3" w14:textId="77777777" w:rsidR="006C6D3D" w:rsidRPr="00F40346" w:rsidRDefault="006C6D3D" w:rsidP="00F40346">
      <w:pPr>
        <w:pStyle w:val="ListParagraph"/>
        <w:numPr>
          <w:ilvl w:val="0"/>
          <w:numId w:val="3"/>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the application of techniques to communicate effectively with clients, colleagues, and members of other professions;</w:t>
      </w:r>
    </w:p>
    <w:p w14:paraId="720D9466" w14:textId="10F52AAC" w:rsidR="006C6D3D" w:rsidRPr="00F40346" w:rsidRDefault="006C6D3D" w:rsidP="00F40346">
      <w:pPr>
        <w:pStyle w:val="ListParagraph"/>
        <w:numPr>
          <w:ilvl w:val="0"/>
          <w:numId w:val="3"/>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the ability to recognize clients’ financial, commercial, and personal constraints and priorities;</w:t>
      </w:r>
    </w:p>
    <w:p w14:paraId="0E02F0F0" w14:textId="77777777" w:rsidR="006C6D3D" w:rsidRPr="00F40346" w:rsidRDefault="006C6D3D" w:rsidP="00F40346">
      <w:pPr>
        <w:pStyle w:val="ListParagraph"/>
        <w:numPr>
          <w:ilvl w:val="0"/>
          <w:numId w:val="3"/>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the ability to advocate a case on behalf of others and participate in trials to the extent allowed upon admission to practice;</w:t>
      </w:r>
    </w:p>
    <w:p w14:paraId="21E1DF9C" w14:textId="77777777" w:rsidR="006C6D3D" w:rsidRPr="00F40346" w:rsidRDefault="006C6D3D" w:rsidP="00F40346">
      <w:pPr>
        <w:pStyle w:val="ListParagraph"/>
        <w:numPr>
          <w:ilvl w:val="0"/>
          <w:numId w:val="3"/>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effective use of current technologies and strategies to store, retrieve, and analyze information and undertake factual and legal research;</w:t>
      </w:r>
    </w:p>
    <w:p w14:paraId="714C34E4" w14:textId="77777777" w:rsidR="006C6D3D" w:rsidRPr="00F40346" w:rsidRDefault="006C6D3D" w:rsidP="00F40346">
      <w:pPr>
        <w:pStyle w:val="ListParagraph"/>
        <w:numPr>
          <w:ilvl w:val="0"/>
          <w:numId w:val="3"/>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an appreciation of the commercial environment of legal practice, including the market for legal services;</w:t>
      </w:r>
    </w:p>
    <w:p w14:paraId="13960B23" w14:textId="77777777" w:rsidR="006C6D3D" w:rsidRPr="00F40346" w:rsidRDefault="006C6D3D" w:rsidP="00F40346">
      <w:pPr>
        <w:pStyle w:val="ListParagraph"/>
        <w:numPr>
          <w:ilvl w:val="0"/>
          <w:numId w:val="3"/>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the ability to recognize and resolve ethical dilemmas;</w:t>
      </w:r>
    </w:p>
    <w:p w14:paraId="7E35FE60" w14:textId="77777777" w:rsidR="006C6D3D" w:rsidRPr="00F40346" w:rsidRDefault="006C6D3D" w:rsidP="00F40346">
      <w:pPr>
        <w:pStyle w:val="ListParagraph"/>
        <w:numPr>
          <w:ilvl w:val="0"/>
          <w:numId w:val="3"/>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effective skills for client relationship management and knowledge of how to act if a client is dissatisfied with the advice or service provided;</w:t>
      </w:r>
    </w:p>
    <w:p w14:paraId="786C9FB5" w14:textId="77777777" w:rsidR="006C6D3D" w:rsidRPr="00F40346" w:rsidRDefault="006C6D3D" w:rsidP="00F40346">
      <w:pPr>
        <w:pStyle w:val="ListParagraph"/>
        <w:numPr>
          <w:ilvl w:val="0"/>
          <w:numId w:val="3"/>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employment of risk management skills;</w:t>
      </w:r>
    </w:p>
    <w:p w14:paraId="7A37E640" w14:textId="77777777" w:rsidR="006C6D3D" w:rsidRPr="00F40346" w:rsidRDefault="006C6D3D" w:rsidP="00F40346">
      <w:pPr>
        <w:pStyle w:val="ListParagraph"/>
        <w:numPr>
          <w:ilvl w:val="0"/>
          <w:numId w:val="3"/>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the capacity to recognize personal and professional strengths and weaknesses, identify the limits of personal knowledge and skill, and develop strategies that will enhance professional performance;</w:t>
      </w:r>
    </w:p>
    <w:p w14:paraId="4D891D0F" w14:textId="77777777" w:rsidR="006C6D3D" w:rsidRPr="00F40346" w:rsidRDefault="006C6D3D" w:rsidP="00F40346">
      <w:pPr>
        <w:pStyle w:val="ListParagraph"/>
        <w:numPr>
          <w:ilvl w:val="0"/>
          <w:numId w:val="3"/>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the ability to manage personal workload and manage efficiently, effectively and concurrently a number of client matters; and</w:t>
      </w:r>
    </w:p>
    <w:p w14:paraId="202CB360" w14:textId="77777777" w:rsidR="006C6D3D" w:rsidRPr="00F40346" w:rsidRDefault="006C6D3D" w:rsidP="00F40346">
      <w:pPr>
        <w:pStyle w:val="ListParagraph"/>
        <w:numPr>
          <w:ilvl w:val="0"/>
          <w:numId w:val="3"/>
        </w:numPr>
        <w:spacing w:line="480" w:lineRule="auto"/>
        <w:outlineLvl w:val="0"/>
        <w:rPr>
          <w:rFonts w:ascii="Palatino Linotype" w:hAnsi="Palatino Linotype" w:cs="Times New Roman"/>
          <w:szCs w:val="24"/>
        </w:rPr>
      </w:pPr>
      <w:r w:rsidRPr="00F40346">
        <w:rPr>
          <w:rFonts w:ascii="Palatino Linotype" w:hAnsi="Palatino Linotype" w:cs="Times New Roman"/>
          <w:sz w:val="24"/>
          <w:szCs w:val="24"/>
        </w:rPr>
        <w:lastRenderedPageBreak/>
        <w:t>the ability to work effectively as a member of a team.</w:t>
      </w:r>
      <w:r w:rsidRPr="00F40346">
        <w:rPr>
          <w:rStyle w:val="FootnoteReference"/>
          <w:rFonts w:ascii="Palatino Linotype" w:hAnsi="Palatino Linotype" w:cs="Times New Roman"/>
          <w:sz w:val="24"/>
          <w:szCs w:val="24"/>
        </w:rPr>
        <w:footnoteReference w:id="43"/>
      </w:r>
      <w:r w:rsidRPr="00F40346">
        <w:rPr>
          <w:rFonts w:ascii="Palatino Linotype" w:hAnsi="Palatino Linotype" w:cs="Times New Roman"/>
          <w:sz w:val="24"/>
          <w:szCs w:val="24"/>
        </w:rPr>
        <w:t xml:space="preserve"> </w:t>
      </w:r>
    </w:p>
    <w:p w14:paraId="2B9367FC" w14:textId="37E9D23B" w:rsidR="006C6D3D" w:rsidRPr="00F40346" w:rsidRDefault="006C6D3D" w:rsidP="00F40346">
      <w:pPr>
        <w:spacing w:line="480" w:lineRule="auto"/>
        <w:outlineLvl w:val="0"/>
        <w:rPr>
          <w:rFonts w:ascii="Palatino Linotype" w:hAnsi="Palatino Linotype" w:cs="Times New Roman"/>
          <w:szCs w:val="24"/>
        </w:rPr>
      </w:pPr>
      <w:r w:rsidRPr="00F40346">
        <w:rPr>
          <w:rFonts w:ascii="Palatino Linotype" w:hAnsi="Palatino Linotype" w:cs="Times New Roman"/>
          <w:szCs w:val="24"/>
        </w:rPr>
        <w:t>There appear to be four key dimensions to these professional skills.  They relate to:</w:t>
      </w:r>
    </w:p>
    <w:p w14:paraId="66DF7143" w14:textId="2032FF52" w:rsidR="006C6D3D" w:rsidRPr="00F40346" w:rsidRDefault="006C6D3D" w:rsidP="00F40346">
      <w:pPr>
        <w:pStyle w:val="ListParagraph"/>
        <w:numPr>
          <w:ilvl w:val="0"/>
          <w:numId w:val="8"/>
        </w:numPr>
        <w:spacing w:line="480" w:lineRule="auto"/>
        <w:jc w:val="both"/>
        <w:outlineLvl w:val="0"/>
        <w:rPr>
          <w:rFonts w:ascii="Palatino Linotype" w:hAnsi="Palatino Linotype" w:cs="Times New Roman"/>
          <w:sz w:val="24"/>
          <w:szCs w:val="24"/>
        </w:rPr>
      </w:pPr>
      <w:r w:rsidRPr="00F40346">
        <w:rPr>
          <w:rFonts w:ascii="Palatino Linotype" w:hAnsi="Palatino Linotype" w:cs="Times New Roman"/>
          <w:sz w:val="24"/>
          <w:szCs w:val="24"/>
        </w:rPr>
        <w:t xml:space="preserve">working with clients. Externships can assist students to gain a grasp of the importance of context.  The capacities and constraints faced by clients become clearer; </w:t>
      </w:r>
    </w:p>
    <w:p w14:paraId="7EBF2CC6" w14:textId="5D2AA724" w:rsidR="006C6D3D" w:rsidRPr="00F40346" w:rsidRDefault="006C6D3D" w:rsidP="00F40346">
      <w:pPr>
        <w:pStyle w:val="ListParagraph"/>
        <w:numPr>
          <w:ilvl w:val="0"/>
          <w:numId w:val="8"/>
        </w:numPr>
        <w:spacing w:line="480" w:lineRule="auto"/>
        <w:jc w:val="both"/>
        <w:outlineLvl w:val="0"/>
        <w:rPr>
          <w:rFonts w:ascii="Palatino Linotype" w:hAnsi="Palatino Linotype" w:cs="Times New Roman"/>
          <w:sz w:val="24"/>
          <w:szCs w:val="24"/>
        </w:rPr>
      </w:pPr>
      <w:r w:rsidRPr="00F40346">
        <w:rPr>
          <w:rFonts w:ascii="Palatino Linotype" w:hAnsi="Palatino Linotype" w:cs="Times New Roman"/>
          <w:sz w:val="24"/>
          <w:szCs w:val="24"/>
        </w:rPr>
        <w:t>acting in accordance with ethical and professional duties.  Externship experiences can enable the nature of these duties to be more clearly identified and understood with students offered frameworks and exemplars for effectively addressing such issues;</w:t>
      </w:r>
    </w:p>
    <w:p w14:paraId="702FF3F1" w14:textId="5F79C295" w:rsidR="006C6D3D" w:rsidRPr="00F40346" w:rsidRDefault="006C6D3D" w:rsidP="00F40346">
      <w:pPr>
        <w:pStyle w:val="ListParagraph"/>
        <w:numPr>
          <w:ilvl w:val="0"/>
          <w:numId w:val="8"/>
        </w:numPr>
        <w:spacing w:line="480" w:lineRule="auto"/>
        <w:jc w:val="both"/>
        <w:outlineLvl w:val="0"/>
        <w:rPr>
          <w:rFonts w:ascii="Palatino Linotype" w:hAnsi="Palatino Linotype" w:cs="Times New Roman"/>
          <w:sz w:val="24"/>
          <w:szCs w:val="24"/>
        </w:rPr>
      </w:pPr>
      <w:r w:rsidRPr="00F40346">
        <w:rPr>
          <w:rFonts w:ascii="Palatino Linotype" w:hAnsi="Palatino Linotype" w:cs="Times New Roman"/>
          <w:sz w:val="24"/>
          <w:szCs w:val="24"/>
        </w:rPr>
        <w:t>working with colleagues.  Externships can show students the importance of working with a supervisor and illustrate the challenges of such relationships. Students can build their understanding of the dynamics of teamwork and responsibility in a legal workplace;</w:t>
      </w:r>
    </w:p>
    <w:p w14:paraId="1ABF5A93" w14:textId="77777777" w:rsidR="006C6D3D" w:rsidRPr="00F40346" w:rsidRDefault="006C6D3D" w:rsidP="00F40346">
      <w:pPr>
        <w:pStyle w:val="ListParagraph"/>
        <w:numPr>
          <w:ilvl w:val="0"/>
          <w:numId w:val="8"/>
        </w:numPr>
        <w:spacing w:line="480" w:lineRule="auto"/>
        <w:jc w:val="both"/>
        <w:outlineLvl w:val="0"/>
        <w:rPr>
          <w:rFonts w:ascii="Palatino Linotype" w:hAnsi="Palatino Linotype" w:cs="Times New Roman"/>
          <w:sz w:val="24"/>
          <w:szCs w:val="24"/>
        </w:rPr>
      </w:pPr>
      <w:r w:rsidRPr="00F40346">
        <w:rPr>
          <w:rFonts w:ascii="Palatino Linotype" w:hAnsi="Palatino Linotype" w:cs="Times New Roman"/>
          <w:sz w:val="24"/>
          <w:szCs w:val="24"/>
        </w:rPr>
        <w:t xml:space="preserve">managing your own work and learning from experience. Externships provide students with opportunities to structure their work as well as to understand and implement reflective practices. </w:t>
      </w:r>
    </w:p>
    <w:p w14:paraId="587AEA42" w14:textId="5EAE0890" w:rsidR="006C6D3D" w:rsidRPr="00F40346" w:rsidRDefault="006C6D3D" w:rsidP="00F40346">
      <w:pPr>
        <w:spacing w:line="480" w:lineRule="auto"/>
        <w:jc w:val="both"/>
        <w:outlineLvl w:val="0"/>
        <w:rPr>
          <w:rFonts w:ascii="Palatino Linotype" w:hAnsi="Palatino Linotype" w:cs="Times New Roman"/>
          <w:szCs w:val="24"/>
        </w:rPr>
      </w:pPr>
      <w:r w:rsidRPr="00F40346">
        <w:rPr>
          <w:rFonts w:ascii="Palatino Linotype" w:hAnsi="Palatino Linotype" w:cs="Times New Roman"/>
          <w:szCs w:val="24"/>
        </w:rPr>
        <w:t xml:space="preserve">More recently Shultz and Zedeck conducted an empirical study and developed a list of twenty-six “lawyering effectiveness factors.”  They encompass specifically legal skills as well as those capable of addressing broader dimensions of professional </w:t>
      </w:r>
      <w:r w:rsidRPr="00F40346">
        <w:rPr>
          <w:rFonts w:ascii="Palatino Linotype" w:hAnsi="Palatino Linotype" w:cs="Times New Roman"/>
          <w:szCs w:val="24"/>
        </w:rPr>
        <w:lastRenderedPageBreak/>
        <w:t>identity development.</w:t>
      </w:r>
      <w:r w:rsidRPr="00F40346">
        <w:rPr>
          <w:rStyle w:val="FootnoteReference"/>
          <w:rFonts w:ascii="Palatino Linotype" w:hAnsi="Palatino Linotype" w:cs="Times New Roman"/>
          <w:szCs w:val="24"/>
        </w:rPr>
        <w:footnoteReference w:id="44"/>
      </w:r>
      <w:r w:rsidRPr="00F40346">
        <w:rPr>
          <w:rFonts w:ascii="Palatino Linotype" w:hAnsi="Palatino Linotype" w:cs="Times New Roman"/>
          <w:szCs w:val="24"/>
        </w:rPr>
        <w:t xml:space="preserve">  They used a frame of “knowledge domains, general tasks, and skills and abilities,” classifying various specific legal skills as tasks while broader capacities were characterized as “skills and abilities.</w:t>
      </w:r>
      <w:r w:rsidR="00B96CAD" w:rsidRPr="00F40346">
        <w:rPr>
          <w:rFonts w:ascii="Palatino Linotype" w:hAnsi="Palatino Linotype" w:cs="Times New Roman"/>
          <w:szCs w:val="24"/>
        </w:rPr>
        <w:t>”</w:t>
      </w:r>
      <w:r w:rsidRPr="00F40346">
        <w:rPr>
          <w:rFonts w:ascii="Palatino Linotype" w:hAnsi="Palatino Linotype" w:cs="Times New Roman"/>
          <w:i/>
          <w:szCs w:val="24"/>
        </w:rPr>
        <w:t xml:space="preserve"> </w:t>
      </w:r>
    </w:p>
    <w:p w14:paraId="3A7BEB96" w14:textId="55541948" w:rsidR="006C6D3D" w:rsidRPr="00F40346" w:rsidRDefault="006C6D3D" w:rsidP="00F40346">
      <w:pPr>
        <w:spacing w:line="480" w:lineRule="auto"/>
        <w:jc w:val="both"/>
        <w:outlineLvl w:val="0"/>
        <w:rPr>
          <w:rFonts w:ascii="Palatino Linotype" w:hAnsi="Palatino Linotype" w:cs="Times New Roman"/>
          <w:szCs w:val="24"/>
        </w:rPr>
      </w:pPr>
      <w:r w:rsidRPr="00F40346">
        <w:rPr>
          <w:rFonts w:ascii="Palatino Linotype" w:hAnsi="Palatino Linotype" w:cs="Times New Roman"/>
          <w:szCs w:val="24"/>
        </w:rPr>
        <w:t>Shultz and Zedeck identified a series of factors that go beyond previous conceptions of the skills required of lawyers.  The additional factors address both the personal (</w:t>
      </w:r>
      <w:r w:rsidRPr="00F40346">
        <w:rPr>
          <w:rFonts w:ascii="Palatino Linotype" w:eastAsia="Calibri" w:hAnsi="Palatino Linotype" w:cs="Times New Roman"/>
          <w:szCs w:val="24"/>
        </w:rPr>
        <w:t>passion and engagement, diligence, creativity/innovation, stress management) and the professional (developing relationships within the legal profession, networking and business development, mentoring, community involvement and service).</w:t>
      </w:r>
    </w:p>
    <w:p w14:paraId="00CBA55B" w14:textId="165AD000" w:rsidR="006C6D3D" w:rsidRPr="00F40346" w:rsidRDefault="006C6D3D" w:rsidP="00F40346">
      <w:pPr>
        <w:spacing w:line="480" w:lineRule="auto"/>
        <w:jc w:val="both"/>
        <w:outlineLvl w:val="0"/>
        <w:rPr>
          <w:rFonts w:ascii="Palatino Linotype" w:hAnsi="Palatino Linotype" w:cs="Times New Roman"/>
          <w:i/>
          <w:szCs w:val="24"/>
        </w:rPr>
      </w:pPr>
      <w:r w:rsidRPr="00F40346">
        <w:rPr>
          <w:rFonts w:ascii="Palatino Linotype" w:hAnsi="Palatino Linotype" w:cs="Times New Roman"/>
          <w:szCs w:val="24"/>
        </w:rPr>
        <w:t xml:space="preserve">A recent book, </w:t>
      </w:r>
      <w:r w:rsidRPr="00F40346">
        <w:rPr>
          <w:rFonts w:ascii="Palatino Linotype" w:hAnsi="Palatino Linotype" w:cs="Times New Roman"/>
          <w:smallCaps/>
          <w:szCs w:val="24"/>
        </w:rPr>
        <w:t>Building on Best Practices</w:t>
      </w:r>
      <w:r w:rsidRPr="00F40346">
        <w:rPr>
          <w:rFonts w:ascii="Palatino Linotype" w:hAnsi="Palatino Linotype" w:cs="Times New Roman"/>
          <w:szCs w:val="24"/>
        </w:rPr>
        <w:t>, identifies the following broad set of skills-focused learning outcomes for all externships:</w:t>
      </w:r>
    </w:p>
    <w:p w14:paraId="1F93431E" w14:textId="77777777" w:rsidR="006C6D3D" w:rsidRPr="00F40346" w:rsidRDefault="006C6D3D" w:rsidP="00F40346">
      <w:pPr>
        <w:pStyle w:val="ListParagraph"/>
        <w:numPr>
          <w:ilvl w:val="0"/>
          <w:numId w:val="4"/>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“build lifelong commitment and the skills to learn in professional settings, including learning about learning;</w:t>
      </w:r>
    </w:p>
    <w:p w14:paraId="6F828C12" w14:textId="77777777" w:rsidR="006C6D3D" w:rsidRPr="00F40346" w:rsidRDefault="006C6D3D" w:rsidP="00F40346">
      <w:pPr>
        <w:pStyle w:val="ListParagraph"/>
        <w:numPr>
          <w:ilvl w:val="0"/>
          <w:numId w:val="4"/>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engage in effective self-reflection that fosters learning from experience transferring those lessons to more complex problems and to other settings;</w:t>
      </w:r>
    </w:p>
    <w:p w14:paraId="7E448064" w14:textId="77777777" w:rsidR="006C6D3D" w:rsidRPr="00F40346" w:rsidRDefault="006C6D3D" w:rsidP="00F40346">
      <w:pPr>
        <w:pStyle w:val="ListParagraph"/>
        <w:numPr>
          <w:ilvl w:val="0"/>
          <w:numId w:val="4"/>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recognize and articulate the elements of problem-solving in the practice situation and display those elements in their legal work;</w:t>
      </w:r>
    </w:p>
    <w:p w14:paraId="24FE6980" w14:textId="77777777" w:rsidR="006C6D3D" w:rsidRPr="00F40346" w:rsidRDefault="006C6D3D" w:rsidP="00F40346">
      <w:pPr>
        <w:pStyle w:val="ListParagraph"/>
        <w:numPr>
          <w:ilvl w:val="0"/>
          <w:numId w:val="4"/>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develop broad modes of ‘thinking like a lawyer’ using:</w:t>
      </w:r>
    </w:p>
    <w:p w14:paraId="4F222000" w14:textId="77777777" w:rsidR="006C6D3D" w:rsidRPr="00F40346" w:rsidRDefault="006C6D3D" w:rsidP="00F40346">
      <w:pPr>
        <w:pStyle w:val="ListParagraph"/>
        <w:numPr>
          <w:ilvl w:val="1"/>
          <w:numId w:val="4"/>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role-based legal analysis</w:t>
      </w:r>
    </w:p>
    <w:p w14:paraId="6B328B4C" w14:textId="77777777" w:rsidR="006C6D3D" w:rsidRPr="00F40346" w:rsidRDefault="006C6D3D" w:rsidP="00F40346">
      <w:pPr>
        <w:pStyle w:val="ListParagraph"/>
        <w:numPr>
          <w:ilvl w:val="1"/>
          <w:numId w:val="4"/>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narrative reasoning</w:t>
      </w:r>
    </w:p>
    <w:p w14:paraId="0D16C0A6" w14:textId="77777777" w:rsidR="006C6D3D" w:rsidRPr="00F40346" w:rsidRDefault="006C6D3D" w:rsidP="00F40346">
      <w:pPr>
        <w:pStyle w:val="ListParagraph"/>
        <w:numPr>
          <w:ilvl w:val="1"/>
          <w:numId w:val="4"/>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ends-means thinking</w:t>
      </w:r>
    </w:p>
    <w:p w14:paraId="3CE95248" w14:textId="77777777" w:rsidR="006C6D3D" w:rsidRPr="00F40346" w:rsidRDefault="006C6D3D" w:rsidP="00F40346">
      <w:pPr>
        <w:pStyle w:val="ListParagraph"/>
        <w:numPr>
          <w:ilvl w:val="1"/>
          <w:numId w:val="4"/>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using and building theory through contextual thinking</w:t>
      </w:r>
    </w:p>
    <w:p w14:paraId="5E0673EA" w14:textId="77777777" w:rsidR="006C6D3D" w:rsidRPr="00F40346" w:rsidRDefault="006C6D3D" w:rsidP="00F40346">
      <w:pPr>
        <w:pStyle w:val="ListParagraph"/>
        <w:numPr>
          <w:ilvl w:val="1"/>
          <w:numId w:val="4"/>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critical thinking</w:t>
      </w:r>
    </w:p>
    <w:p w14:paraId="3899B718" w14:textId="77777777" w:rsidR="006C6D3D" w:rsidRPr="00F40346" w:rsidRDefault="006C6D3D" w:rsidP="00F40346">
      <w:pPr>
        <w:pStyle w:val="ListParagraph"/>
        <w:numPr>
          <w:ilvl w:val="1"/>
          <w:numId w:val="4"/>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creative thinking</w:t>
      </w:r>
    </w:p>
    <w:p w14:paraId="7C11DA73" w14:textId="77777777" w:rsidR="006C6D3D" w:rsidRPr="00F40346" w:rsidRDefault="006C6D3D" w:rsidP="00F40346">
      <w:pPr>
        <w:pStyle w:val="ListParagraph"/>
        <w:numPr>
          <w:ilvl w:val="0"/>
          <w:numId w:val="4"/>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lastRenderedPageBreak/>
        <w:t>improve capacities to manage uncertainty, exercise judgment, and take action, especially widening the moving parts and unpredictability of real life.”</w:t>
      </w:r>
      <w:r w:rsidRPr="00F40346">
        <w:rPr>
          <w:rStyle w:val="FootnoteReference"/>
          <w:rFonts w:ascii="Palatino Linotype" w:hAnsi="Palatino Linotype" w:cs="Times New Roman"/>
          <w:sz w:val="24"/>
          <w:szCs w:val="24"/>
        </w:rPr>
        <w:footnoteReference w:id="45"/>
      </w:r>
    </w:p>
    <w:p w14:paraId="2CD82B1C" w14:textId="77777777" w:rsidR="006C6D3D" w:rsidRPr="00F40346" w:rsidRDefault="006C6D3D" w:rsidP="00F40346">
      <w:pPr>
        <w:spacing w:line="480" w:lineRule="auto"/>
        <w:jc w:val="both"/>
        <w:outlineLvl w:val="0"/>
        <w:rPr>
          <w:rFonts w:ascii="Palatino Linotype" w:hAnsi="Palatino Linotype" w:cs="Times New Roman"/>
          <w:szCs w:val="24"/>
        </w:rPr>
      </w:pPr>
      <w:r w:rsidRPr="00F40346">
        <w:rPr>
          <w:rFonts w:ascii="Palatino Linotype" w:hAnsi="Palatino Linotype" w:cs="Times New Roman"/>
          <w:szCs w:val="24"/>
        </w:rPr>
        <w:t>This book goes on to identify other possible skills that could be acquired through externships:</w:t>
      </w:r>
    </w:p>
    <w:p w14:paraId="7BFA938E" w14:textId="77777777" w:rsidR="006C6D3D" w:rsidRPr="00F40346" w:rsidRDefault="006C6D3D" w:rsidP="00F40346">
      <w:pPr>
        <w:pStyle w:val="ListParagraph"/>
        <w:numPr>
          <w:ilvl w:val="0"/>
          <w:numId w:val="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“seek and receive timely and effective feedback and supervision, in order to improve future work product</w:t>
      </w:r>
    </w:p>
    <w:p w14:paraId="56FBAC3D" w14:textId="77777777" w:rsidR="006C6D3D" w:rsidRPr="00F40346" w:rsidRDefault="006C6D3D" w:rsidP="00F40346">
      <w:pPr>
        <w:pStyle w:val="ListParagraph"/>
        <w:numPr>
          <w:ilvl w:val="0"/>
          <w:numId w:val="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engage peers for collaborative learning</w:t>
      </w:r>
    </w:p>
    <w:p w14:paraId="100B9188" w14:textId="77777777" w:rsidR="006C6D3D" w:rsidRPr="00F40346" w:rsidRDefault="006C6D3D" w:rsidP="00F40346">
      <w:pPr>
        <w:pStyle w:val="ListParagraph"/>
        <w:numPr>
          <w:ilvl w:val="0"/>
          <w:numId w:val="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develop skills associated with the human dimensions of practice;</w:t>
      </w:r>
    </w:p>
    <w:p w14:paraId="26DABB11" w14:textId="77777777" w:rsidR="006C6D3D" w:rsidRPr="00F40346" w:rsidRDefault="006C6D3D" w:rsidP="00F40346">
      <w:pPr>
        <w:pStyle w:val="ListParagraph"/>
        <w:numPr>
          <w:ilvl w:val="1"/>
          <w:numId w:val="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understanding the perspective of another</w:t>
      </w:r>
    </w:p>
    <w:p w14:paraId="3047388B" w14:textId="77777777" w:rsidR="006C6D3D" w:rsidRPr="00F40346" w:rsidRDefault="006C6D3D" w:rsidP="00F40346">
      <w:pPr>
        <w:pStyle w:val="ListParagraph"/>
        <w:numPr>
          <w:ilvl w:val="1"/>
          <w:numId w:val="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interpersonal interaction</w:t>
      </w:r>
    </w:p>
    <w:p w14:paraId="3750FD45" w14:textId="77777777" w:rsidR="006C6D3D" w:rsidRPr="00F40346" w:rsidRDefault="006C6D3D" w:rsidP="00F40346">
      <w:pPr>
        <w:pStyle w:val="ListParagraph"/>
        <w:numPr>
          <w:ilvl w:val="1"/>
          <w:numId w:val="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self-knowledge and self-regulation</w:t>
      </w:r>
    </w:p>
    <w:p w14:paraId="39111290" w14:textId="77777777" w:rsidR="006C6D3D" w:rsidRPr="00F40346" w:rsidRDefault="006C6D3D" w:rsidP="00F40346">
      <w:pPr>
        <w:pStyle w:val="ListParagraph"/>
        <w:numPr>
          <w:ilvl w:val="1"/>
          <w:numId w:val="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communication and intercultural competence.”</w:t>
      </w:r>
      <w:r w:rsidRPr="00F40346">
        <w:rPr>
          <w:rStyle w:val="FootnoteReference"/>
          <w:rFonts w:ascii="Palatino Linotype" w:hAnsi="Palatino Linotype" w:cs="Times New Roman"/>
          <w:sz w:val="24"/>
          <w:szCs w:val="24"/>
        </w:rPr>
        <w:footnoteReference w:id="46"/>
      </w:r>
    </w:p>
    <w:p w14:paraId="2FDE4BC7" w14:textId="70102702" w:rsidR="006C6D3D" w:rsidRPr="00F40346" w:rsidRDefault="006C6D3D" w:rsidP="00F40346">
      <w:pPr>
        <w:spacing w:line="480" w:lineRule="auto"/>
        <w:jc w:val="both"/>
        <w:outlineLvl w:val="0"/>
        <w:rPr>
          <w:rFonts w:ascii="Palatino Linotype" w:hAnsi="Palatino Linotype" w:cs="Times New Roman"/>
          <w:szCs w:val="24"/>
        </w:rPr>
      </w:pPr>
      <w:r w:rsidRPr="00F40346">
        <w:rPr>
          <w:rFonts w:ascii="Palatino Linotype" w:hAnsi="Palatino Linotype" w:cs="Times New Roman"/>
          <w:szCs w:val="24"/>
        </w:rPr>
        <w:t xml:space="preserve">Another recent book also emphasizes the value of a broad conception of the skills required by lawyers.  </w:t>
      </w:r>
      <w:r w:rsidRPr="00F40346">
        <w:rPr>
          <w:rFonts w:ascii="Palatino Linotype" w:hAnsi="Palatino Linotype" w:cs="Times New Roman"/>
          <w:smallCaps/>
          <w:szCs w:val="24"/>
        </w:rPr>
        <w:t>Australian Clinical Legal Education</w:t>
      </w:r>
      <w:r w:rsidRPr="00F40346">
        <w:rPr>
          <w:rFonts w:ascii="Palatino Linotype" w:hAnsi="Palatino Linotype" w:cs="Times New Roman"/>
          <w:szCs w:val="24"/>
        </w:rPr>
        <w:t xml:space="preserve"> draws on the Australian Clinical Best Practices Project referred to earlier, in identifying a set of potential Learning Outcomes for clinical courses in general and externships in particular, addressing a broad range of skills.</w:t>
      </w:r>
      <w:r w:rsidRPr="00F40346">
        <w:rPr>
          <w:rStyle w:val="FootnoteReference"/>
          <w:rFonts w:ascii="Palatino Linotype" w:hAnsi="Palatino Linotype" w:cs="Times New Roman"/>
          <w:szCs w:val="24"/>
        </w:rPr>
        <w:footnoteReference w:id="47"/>
      </w:r>
      <w:r w:rsidRPr="00F40346">
        <w:rPr>
          <w:rFonts w:ascii="Palatino Linotype" w:hAnsi="Palatino Linotype" w:cs="Times New Roman"/>
          <w:szCs w:val="24"/>
        </w:rPr>
        <w:t xml:space="preserve">  They include the more conventional “lawyering skills” as well as the broader framework of learning from experience and self-knowledge skills.  While acknowledging the suitability of clinics for teaching students a broad range of skills, the authors emphasize the importance of analysis and </w:t>
      </w:r>
      <w:r w:rsidRPr="00F40346">
        <w:rPr>
          <w:rFonts w:ascii="Palatino Linotype" w:hAnsi="Palatino Linotype" w:cs="Times New Roman"/>
          <w:szCs w:val="24"/>
        </w:rPr>
        <w:lastRenderedPageBreak/>
        <w:t>reflection as well as taking opportunities to critique “the apparently value-neutral nature” of legal skills as part of the process of students developing “a consciousness of the value-laden nature of legal practice.”</w:t>
      </w:r>
      <w:r w:rsidRPr="00F40346">
        <w:rPr>
          <w:rStyle w:val="FootnoteReference"/>
          <w:rFonts w:ascii="Palatino Linotype" w:hAnsi="Palatino Linotype" w:cs="Times New Roman"/>
          <w:szCs w:val="24"/>
        </w:rPr>
        <w:footnoteReference w:id="48"/>
      </w:r>
      <w:r w:rsidRPr="00F40346">
        <w:rPr>
          <w:rFonts w:ascii="Palatino Linotype" w:hAnsi="Palatino Linotype" w:cs="Times New Roman"/>
          <w:szCs w:val="24"/>
        </w:rPr>
        <w:t xml:space="preserve">  They also highlight the role of the classroom component of externships and other clinic courses in “creating both the opportunity for comparative experiences and the challenge of finding common ground.”</w:t>
      </w:r>
      <w:r w:rsidRPr="00F40346">
        <w:rPr>
          <w:rStyle w:val="FootnoteReference"/>
          <w:rFonts w:ascii="Palatino Linotype" w:hAnsi="Palatino Linotype" w:cs="Times New Roman"/>
          <w:szCs w:val="24"/>
        </w:rPr>
        <w:footnoteReference w:id="49"/>
      </w:r>
    </w:p>
    <w:p w14:paraId="44EBFCDF" w14:textId="0211F584" w:rsidR="006C6D3D" w:rsidRPr="00F40346" w:rsidRDefault="006C6D3D" w:rsidP="00F40346">
      <w:pPr>
        <w:spacing w:line="480" w:lineRule="auto"/>
        <w:jc w:val="both"/>
        <w:outlineLvl w:val="0"/>
        <w:rPr>
          <w:rFonts w:ascii="Palatino Linotype" w:hAnsi="Palatino Linotype" w:cs="Times New Roman"/>
          <w:szCs w:val="24"/>
        </w:rPr>
      </w:pPr>
      <w:r w:rsidRPr="00F40346">
        <w:rPr>
          <w:rFonts w:ascii="Palatino Linotype" w:hAnsi="Palatino Linotype" w:cs="Times New Roman"/>
          <w:szCs w:val="24"/>
        </w:rPr>
        <w:t>As recent sources specifically focused on clinical legal education, these books provide valuable guidance for those considering the design and operation of extern-based clinical courses and skills that might be targeted for development through such experiences.</w:t>
      </w:r>
    </w:p>
    <w:p w14:paraId="4F53B446" w14:textId="5937BA12" w:rsidR="006C6D3D" w:rsidRPr="00F40346" w:rsidRDefault="006C6D3D" w:rsidP="00F40346">
      <w:pPr>
        <w:spacing w:line="480" w:lineRule="auto"/>
        <w:jc w:val="both"/>
        <w:outlineLvl w:val="0"/>
        <w:rPr>
          <w:rFonts w:ascii="Palatino Linotype" w:hAnsi="Palatino Linotype" w:cs="Times New Roman"/>
          <w:szCs w:val="24"/>
        </w:rPr>
      </w:pPr>
    </w:p>
    <w:p w14:paraId="49EA19CF" w14:textId="4FDE09AE" w:rsidR="006C6D3D" w:rsidRPr="00F40346" w:rsidRDefault="006C6D3D" w:rsidP="00F40346">
      <w:pPr>
        <w:spacing w:line="480" w:lineRule="auto"/>
        <w:ind w:left="1094" w:hanging="547"/>
        <w:jc w:val="both"/>
        <w:rPr>
          <w:rFonts w:ascii="Palatino Linotype" w:hAnsi="Palatino Linotype"/>
          <w:b/>
          <w:u w:val="single"/>
        </w:rPr>
      </w:pPr>
      <w:r w:rsidRPr="00F40346">
        <w:rPr>
          <w:rFonts w:ascii="Palatino Linotype" w:hAnsi="Palatino Linotype"/>
          <w:b/>
        </w:rPr>
        <w:t>B.</w:t>
      </w:r>
      <w:r w:rsidRPr="00F40346">
        <w:rPr>
          <w:rFonts w:ascii="Palatino Linotype" w:hAnsi="Palatino Linotype"/>
          <w:b/>
        </w:rPr>
        <w:tab/>
      </w:r>
      <w:r w:rsidRPr="00F40346">
        <w:rPr>
          <w:rFonts w:ascii="Palatino Linotype" w:hAnsi="Palatino Linotype"/>
          <w:b/>
          <w:u w:val="single"/>
        </w:rPr>
        <w:t xml:space="preserve">Aligning Program Design </w:t>
      </w:r>
      <w:r w:rsidR="00F36A52" w:rsidRPr="00F40346">
        <w:rPr>
          <w:rFonts w:ascii="Palatino Linotype" w:hAnsi="Palatino Linotype"/>
          <w:b/>
          <w:u w:val="single"/>
        </w:rPr>
        <w:t>t</w:t>
      </w:r>
      <w:r w:rsidRPr="00F40346">
        <w:rPr>
          <w:rFonts w:ascii="Palatino Linotype" w:hAnsi="Palatino Linotype"/>
          <w:b/>
          <w:u w:val="single"/>
        </w:rPr>
        <w:t>o Learning Outcomes</w:t>
      </w:r>
    </w:p>
    <w:p w14:paraId="5D67F055" w14:textId="09648F1D"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The skills that will be developed in any given externship should be determined at the outset.  Some externship programs are “tailor</w:t>
      </w:r>
      <w:r w:rsidR="004E362B" w:rsidRPr="00F40346">
        <w:rPr>
          <w:rFonts w:ascii="Palatino Linotype" w:hAnsi="Palatino Linotype" w:cs="Times New Roman"/>
          <w:szCs w:val="24"/>
        </w:rPr>
        <w:t>-</w:t>
      </w:r>
      <w:r w:rsidRPr="00F40346">
        <w:rPr>
          <w:rFonts w:ascii="Palatino Linotype" w:hAnsi="Palatino Linotype" w:cs="Times New Roman"/>
          <w:szCs w:val="24"/>
        </w:rPr>
        <w:t>made” for each individual student and placement while others are “retail” operations in which regular placements offer similar skills acquisition opportunities to students</w:t>
      </w:r>
      <w:r w:rsidR="0082317E" w:rsidRPr="00F40346">
        <w:rPr>
          <w:rFonts w:ascii="Palatino Linotype" w:hAnsi="Palatino Linotype" w:cs="Times New Roman"/>
          <w:szCs w:val="24"/>
        </w:rPr>
        <w:t>,</w:t>
      </w:r>
      <w:r w:rsidRPr="00F40346">
        <w:rPr>
          <w:rFonts w:ascii="Palatino Linotype" w:hAnsi="Palatino Linotype" w:cs="Times New Roman"/>
          <w:szCs w:val="24"/>
        </w:rPr>
        <w:t xml:space="preserve"> semester after semester.  The methods used to ensure the student acquires the appropriate lawyering skills through an externship vary depending upon which approach is used.  Similarly, the roles of faculty supervisor and site supervisor will vary depending upon the structure of the program.</w:t>
      </w:r>
    </w:p>
    <w:p w14:paraId="63130C0C" w14:textId="468547F6" w:rsidR="006C6D3D" w:rsidRPr="00F40346" w:rsidRDefault="006C6D3D" w:rsidP="00F40346">
      <w:pPr>
        <w:spacing w:line="480" w:lineRule="auto"/>
        <w:ind w:left="1627" w:hanging="547"/>
        <w:jc w:val="both"/>
        <w:rPr>
          <w:rFonts w:ascii="Palatino Linotype" w:hAnsi="Palatino Linotype" w:cs="Times New Roman"/>
          <w:b/>
          <w:szCs w:val="24"/>
          <w:u w:val="single"/>
        </w:rPr>
      </w:pPr>
      <w:r w:rsidRPr="00F40346">
        <w:rPr>
          <w:rFonts w:ascii="Palatino Linotype" w:hAnsi="Palatino Linotype" w:cs="Times New Roman"/>
          <w:b/>
          <w:szCs w:val="24"/>
        </w:rPr>
        <w:lastRenderedPageBreak/>
        <w:t>1.</w:t>
      </w:r>
      <w:r w:rsidRPr="00F40346">
        <w:rPr>
          <w:rFonts w:ascii="Palatino Linotype" w:hAnsi="Palatino Linotype" w:cs="Times New Roman"/>
          <w:b/>
          <w:szCs w:val="24"/>
        </w:rPr>
        <w:tab/>
      </w:r>
      <w:r w:rsidR="0082317E" w:rsidRPr="00F40346">
        <w:rPr>
          <w:rFonts w:ascii="Palatino Linotype" w:hAnsi="Palatino Linotype" w:cs="Times New Roman"/>
          <w:b/>
          <w:szCs w:val="24"/>
        </w:rPr>
        <w:t>“</w:t>
      </w:r>
      <w:r w:rsidRPr="00F40346">
        <w:rPr>
          <w:rFonts w:ascii="Palatino Linotype" w:hAnsi="Palatino Linotype" w:cs="Times New Roman"/>
          <w:b/>
          <w:szCs w:val="24"/>
          <w:u w:val="single"/>
        </w:rPr>
        <w:t>Tailor-Made</w:t>
      </w:r>
      <w:r w:rsidR="0082317E" w:rsidRPr="00F40346">
        <w:rPr>
          <w:rFonts w:ascii="Palatino Linotype" w:hAnsi="Palatino Linotype" w:cs="Times New Roman"/>
          <w:b/>
          <w:szCs w:val="24"/>
          <w:u w:val="single"/>
        </w:rPr>
        <w:t>”</w:t>
      </w:r>
      <w:r w:rsidRPr="00F40346">
        <w:rPr>
          <w:rFonts w:ascii="Palatino Linotype" w:hAnsi="Palatino Linotype" w:cs="Times New Roman"/>
          <w:b/>
          <w:szCs w:val="24"/>
          <w:u w:val="single"/>
        </w:rPr>
        <w:t xml:space="preserve"> Externships</w:t>
      </w:r>
    </w:p>
    <w:p w14:paraId="6D678754" w14:textId="7CCDE265"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In the tailor-made externship the faculty member consults with the student about the skills the student wishes to acquire, helps to arrange a placement that will allow the acquisition or development of those skills, consults with the placement supervisor as needed, and arranges for the student to be prepared to take advantage of that placement.</w:t>
      </w:r>
      <w:r w:rsidRPr="00F40346">
        <w:rPr>
          <w:rStyle w:val="FootnoteReference"/>
          <w:rFonts w:ascii="Palatino Linotype" w:hAnsi="Palatino Linotype" w:cs="Times New Roman"/>
          <w:szCs w:val="24"/>
        </w:rPr>
        <w:footnoteReference w:id="50"/>
      </w:r>
    </w:p>
    <w:p w14:paraId="4DF0DE7C" w14:textId="4751AF6A"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In tailor-made externships</w:t>
      </w:r>
      <w:r w:rsidR="004712EB" w:rsidRPr="00F40346">
        <w:rPr>
          <w:rFonts w:ascii="Palatino Linotype" w:hAnsi="Palatino Linotype" w:cs="Times New Roman"/>
          <w:szCs w:val="24"/>
        </w:rPr>
        <w:t>,</w:t>
      </w:r>
      <w:r w:rsidRPr="00F40346">
        <w:rPr>
          <w:rFonts w:ascii="Palatino Linotype" w:hAnsi="Palatino Linotype" w:cs="Times New Roman"/>
          <w:szCs w:val="24"/>
        </w:rPr>
        <w:t xml:space="preserve"> student and faculty member should consider any instruction the student has already had in the relevant skills.  In most cases the student will have completed a foundation course in legal research, reasoning, and writing and should be prepared for research and writing tasks.  Other students will have taken a Trial Advocacy course and be prepared to represent clients in court, or they will have completed a class in Interviewing and Counseling and be prepared to interact productively with clients.  The externship experience can be more robustly focused on skills where the student is prepared by having taken simulation courses that have introduced the student to the theory and techniques for the skills at issue.  In that situation, the site supervisor is not asked to teach these skills but rather to provide opportunities for the student to observe and practice these skills and provide feedback and critique to the student.  Likewise, the faculty supervisor typically sponsors the </w:t>
      </w:r>
      <w:r w:rsidRPr="00F40346">
        <w:rPr>
          <w:rFonts w:ascii="Palatino Linotype" w:hAnsi="Palatino Linotype" w:cs="Times New Roman"/>
          <w:szCs w:val="24"/>
        </w:rPr>
        <w:lastRenderedPageBreak/>
        <w:t>student’s reflection about his observations and performances to integrate the “doctrine, theory, skills and legal ethics.”</w:t>
      </w:r>
    </w:p>
    <w:p w14:paraId="4B5912F3" w14:textId="3EF4FCFF"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In tailor-made externships where the student has not been introduced to the skills and theories about them through a simulation course, either the faculty supervisor or the field supervisor must structure opportunities for the student to learn them through directed self-study or more direct “teaching.”  Sometimes, the site supervisor will be the most qualified person to teach the relevant skills, particularly if the placement is quite specialized.  In this case, the site supervisor will be selected with an eye toward this capacity and the plan for the externship should include this on-site instruction of both the techniques and the “concepts underlying” the relevant skills.  Alternatively, the faculty supervisor may be able to introduce the relevant skills.</w:t>
      </w:r>
    </w:p>
    <w:p w14:paraId="27CEE979" w14:textId="604113B3"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Here is where the economies of scale, efficiency, and expertise come into play.  The faculty supervisor may not be qualified to teach the full range of practice skills that all the externship students with tailor-made externships seek in a semester.  Or the faculty member may not have time to teach various tailor-made sets of skills to a large number of externship students.  In either case the faculty member may lift out skills that are common to all externship students to include as learning goals for them all.  Skills that could apply to all externships include learning to learn from experience, interpersonal skills, self-awareness, teamwork, and workload management to name a </w:t>
      </w:r>
      <w:r w:rsidRPr="00F40346">
        <w:rPr>
          <w:rFonts w:ascii="Palatino Linotype" w:hAnsi="Palatino Linotype" w:cs="Times New Roman"/>
          <w:szCs w:val="24"/>
        </w:rPr>
        <w:lastRenderedPageBreak/>
        <w:t>few.</w:t>
      </w:r>
      <w:r w:rsidRPr="00F40346">
        <w:rPr>
          <w:rStyle w:val="FootnoteReference"/>
          <w:rFonts w:ascii="Palatino Linotype" w:hAnsi="Palatino Linotype" w:cs="Times New Roman"/>
          <w:szCs w:val="24"/>
        </w:rPr>
        <w:footnoteReference w:id="51"/>
      </w:r>
      <w:r w:rsidRPr="00F40346">
        <w:rPr>
          <w:rFonts w:ascii="Palatino Linotype" w:hAnsi="Palatino Linotype" w:cs="Times New Roman"/>
          <w:szCs w:val="24"/>
        </w:rPr>
        <w:t xml:space="preserve">  The faculty supervisor could efficiently include such skills in an accompanying classroom component for students at a wide variety of placements.</w:t>
      </w:r>
    </w:p>
    <w:p w14:paraId="681D2FCE" w14:textId="7777777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While focusing upon those skills that all externship students will develop is efficient, the classroom component may feel less engaging for some students who would prefer a focus that is more congruent with the particular lawyering skills they are developing in their placements.  Some have argued that “individual tutorials” or other approaches to “faculty-guided reflection”</w:t>
      </w:r>
      <w:r w:rsidRPr="00F40346">
        <w:rPr>
          <w:rStyle w:val="FootnoteReference"/>
          <w:rFonts w:ascii="Palatino Linotype" w:hAnsi="Palatino Linotype" w:cs="Times New Roman"/>
          <w:szCs w:val="24"/>
        </w:rPr>
        <w:footnoteReference w:id="52"/>
      </w:r>
      <w:r w:rsidRPr="00F40346">
        <w:rPr>
          <w:rFonts w:ascii="Palatino Linotype" w:hAnsi="Palatino Linotype" w:cs="Times New Roman"/>
          <w:szCs w:val="24"/>
        </w:rPr>
        <w:t xml:space="preserve"> are superior to a classroom component where extern placements are diverse.</w:t>
      </w:r>
      <w:r w:rsidRPr="00F40346">
        <w:rPr>
          <w:rStyle w:val="FootnoteReference"/>
          <w:rFonts w:ascii="Palatino Linotype" w:hAnsi="Palatino Linotype" w:cs="Times New Roman"/>
          <w:szCs w:val="24"/>
        </w:rPr>
        <w:footnoteReference w:id="53"/>
      </w:r>
    </w:p>
    <w:p w14:paraId="42BFF137" w14:textId="77777777" w:rsidR="006C6D3D" w:rsidRPr="00F40346" w:rsidRDefault="006C6D3D" w:rsidP="00F40346">
      <w:pPr>
        <w:spacing w:line="480" w:lineRule="auto"/>
        <w:jc w:val="both"/>
        <w:rPr>
          <w:rFonts w:ascii="Palatino Linotype" w:hAnsi="Palatino Linotype" w:cs="Times New Roman"/>
          <w:szCs w:val="24"/>
        </w:rPr>
      </w:pPr>
    </w:p>
    <w:p w14:paraId="58959CBA" w14:textId="3B9DA241" w:rsidR="006C6D3D" w:rsidRPr="00F40346" w:rsidRDefault="006C6D3D" w:rsidP="00F40346">
      <w:pPr>
        <w:spacing w:line="480" w:lineRule="auto"/>
        <w:ind w:left="1627" w:hanging="547"/>
        <w:jc w:val="both"/>
        <w:rPr>
          <w:rFonts w:ascii="Palatino Linotype" w:hAnsi="Palatino Linotype" w:cs="Times New Roman"/>
          <w:b/>
          <w:szCs w:val="24"/>
          <w:u w:val="single"/>
        </w:rPr>
      </w:pPr>
      <w:r w:rsidRPr="00F40346">
        <w:rPr>
          <w:rFonts w:ascii="Palatino Linotype" w:hAnsi="Palatino Linotype" w:cs="Times New Roman"/>
          <w:b/>
          <w:szCs w:val="24"/>
        </w:rPr>
        <w:t>2.</w:t>
      </w:r>
      <w:r w:rsidRPr="00F40346">
        <w:rPr>
          <w:rFonts w:ascii="Palatino Linotype" w:hAnsi="Palatino Linotype" w:cs="Times New Roman"/>
          <w:b/>
          <w:szCs w:val="24"/>
        </w:rPr>
        <w:tab/>
      </w:r>
      <w:r w:rsidRPr="00F40346">
        <w:rPr>
          <w:rFonts w:ascii="Palatino Linotype" w:hAnsi="Palatino Linotype" w:cs="Times New Roman"/>
          <w:b/>
          <w:szCs w:val="24"/>
          <w:u w:val="single"/>
        </w:rPr>
        <w:t>“Retail” Externships</w:t>
      </w:r>
    </w:p>
    <w:p w14:paraId="6AFB5390" w14:textId="378E3991"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The alternative approach to externship programs is for the faculty member to develop a range of regular placements that will all offer similar experiences and opportunities to acquire a set of lawyering skills to all students, semester after semester.</w:t>
      </w:r>
      <w:r w:rsidRPr="00F40346">
        <w:rPr>
          <w:rStyle w:val="FootnoteReference"/>
          <w:rFonts w:ascii="Palatino Linotype" w:hAnsi="Palatino Linotype" w:cs="Times New Roman"/>
          <w:szCs w:val="24"/>
        </w:rPr>
        <w:footnoteReference w:id="54"/>
      </w:r>
      <w:r w:rsidRPr="00F40346">
        <w:rPr>
          <w:rFonts w:ascii="Palatino Linotype" w:hAnsi="Palatino Linotype" w:cs="Times New Roman"/>
          <w:szCs w:val="24"/>
        </w:rPr>
        <w:t xml:space="preserve">  For example, local prosecutor and public defender offices may all offer the opportunity to develop pre-trial, trial and strategic planning skills in criminal cases;</w:t>
      </w:r>
      <w:r w:rsidRPr="00F40346">
        <w:rPr>
          <w:rStyle w:val="FootnoteReference"/>
          <w:rFonts w:ascii="Palatino Linotype" w:hAnsi="Palatino Linotype" w:cs="Times New Roman"/>
          <w:szCs w:val="24"/>
        </w:rPr>
        <w:footnoteReference w:id="55"/>
      </w:r>
      <w:r w:rsidRPr="00F40346">
        <w:rPr>
          <w:rFonts w:ascii="Palatino Linotype" w:hAnsi="Palatino Linotype" w:cs="Times New Roman"/>
          <w:szCs w:val="24"/>
        </w:rPr>
        <w:t xml:space="preserve"> local legal aid offices may all offer the opportunity to develop interviewing and counseling skills </w:t>
      </w:r>
      <w:r w:rsidRPr="00F40346">
        <w:rPr>
          <w:rFonts w:ascii="Palatino Linotype" w:hAnsi="Palatino Linotype" w:cs="Times New Roman"/>
          <w:szCs w:val="24"/>
        </w:rPr>
        <w:lastRenderedPageBreak/>
        <w:t xml:space="preserve">with low-income clients.  Once the array of similar placements </w:t>
      </w:r>
      <w:r w:rsidR="00394D47" w:rsidRPr="00F40346">
        <w:rPr>
          <w:rFonts w:ascii="Palatino Linotype" w:hAnsi="Palatino Linotype" w:cs="Times New Roman"/>
          <w:szCs w:val="24"/>
        </w:rPr>
        <w:t>is</w:t>
      </w:r>
      <w:r w:rsidRPr="00F40346">
        <w:rPr>
          <w:rFonts w:ascii="Palatino Linotype" w:hAnsi="Palatino Linotype" w:cs="Times New Roman"/>
          <w:szCs w:val="24"/>
        </w:rPr>
        <w:t xml:space="preserve"> established, students may be placed in any one of the participating sites to participate in an externship program with the advertised goals and methods.</w:t>
      </w:r>
    </w:p>
    <w:p w14:paraId="0F38603E" w14:textId="5829F72F"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With this approach the supervising faculty member could offer a skills-focused classroom component for the externship.  There she could integrate “doctrine, theory, skills and legal ethics” that the students would all need in their similar placements.  In a skills-focused class the faculty member could observe the “student’s performance” and provide “feedback” on the skills in order to enhance the students’ preparation for the placement work.</w:t>
      </w:r>
      <w:r w:rsidRPr="00F40346">
        <w:rPr>
          <w:rStyle w:val="FootnoteReference"/>
          <w:rFonts w:ascii="Palatino Linotype" w:hAnsi="Palatino Linotype" w:cs="Times New Roman"/>
          <w:szCs w:val="24"/>
        </w:rPr>
        <w:t xml:space="preserve"> </w:t>
      </w:r>
      <w:r w:rsidRPr="00F40346">
        <w:rPr>
          <w:rStyle w:val="FootnoteReference"/>
          <w:rFonts w:ascii="Palatino Linotype" w:hAnsi="Palatino Linotype" w:cs="Times New Roman"/>
          <w:szCs w:val="24"/>
        </w:rPr>
        <w:footnoteReference w:id="56"/>
      </w:r>
      <w:r w:rsidRPr="00F40346">
        <w:rPr>
          <w:rFonts w:ascii="Palatino Linotype" w:hAnsi="Palatino Linotype" w:cs="Times New Roman"/>
          <w:szCs w:val="24"/>
        </w:rPr>
        <w:t xml:space="preserve">  During the course of the externship the students’ reflections might focus upon the skills they are developing, and the faculty member could guide these reflections and provide further feedback.  Such reflections could involve class discussions as well as individual journals or papers.</w:t>
      </w:r>
    </w:p>
    <w:p w14:paraId="66466A2A" w14:textId="59C4A544"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Such a “retail” externship program offers certain advantages.  The class may be appreciated by the students as it provides specialized skills instruction needed for the placement, and the students may be assigned more responsible roles in the placement if they are thus better prepared.  The skills focus addresses the “quality control” problems alleged with externships in which students may be “just practicing mistakes” and may “accept supervisor (practitioner) advice uncritically.”</w:t>
      </w:r>
      <w:r w:rsidRPr="00F40346">
        <w:rPr>
          <w:rStyle w:val="FootnoteReference"/>
          <w:rFonts w:ascii="Palatino Linotype" w:hAnsi="Palatino Linotype" w:cs="Times New Roman"/>
          <w:szCs w:val="24"/>
        </w:rPr>
        <w:footnoteReference w:id="57"/>
      </w:r>
    </w:p>
    <w:p w14:paraId="2A10D012" w14:textId="5CFCB5DE"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lastRenderedPageBreak/>
        <w:t>It would not be necessary for site supervisors to teach the skills that had been covered in the classroom component.  Rather, site supervisors would be asked to give the students opportunities to observe and employ these skills and provide feedback about the students’ performances.  The site supervisor could focus on the exercise of the skills in the particular context of the office’s work.  The initial focus on lawyering skills also provides some assurance that the student will not take away bad lessons from the externship experience.  The student will benefit by having learned the theories behind the skills, from having observed good models during class, and from having received professorial feedback.  Such a student is prepared to critique skills he observes that are inconsistent with the theories and models from class, and to theorize when and why performances might appropriately differ.</w:t>
      </w:r>
    </w:p>
    <w:p w14:paraId="5CB764A7" w14:textId="65D9DFC9" w:rsidR="006C6D3D" w:rsidRPr="00F40346" w:rsidRDefault="006C6D3D" w:rsidP="00F40346">
      <w:pPr>
        <w:spacing w:line="480" w:lineRule="auto"/>
        <w:rPr>
          <w:rFonts w:ascii="Palatino Linotype" w:hAnsi="Palatino Linotype" w:cs="Times New Roman"/>
          <w:szCs w:val="24"/>
        </w:rPr>
      </w:pPr>
      <w:r w:rsidRPr="00F40346">
        <w:rPr>
          <w:rFonts w:ascii="Palatino Linotype" w:hAnsi="Palatino Linotype" w:cs="Times New Roman"/>
          <w:szCs w:val="24"/>
        </w:rPr>
        <w:t>Ultimately the students must share their experiences and conclusions with the faculty supervisor to maximize their learning.  Condlin explains:</w:t>
      </w:r>
    </w:p>
    <w:p w14:paraId="029D4F2F" w14:textId="726B0F90" w:rsidR="006C6D3D" w:rsidRPr="00F40346" w:rsidRDefault="006C6D3D" w:rsidP="00F40346">
      <w:pPr>
        <w:spacing w:line="360" w:lineRule="auto"/>
        <w:ind w:left="720"/>
        <w:jc w:val="both"/>
        <w:rPr>
          <w:rFonts w:ascii="Palatino Linotype" w:hAnsi="Palatino Linotype" w:cs="Times New Roman"/>
          <w:szCs w:val="24"/>
        </w:rPr>
      </w:pPr>
      <w:r w:rsidRPr="00F40346">
        <w:rPr>
          <w:rFonts w:ascii="Palatino Linotype" w:hAnsi="Palatino Linotype" w:cs="Times New Roman"/>
          <w:szCs w:val="24"/>
        </w:rPr>
        <w:t>[L]aw teachers need two types of information to review student practice experience critically:  student conclusions about what they learned from the experiences, and trustworthy and detailed descriptions of what the students did.</w:t>
      </w:r>
      <w:r w:rsidRPr="00F40346">
        <w:rPr>
          <w:rStyle w:val="FootnoteReference"/>
          <w:rFonts w:ascii="Palatino Linotype" w:hAnsi="Palatino Linotype" w:cs="Times New Roman"/>
          <w:szCs w:val="24"/>
        </w:rPr>
        <w:footnoteReference w:id="58"/>
      </w:r>
    </w:p>
    <w:p w14:paraId="67F382DB" w14:textId="1DDB5D14"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Where the faculty member and student engage in this descriptive and critical review, the necessity of selecting supervisors to teach and model the relevant skills with excellence will not be as important as in the tailor-made externships in which greater </w:t>
      </w:r>
      <w:r w:rsidRPr="00F40346">
        <w:rPr>
          <w:rFonts w:ascii="Palatino Linotype" w:hAnsi="Palatino Linotype" w:cs="Times New Roman"/>
          <w:szCs w:val="24"/>
        </w:rPr>
        <w:lastRenderedPageBreak/>
        <w:t>reliance is placed on the site supervisor to teach the specialized skills needed in the placement.</w:t>
      </w:r>
    </w:p>
    <w:p w14:paraId="038E7A2C" w14:textId="77777777" w:rsidR="006C6D3D" w:rsidRPr="00F40346" w:rsidRDefault="006C6D3D" w:rsidP="00F40346">
      <w:pPr>
        <w:spacing w:line="480" w:lineRule="auto"/>
        <w:jc w:val="both"/>
        <w:rPr>
          <w:rFonts w:ascii="Palatino Linotype" w:hAnsi="Palatino Linotype" w:cs="Times New Roman"/>
          <w:szCs w:val="24"/>
        </w:rPr>
      </w:pPr>
    </w:p>
    <w:p w14:paraId="1C1AF8DC" w14:textId="274081EE" w:rsidR="006C6D3D" w:rsidRPr="00F40346" w:rsidRDefault="006C6D3D" w:rsidP="00F40346">
      <w:pPr>
        <w:spacing w:line="480" w:lineRule="auto"/>
        <w:ind w:left="547" w:hanging="547"/>
        <w:jc w:val="both"/>
        <w:rPr>
          <w:rFonts w:ascii="Palatino Linotype" w:hAnsi="Palatino Linotype" w:cs="Times New Roman"/>
          <w:b/>
          <w:color w:val="000000"/>
        </w:rPr>
      </w:pPr>
      <w:r w:rsidRPr="00F40346">
        <w:rPr>
          <w:rFonts w:ascii="Palatino Linotype" w:hAnsi="Palatino Linotype" w:cs="Times New Roman"/>
          <w:b/>
          <w:color w:val="000000"/>
        </w:rPr>
        <w:t>III.</w:t>
      </w:r>
      <w:r w:rsidRPr="00F40346">
        <w:rPr>
          <w:rFonts w:ascii="Palatino Linotype" w:hAnsi="Palatino Linotype" w:cs="Times New Roman"/>
          <w:b/>
          <w:color w:val="000000"/>
        </w:rPr>
        <w:tab/>
        <w:t>“VALUES”</w:t>
      </w:r>
    </w:p>
    <w:p w14:paraId="331AD40A" w14:textId="0A4AF988" w:rsidR="006C6D3D" w:rsidRPr="00F40346" w:rsidRDefault="006C6D3D" w:rsidP="00F40346">
      <w:pPr>
        <w:spacing w:line="480" w:lineRule="auto"/>
        <w:jc w:val="both"/>
        <w:rPr>
          <w:rFonts w:ascii="Palatino Linotype" w:hAnsi="Palatino Linotype"/>
        </w:rPr>
      </w:pPr>
      <w:r w:rsidRPr="00F40346">
        <w:rPr>
          <w:rFonts w:ascii="Palatino Linotype" w:hAnsi="Palatino Linotype"/>
        </w:rPr>
        <w:t xml:space="preserve">While developing professional skills is a possible goal for externships, the ABA Standards’ seeming focus on “skills” as the </w:t>
      </w:r>
      <w:r w:rsidRPr="00F40346">
        <w:rPr>
          <w:rFonts w:ascii="Palatino Linotype" w:hAnsi="Palatino Linotype"/>
          <w:i/>
        </w:rPr>
        <w:t xml:space="preserve">raison d’etre </w:t>
      </w:r>
      <w:r w:rsidRPr="00F40346">
        <w:rPr>
          <w:rFonts w:ascii="Palatino Linotype" w:hAnsi="Palatino Linotype"/>
        </w:rPr>
        <w:t>for externships and other experiential courses risks the loss of other equally important goals that can be achieved through mediated externship experiences</w:t>
      </w:r>
      <w:r w:rsidR="00F7493D" w:rsidRPr="00F40346">
        <w:rPr>
          <w:rFonts w:ascii="Palatino Linotype" w:hAnsi="Palatino Linotype"/>
        </w:rPr>
        <w:t xml:space="preserve">. </w:t>
      </w:r>
    </w:p>
    <w:p w14:paraId="6A1294E6" w14:textId="67298097" w:rsidR="006C6D3D" w:rsidRPr="00F40346" w:rsidRDefault="006C6D3D" w:rsidP="00F40346">
      <w:pPr>
        <w:spacing w:line="480" w:lineRule="auto"/>
        <w:jc w:val="both"/>
        <w:rPr>
          <w:rFonts w:ascii="Palatino Linotype" w:hAnsi="Palatino Linotype"/>
        </w:rPr>
      </w:pPr>
      <w:r w:rsidRPr="00F40346">
        <w:rPr>
          <w:rFonts w:ascii="Palatino Linotype" w:hAnsi="Palatino Linotype"/>
        </w:rPr>
        <w:t>Live clinical experiences, and particularly externships, can be excellent opportunities for development of “professional identity, . . . professionalism, social responsibility, [and] ethics,”</w:t>
      </w:r>
      <w:r w:rsidRPr="00F40346">
        <w:rPr>
          <w:rStyle w:val="FootnoteReference"/>
          <w:rFonts w:ascii="Palatino Linotype" w:hAnsi="Palatino Linotype"/>
        </w:rPr>
        <w:footnoteReference w:id="59"/>
      </w:r>
      <w:r w:rsidRPr="00F40346">
        <w:rPr>
          <w:rFonts w:ascii="Palatino Linotype" w:hAnsi="Palatino Linotype"/>
        </w:rPr>
        <w:t xml:space="preserve"> the third element of legal education that the Carnegie Report identifies as needing development.  We argue that the externship seminar or guided reflection should include substantial opportunities to explore these important values.  However, we first note that the Carnegie Report and other sources typically conflate different concepts into the call for the development of “professionalism.”</w:t>
      </w:r>
    </w:p>
    <w:p w14:paraId="119876F5" w14:textId="176DA55F" w:rsidR="006C6D3D" w:rsidRPr="00F40346" w:rsidRDefault="006C6D3D" w:rsidP="00F40346">
      <w:pPr>
        <w:spacing w:line="480" w:lineRule="auto"/>
        <w:jc w:val="both"/>
        <w:rPr>
          <w:rFonts w:ascii="Palatino Linotype" w:hAnsi="Palatino Linotype"/>
        </w:rPr>
      </w:pPr>
      <w:r w:rsidRPr="00F40346">
        <w:rPr>
          <w:rFonts w:ascii="Palatino Linotype" w:hAnsi="Palatino Linotype"/>
        </w:rPr>
        <w:t xml:space="preserve">Two distinct endeavors should be considered here.  The first is the micro goal of the student’s development of a professional identity.  This can range from gaining an applied understanding of the rules of professional conduct, to consciously developing habits and practices that are consistent with being a responsible professional, to integrating one’s personal morality and vision into one’s identity as an attorney, to </w:t>
      </w:r>
      <w:r w:rsidRPr="00F40346">
        <w:rPr>
          <w:rFonts w:ascii="Palatino Linotype" w:hAnsi="Palatino Linotype"/>
        </w:rPr>
        <w:lastRenderedPageBreak/>
        <w:t>acquiring a motivation to seek social justice.  The second is the macro goal of engaging in institutional critique.  This occurs when “substantive doctrine” is combined with “field work experience” and “the policy considerations implicated in legal doctrine.”</w:t>
      </w:r>
      <w:r w:rsidRPr="00F40346">
        <w:rPr>
          <w:rStyle w:val="FootnoteReference"/>
          <w:rFonts w:ascii="Palatino Linotype" w:hAnsi="Palatino Linotype"/>
        </w:rPr>
        <w:footnoteReference w:id="60"/>
      </w:r>
      <w:r w:rsidRPr="00F40346">
        <w:rPr>
          <w:rFonts w:ascii="Palatino Linotype" w:hAnsi="Palatino Linotype"/>
        </w:rPr>
        <w:t xml:space="preserve">  Robert Condlin was the first to contend that “political critique is the most important clinical objective. . . .  The ability to judge day-to-day practice against objective standards of justice and fairness is an essential quality of a good citizen and a good lawyer.”</w:t>
      </w:r>
      <w:r w:rsidRPr="00F40346">
        <w:rPr>
          <w:rStyle w:val="FootnoteReference"/>
          <w:rFonts w:ascii="Palatino Linotype" w:hAnsi="Palatino Linotype"/>
        </w:rPr>
        <w:footnoteReference w:id="61"/>
      </w:r>
      <w:r w:rsidRPr="00F40346">
        <w:rPr>
          <w:rFonts w:ascii="Palatino Linotype" w:hAnsi="Palatino Linotype"/>
        </w:rPr>
        <w:t xml:space="preserve">  Institutional critique may well lead to an appreciation for social justice, but it may be sufficient that students develop the habit of questioning and critiquing the status quo that they encounter.  Externships offer an especially rich opportunity to engage in institutional critique because the law student is placed in an actual community agency or law office and because the case work supervision is separate from the faculty member’s supervision of the student’s learning.</w:t>
      </w:r>
      <w:r w:rsidRPr="00F40346">
        <w:rPr>
          <w:rStyle w:val="FootnoteReference"/>
          <w:rFonts w:ascii="Palatino Linotype" w:hAnsi="Palatino Linotype"/>
        </w:rPr>
        <w:footnoteReference w:id="62"/>
      </w:r>
      <w:r w:rsidRPr="00F40346">
        <w:rPr>
          <w:rFonts w:ascii="Palatino Linotype" w:hAnsi="Palatino Linotype"/>
        </w:rPr>
        <w:t xml:space="preserve"> </w:t>
      </w:r>
    </w:p>
    <w:p w14:paraId="39E6BC46" w14:textId="73349292" w:rsidR="006C6D3D" w:rsidRPr="00F40346" w:rsidRDefault="006C6D3D" w:rsidP="00F40346">
      <w:pPr>
        <w:spacing w:line="480" w:lineRule="auto"/>
        <w:jc w:val="both"/>
        <w:rPr>
          <w:rFonts w:ascii="Palatino Linotype" w:hAnsi="Palatino Linotype"/>
        </w:rPr>
      </w:pPr>
      <w:r w:rsidRPr="00F40346">
        <w:rPr>
          <w:rFonts w:ascii="Palatino Linotype" w:hAnsi="Palatino Linotype"/>
        </w:rPr>
        <w:t xml:space="preserve">Part III.A below reviews </w:t>
      </w:r>
      <w:r w:rsidRPr="00F40346">
        <w:rPr>
          <w:rFonts w:ascii="Palatino Linotype" w:hAnsi="Palatino Linotype" w:cs="Times New Roman"/>
          <w:szCs w:val="24"/>
        </w:rPr>
        <w:t>authorities that recommend focusing upon these values, noting that they fail to differentiate the micro goal of professional identity formation and the macro goal of institutional critique.  Part III.B discusses methods for exploring these two different but related goals.</w:t>
      </w:r>
    </w:p>
    <w:p w14:paraId="63D19149" w14:textId="095DDC3F" w:rsidR="006C6D3D" w:rsidRDefault="006C6D3D" w:rsidP="00F40346">
      <w:pPr>
        <w:spacing w:line="480" w:lineRule="auto"/>
        <w:jc w:val="both"/>
        <w:outlineLvl w:val="0"/>
        <w:rPr>
          <w:rFonts w:ascii="Palatino Linotype" w:hAnsi="Palatino Linotype" w:cs="Times New Roman"/>
          <w:szCs w:val="24"/>
        </w:rPr>
      </w:pPr>
    </w:p>
    <w:p w14:paraId="70D7014D" w14:textId="5311F2D0" w:rsidR="00F40346" w:rsidRDefault="00F40346" w:rsidP="00F40346">
      <w:pPr>
        <w:spacing w:line="480" w:lineRule="auto"/>
        <w:jc w:val="both"/>
        <w:outlineLvl w:val="0"/>
        <w:rPr>
          <w:rFonts w:ascii="Palatino Linotype" w:hAnsi="Palatino Linotype" w:cs="Times New Roman"/>
          <w:szCs w:val="24"/>
        </w:rPr>
      </w:pPr>
    </w:p>
    <w:p w14:paraId="729CFBFD" w14:textId="77777777" w:rsidR="00F40346" w:rsidRPr="00F40346" w:rsidRDefault="00F40346" w:rsidP="00F40346">
      <w:pPr>
        <w:spacing w:line="480" w:lineRule="auto"/>
        <w:jc w:val="both"/>
        <w:outlineLvl w:val="0"/>
        <w:rPr>
          <w:rFonts w:ascii="Palatino Linotype" w:hAnsi="Palatino Linotype" w:cs="Times New Roman"/>
          <w:szCs w:val="24"/>
        </w:rPr>
      </w:pPr>
    </w:p>
    <w:p w14:paraId="79BF7EC6" w14:textId="55470622" w:rsidR="006C6D3D" w:rsidRPr="00F40346" w:rsidRDefault="006C6D3D" w:rsidP="00F40346">
      <w:pPr>
        <w:spacing w:line="480" w:lineRule="auto"/>
        <w:ind w:left="1094" w:hanging="547"/>
        <w:jc w:val="both"/>
        <w:rPr>
          <w:rFonts w:ascii="Palatino Linotype" w:hAnsi="Palatino Linotype" w:cs="Times New Roman"/>
          <w:b/>
          <w:color w:val="000000"/>
          <w:u w:val="single"/>
        </w:rPr>
      </w:pPr>
      <w:r w:rsidRPr="00F40346">
        <w:rPr>
          <w:rFonts w:ascii="Palatino Linotype" w:hAnsi="Palatino Linotype" w:cs="Times New Roman"/>
          <w:b/>
          <w:color w:val="000000"/>
        </w:rPr>
        <w:lastRenderedPageBreak/>
        <w:t>A.</w:t>
      </w:r>
      <w:r w:rsidRPr="00F40346">
        <w:rPr>
          <w:rFonts w:ascii="Palatino Linotype" w:hAnsi="Palatino Linotype" w:cs="Times New Roman"/>
          <w:b/>
          <w:color w:val="000000"/>
          <w:sz w:val="14"/>
          <w:szCs w:val="14"/>
        </w:rPr>
        <w:tab/>
      </w:r>
      <w:r w:rsidRPr="00F40346">
        <w:rPr>
          <w:rFonts w:ascii="Palatino Linotype" w:hAnsi="Palatino Linotype" w:cs="Times New Roman"/>
          <w:b/>
          <w:color w:val="000000"/>
          <w:u w:val="single"/>
        </w:rPr>
        <w:t xml:space="preserve">Defining Values Goals </w:t>
      </w:r>
      <w:r w:rsidR="00F36A52" w:rsidRPr="00F40346">
        <w:rPr>
          <w:rFonts w:ascii="Palatino Linotype" w:hAnsi="Palatino Linotype" w:cs="Times New Roman"/>
          <w:b/>
          <w:color w:val="000000"/>
          <w:u w:val="single"/>
        </w:rPr>
        <w:t>i</w:t>
      </w:r>
      <w:r w:rsidRPr="00F40346">
        <w:rPr>
          <w:rFonts w:ascii="Palatino Linotype" w:hAnsi="Palatino Linotype" w:cs="Times New Roman"/>
          <w:b/>
          <w:color w:val="000000"/>
          <w:u w:val="single"/>
        </w:rPr>
        <w:t>n Legal Education</w:t>
      </w:r>
    </w:p>
    <w:p w14:paraId="2C116C2E" w14:textId="77777777" w:rsid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Commentators more than regulators have called for more explicit and effective integration of values into legal education.  The MacCrate Report not only recommended teaching a set of lawyering skills, it also recognized that law students should acquire a set of important professional values.</w:t>
      </w:r>
      <w:r w:rsidRPr="00F40346">
        <w:rPr>
          <w:rStyle w:val="FootnoteReference"/>
          <w:rFonts w:ascii="Palatino Linotype" w:hAnsi="Palatino Linotype" w:cs="Times New Roman"/>
          <w:szCs w:val="24"/>
        </w:rPr>
        <w:footnoteReference w:id="63"/>
      </w:r>
      <w:r w:rsidRPr="00F40346">
        <w:rPr>
          <w:rFonts w:ascii="Palatino Linotype" w:hAnsi="Palatino Linotype" w:cs="Times New Roman"/>
          <w:szCs w:val="24"/>
        </w:rPr>
        <w:t xml:space="preserve">  “The analysis of professional values recognizes that ‘training in professional responsibility’ should involve more than ‘just the specifics of the Code of Professional Responsibility and the Model Rules of Professional Conduct’; it should encompass ‘the values of a professional dealing with the lives and affairs of clients.’”</w:t>
      </w:r>
      <w:r w:rsidRPr="00F40346">
        <w:rPr>
          <w:rStyle w:val="FootnoteReference"/>
          <w:rFonts w:ascii="Palatino Linotype" w:hAnsi="Palatino Linotype" w:cs="Times New Roman"/>
          <w:szCs w:val="24"/>
        </w:rPr>
        <w:footnoteReference w:id="64"/>
      </w:r>
      <w:r w:rsidRPr="00F40346">
        <w:rPr>
          <w:rFonts w:ascii="Palatino Linotype" w:hAnsi="Palatino Linotype" w:cs="Times New Roman"/>
          <w:szCs w:val="24"/>
        </w:rPr>
        <w:t xml:space="preserve">  The four values that the MacCrate Report identifies are </w:t>
      </w:r>
    </w:p>
    <w:p w14:paraId="426F694A" w14:textId="4DD71B85" w:rsidR="006C6D3D" w:rsidRDefault="006C6D3D" w:rsidP="00F40346">
      <w:pPr>
        <w:spacing w:line="360" w:lineRule="auto"/>
        <w:ind w:left="720"/>
        <w:jc w:val="both"/>
        <w:rPr>
          <w:rFonts w:ascii="Palatino Linotype" w:hAnsi="Palatino Linotype" w:cs="Times New Roman"/>
          <w:szCs w:val="24"/>
        </w:rPr>
      </w:pPr>
      <w:r w:rsidRPr="00F40346">
        <w:rPr>
          <w:rFonts w:ascii="Palatino Linotype" w:hAnsi="Palatino Linotype" w:cs="Times New Roman"/>
          <w:szCs w:val="24"/>
        </w:rPr>
        <w:t>“the value of competent representation, analyzing the ideals to which a lawyer should be committed as a member of a professional dedicated to the service of clients, . . . the value of striving to promote justice, fairness, and morality; . . . the value of striving to improve the profession; . . . [and] the value of professional self-development. . . .”</w:t>
      </w:r>
      <w:r w:rsidRPr="00F40346">
        <w:rPr>
          <w:rStyle w:val="FootnoteReference"/>
          <w:rFonts w:ascii="Palatino Linotype" w:hAnsi="Palatino Linotype" w:cs="Times New Roman"/>
          <w:szCs w:val="24"/>
        </w:rPr>
        <w:footnoteReference w:id="65"/>
      </w:r>
    </w:p>
    <w:p w14:paraId="0B4CC572" w14:textId="09913A7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The Carnegie Report discusses</w:t>
      </w:r>
      <w:r w:rsidRPr="00F40346">
        <w:rPr>
          <w:rStyle w:val="FootnoteReference"/>
          <w:rFonts w:ascii="Palatino Linotype" w:hAnsi="Palatino Linotype" w:cs="Times New Roman"/>
          <w:szCs w:val="24"/>
        </w:rPr>
        <w:footnoteReference w:id="66"/>
      </w:r>
      <w:r w:rsidRPr="00F40346">
        <w:rPr>
          <w:rFonts w:ascii="Palatino Linotype" w:hAnsi="Palatino Linotype" w:cs="Times New Roman"/>
          <w:szCs w:val="24"/>
        </w:rPr>
        <w:t xml:space="preserve"> “professional identity and purpose” by referencing the Preamble to the Model Rules (see discussion below) and a 1996 report from the ABA, quoting:</w:t>
      </w:r>
    </w:p>
    <w:p w14:paraId="72C79D0D" w14:textId="1E59A179" w:rsidR="006C6D3D" w:rsidRPr="00F40346" w:rsidRDefault="006C6D3D" w:rsidP="00F40346">
      <w:pPr>
        <w:spacing w:line="360" w:lineRule="auto"/>
        <w:ind w:left="720"/>
        <w:jc w:val="both"/>
        <w:rPr>
          <w:rFonts w:ascii="Palatino Linotype" w:hAnsi="Palatino Linotype" w:cs="Times New Roman"/>
          <w:szCs w:val="24"/>
        </w:rPr>
      </w:pPr>
      <w:r w:rsidRPr="00F40346">
        <w:rPr>
          <w:rFonts w:ascii="Palatino Linotype" w:hAnsi="Palatino Linotype" w:cs="Times New Roman"/>
          <w:szCs w:val="24"/>
        </w:rPr>
        <w:lastRenderedPageBreak/>
        <w:t>A professional lawyer is an expert in law pursuing a learned art in service to clients and in the spirit of public service; and engaging in these pursuits as part of a common calling to promote justice and public good.</w:t>
      </w:r>
      <w:r w:rsidRPr="00F40346">
        <w:rPr>
          <w:rStyle w:val="FootnoteReference"/>
          <w:rFonts w:ascii="Palatino Linotype" w:hAnsi="Palatino Linotype" w:cs="Times New Roman"/>
          <w:szCs w:val="24"/>
        </w:rPr>
        <w:footnoteReference w:id="67"/>
      </w:r>
    </w:p>
    <w:p w14:paraId="2EA5351E" w14:textId="7777777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Considering both sources, the Carnegie Report concludes they put forth “a demanding ideal of legal professionalism”:</w:t>
      </w:r>
    </w:p>
    <w:p w14:paraId="12F396E5" w14:textId="77777777" w:rsidR="006C6D3D" w:rsidRPr="00F40346" w:rsidRDefault="006C6D3D" w:rsidP="00F40346">
      <w:pPr>
        <w:spacing w:line="360" w:lineRule="auto"/>
        <w:ind w:left="720"/>
        <w:jc w:val="both"/>
        <w:rPr>
          <w:rFonts w:ascii="Palatino Linotype" w:hAnsi="Palatino Linotype" w:cs="Times New Roman"/>
          <w:szCs w:val="24"/>
        </w:rPr>
      </w:pPr>
      <w:r w:rsidRPr="00F40346">
        <w:rPr>
          <w:rFonts w:ascii="Palatino Linotype" w:hAnsi="Palatino Linotype" w:cs="Times New Roman"/>
          <w:szCs w:val="24"/>
        </w:rPr>
        <w:t>They describe the lawyer as expert in legal thinking and practice, while committed to service of both clients and the welfare of the larger community that is organized by the legal order.</w:t>
      </w:r>
      <w:r w:rsidRPr="00F40346">
        <w:rPr>
          <w:rStyle w:val="FootnoteReference"/>
          <w:rFonts w:ascii="Palatino Linotype" w:hAnsi="Palatino Linotype" w:cs="Times New Roman"/>
          <w:szCs w:val="24"/>
        </w:rPr>
        <w:footnoteReference w:id="68"/>
      </w:r>
    </w:p>
    <w:p w14:paraId="1628136D" w14:textId="20C3279C"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The 2007 American </w:t>
      </w:r>
      <w:r w:rsidRPr="00F40346">
        <w:rPr>
          <w:rFonts w:ascii="Palatino Linotype" w:hAnsi="Palatino Linotype" w:cs="Times New Roman"/>
          <w:smallCaps/>
          <w:szCs w:val="24"/>
        </w:rPr>
        <w:t>Best Practices for Legal Education</w:t>
      </w:r>
      <w:r w:rsidRPr="00F40346">
        <w:rPr>
          <w:rFonts w:ascii="Palatino Linotype" w:hAnsi="Palatino Linotype" w:cs="Times New Roman"/>
          <w:szCs w:val="24"/>
        </w:rPr>
        <w:t xml:space="preserve"> book defines “professionalism” as “appropriate behaviors and integrity in a range of situations; the capacity to deal sensitively and effectively with clients, colleagues, and others from a range of social, economic, and ethnic backgrounds, identifying and responding positively and appropriately to issues of culture and disability that might affect communication techniques and influence a client’s objectives.”</w:t>
      </w:r>
      <w:r w:rsidRPr="00F40346">
        <w:rPr>
          <w:rStyle w:val="FootnoteReference"/>
          <w:rFonts w:ascii="Palatino Linotype" w:hAnsi="Palatino Linotype" w:cs="Times New Roman"/>
          <w:szCs w:val="24"/>
        </w:rPr>
        <w:footnoteReference w:id="69"/>
      </w:r>
      <w:r w:rsidRPr="00F40346">
        <w:rPr>
          <w:rFonts w:ascii="Palatino Linotype" w:hAnsi="Palatino Linotype" w:cs="Times New Roman"/>
          <w:szCs w:val="24"/>
        </w:rPr>
        <w:t xml:space="preserve">  They then discuss five professional values that they believe “deserve special attention during law school:  a commitment to justice; respect for the rule of law; honor, integrity, fair play, truthfulness and candor; sensitivity and effectiveness with diverse clients and colleagues; and nurturing quality of life.”</w:t>
      </w:r>
      <w:r w:rsidRPr="00F40346">
        <w:rPr>
          <w:rStyle w:val="FootnoteReference"/>
          <w:rFonts w:ascii="Palatino Linotype" w:hAnsi="Palatino Linotype" w:cs="Times New Roman"/>
          <w:szCs w:val="24"/>
        </w:rPr>
        <w:footnoteReference w:id="70"/>
      </w:r>
    </w:p>
    <w:p w14:paraId="6E4FE4F9" w14:textId="5544D4AE"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lastRenderedPageBreak/>
        <w:t xml:space="preserve">The related 2015 </w:t>
      </w:r>
      <w:r w:rsidRPr="00F40346">
        <w:rPr>
          <w:rFonts w:ascii="Palatino Linotype" w:hAnsi="Palatino Linotype" w:cs="Times New Roman"/>
          <w:smallCaps/>
          <w:szCs w:val="24"/>
        </w:rPr>
        <w:t>Building Upon Best Practices</w:t>
      </w:r>
      <w:r w:rsidRPr="00F40346">
        <w:rPr>
          <w:rFonts w:ascii="Palatino Linotype" w:hAnsi="Palatino Linotype" w:cs="Times New Roman"/>
          <w:szCs w:val="24"/>
        </w:rPr>
        <w:t xml:space="preserve"> book also addresses professional values and opines that the following “learning outcomes in the professionalism sphere should apply to all externship students:</w:t>
      </w:r>
    </w:p>
    <w:p w14:paraId="0A102689" w14:textId="12BFEE73" w:rsidR="006C6D3D" w:rsidRPr="00F40346" w:rsidRDefault="006C6D3D" w:rsidP="00F40346">
      <w:pPr>
        <w:pStyle w:val="ListParagraph"/>
        <w:numPr>
          <w:ilvl w:val="0"/>
          <w:numId w:val="17"/>
        </w:numPr>
        <w:spacing w:line="360" w:lineRule="auto"/>
        <w:jc w:val="both"/>
        <w:rPr>
          <w:rFonts w:ascii="Palatino Linotype" w:hAnsi="Palatino Linotype" w:cs="Times New Roman"/>
          <w:szCs w:val="24"/>
        </w:rPr>
      </w:pPr>
      <w:r w:rsidRPr="00F40346">
        <w:rPr>
          <w:rFonts w:ascii="Palatino Linotype" w:hAnsi="Palatino Linotype" w:cs="Times New Roman"/>
          <w:sz w:val="24"/>
          <w:szCs w:val="24"/>
        </w:rPr>
        <w:t>Articulate the concept of professional identity and develop their own facets of professional identity</w:t>
      </w:r>
      <w:r w:rsidR="003163F2" w:rsidRPr="00F40346">
        <w:rPr>
          <w:rFonts w:ascii="Palatino Linotype" w:hAnsi="Palatino Linotype" w:cs="Times New Roman"/>
          <w:sz w:val="24"/>
          <w:szCs w:val="24"/>
        </w:rPr>
        <w:t>;</w:t>
      </w:r>
    </w:p>
    <w:p w14:paraId="28A315D6" w14:textId="3DAB6906" w:rsidR="006C6D3D" w:rsidRPr="00F40346" w:rsidRDefault="006C6D3D" w:rsidP="00F40346">
      <w:pPr>
        <w:pStyle w:val="ListParagraph"/>
        <w:numPr>
          <w:ilvl w:val="0"/>
          <w:numId w:val="17"/>
        </w:numPr>
        <w:spacing w:line="360" w:lineRule="auto"/>
        <w:jc w:val="both"/>
        <w:rPr>
          <w:rFonts w:ascii="Palatino Linotype" w:hAnsi="Palatino Linotype" w:cs="Times New Roman"/>
          <w:szCs w:val="24"/>
        </w:rPr>
      </w:pPr>
      <w:r w:rsidRPr="00F40346">
        <w:rPr>
          <w:rFonts w:ascii="Palatino Linotype" w:hAnsi="Palatino Linotype" w:cs="Times New Roman"/>
          <w:sz w:val="24"/>
          <w:szCs w:val="24"/>
        </w:rPr>
        <w:t>Exercise responsibility, responsibly</w:t>
      </w:r>
      <w:r w:rsidR="003163F2" w:rsidRPr="00F40346">
        <w:rPr>
          <w:rFonts w:ascii="Palatino Linotype" w:hAnsi="Palatino Linotype" w:cs="Times New Roman"/>
          <w:sz w:val="24"/>
          <w:szCs w:val="24"/>
        </w:rPr>
        <w:t>;</w:t>
      </w:r>
      <w:r w:rsidRPr="00F40346">
        <w:rPr>
          <w:rFonts w:ascii="Palatino Linotype" w:hAnsi="Palatino Linotype" w:cs="Times New Roman"/>
          <w:sz w:val="24"/>
          <w:szCs w:val="24"/>
        </w:rPr>
        <w:t xml:space="preserve"> and</w:t>
      </w:r>
    </w:p>
    <w:p w14:paraId="138971D6" w14:textId="77777777" w:rsidR="006C6D3D" w:rsidRPr="00F40346" w:rsidRDefault="006C6D3D" w:rsidP="00F40346">
      <w:pPr>
        <w:pStyle w:val="ListParagraph"/>
        <w:numPr>
          <w:ilvl w:val="0"/>
          <w:numId w:val="17"/>
        </w:numPr>
        <w:spacing w:line="360" w:lineRule="auto"/>
        <w:jc w:val="both"/>
        <w:rPr>
          <w:rFonts w:ascii="Palatino Linotype" w:hAnsi="Palatino Linotype" w:cs="Times New Roman"/>
          <w:szCs w:val="24"/>
        </w:rPr>
      </w:pPr>
      <w:r w:rsidRPr="00F40346">
        <w:rPr>
          <w:rFonts w:ascii="Palatino Linotype" w:hAnsi="Palatino Linotype" w:cs="Times New Roman"/>
          <w:sz w:val="24"/>
          <w:szCs w:val="24"/>
        </w:rPr>
        <w:t>Perform ethically with attentiveness to all relevant rules of professional conduct and self-awareness.”</w:t>
      </w:r>
      <w:r w:rsidRPr="00F40346">
        <w:rPr>
          <w:rStyle w:val="FootnoteReference"/>
          <w:rFonts w:ascii="Palatino Linotype" w:hAnsi="Palatino Linotype" w:cs="Times New Roman"/>
          <w:sz w:val="24"/>
          <w:szCs w:val="24"/>
        </w:rPr>
        <w:footnoteReference w:id="71"/>
      </w:r>
    </w:p>
    <w:p w14:paraId="1AE0CFF9" w14:textId="7777777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This book goes on to suggest other optional professionalism-related goals for externs:</w:t>
      </w:r>
    </w:p>
    <w:p w14:paraId="3D9743E5" w14:textId="77777777" w:rsidR="006C6D3D" w:rsidRPr="00F40346" w:rsidRDefault="006C6D3D" w:rsidP="00F40346">
      <w:pPr>
        <w:pStyle w:val="ListParagraph"/>
        <w:numPr>
          <w:ilvl w:val="0"/>
          <w:numId w:val="18"/>
        </w:numPr>
        <w:spacing w:line="360" w:lineRule="auto"/>
        <w:jc w:val="both"/>
        <w:rPr>
          <w:rFonts w:ascii="Palatino Linotype" w:hAnsi="Palatino Linotype" w:cs="Times New Roman"/>
          <w:szCs w:val="24"/>
        </w:rPr>
      </w:pPr>
      <w:r w:rsidRPr="00F40346">
        <w:rPr>
          <w:rFonts w:ascii="Palatino Linotype" w:hAnsi="Palatino Linotype" w:cs="Times New Roman"/>
          <w:sz w:val="24"/>
          <w:szCs w:val="24"/>
        </w:rPr>
        <w:t>“Practice with purpose;</w:t>
      </w:r>
    </w:p>
    <w:p w14:paraId="6F148A1F" w14:textId="77777777" w:rsidR="006C6D3D" w:rsidRPr="00F40346" w:rsidRDefault="006C6D3D" w:rsidP="00F40346">
      <w:pPr>
        <w:pStyle w:val="ListParagraph"/>
        <w:numPr>
          <w:ilvl w:val="0"/>
          <w:numId w:val="18"/>
        </w:numPr>
        <w:spacing w:line="360" w:lineRule="auto"/>
        <w:jc w:val="both"/>
        <w:rPr>
          <w:rFonts w:ascii="Palatino Linotype" w:hAnsi="Palatino Linotype" w:cs="Times New Roman"/>
          <w:szCs w:val="24"/>
        </w:rPr>
      </w:pPr>
      <w:r w:rsidRPr="00F40346">
        <w:rPr>
          <w:rFonts w:ascii="Palatino Linotype" w:hAnsi="Palatino Linotype" w:cs="Times New Roman"/>
          <w:sz w:val="24"/>
          <w:szCs w:val="24"/>
        </w:rPr>
        <w:t>Integrate personal and professional identities;</w:t>
      </w:r>
    </w:p>
    <w:p w14:paraId="0203B09D" w14:textId="77777777" w:rsidR="006C6D3D" w:rsidRPr="00F40346" w:rsidRDefault="006C6D3D" w:rsidP="00F40346">
      <w:pPr>
        <w:pStyle w:val="ListParagraph"/>
        <w:numPr>
          <w:ilvl w:val="0"/>
          <w:numId w:val="18"/>
        </w:numPr>
        <w:spacing w:line="360" w:lineRule="auto"/>
        <w:jc w:val="both"/>
        <w:rPr>
          <w:rFonts w:ascii="Palatino Linotype" w:hAnsi="Palatino Linotype" w:cs="Times New Roman"/>
          <w:szCs w:val="24"/>
        </w:rPr>
      </w:pPr>
      <w:r w:rsidRPr="00F40346">
        <w:rPr>
          <w:rFonts w:ascii="Palatino Linotype" w:hAnsi="Palatino Linotype" w:cs="Times New Roman"/>
          <w:sz w:val="24"/>
          <w:szCs w:val="24"/>
        </w:rPr>
        <w:t>Connect with and serve clients while respecting dual loyalty to the profession;</w:t>
      </w:r>
    </w:p>
    <w:p w14:paraId="629B397F" w14:textId="77777777" w:rsidR="006C6D3D" w:rsidRPr="00F40346" w:rsidRDefault="006C6D3D" w:rsidP="00F40346">
      <w:pPr>
        <w:pStyle w:val="ListParagraph"/>
        <w:numPr>
          <w:ilvl w:val="0"/>
          <w:numId w:val="18"/>
        </w:numPr>
        <w:spacing w:line="360" w:lineRule="auto"/>
        <w:jc w:val="both"/>
        <w:rPr>
          <w:rFonts w:ascii="Palatino Linotype" w:hAnsi="Palatino Linotype" w:cs="Times New Roman"/>
          <w:szCs w:val="24"/>
        </w:rPr>
      </w:pPr>
      <w:r w:rsidRPr="00F40346">
        <w:rPr>
          <w:rFonts w:ascii="Palatino Linotype" w:hAnsi="Palatino Linotype" w:cs="Times New Roman"/>
          <w:sz w:val="24"/>
          <w:szCs w:val="24"/>
        </w:rPr>
        <w:t>Recognize and articulate the elements of competent practice, and how knowledge, skill, and values are woven together in service of a client or cause;</w:t>
      </w:r>
    </w:p>
    <w:p w14:paraId="77F99B65" w14:textId="77777777" w:rsidR="006C6D3D" w:rsidRPr="00F40346" w:rsidRDefault="006C6D3D" w:rsidP="00F40346">
      <w:pPr>
        <w:pStyle w:val="ListParagraph"/>
        <w:numPr>
          <w:ilvl w:val="0"/>
          <w:numId w:val="18"/>
        </w:numPr>
        <w:spacing w:line="360" w:lineRule="auto"/>
        <w:jc w:val="both"/>
        <w:rPr>
          <w:rFonts w:ascii="Palatino Linotype" w:hAnsi="Palatino Linotype" w:cs="Times New Roman"/>
          <w:szCs w:val="24"/>
        </w:rPr>
      </w:pPr>
      <w:r w:rsidRPr="00F40346">
        <w:rPr>
          <w:rFonts w:ascii="Palatino Linotype" w:hAnsi="Palatino Linotype" w:cs="Times New Roman"/>
          <w:sz w:val="24"/>
          <w:szCs w:val="24"/>
        </w:rPr>
        <w:t>Identify the fundamental values of the legal profession and recognize the presence or absence of those values in practice situations; or</w:t>
      </w:r>
    </w:p>
    <w:p w14:paraId="3DCB75DE" w14:textId="77777777" w:rsidR="006C6D3D" w:rsidRPr="00F40346" w:rsidRDefault="006C6D3D" w:rsidP="00F40346">
      <w:pPr>
        <w:pStyle w:val="ListParagraph"/>
        <w:numPr>
          <w:ilvl w:val="0"/>
          <w:numId w:val="18"/>
        </w:numPr>
        <w:spacing w:line="360" w:lineRule="auto"/>
        <w:jc w:val="both"/>
        <w:rPr>
          <w:rFonts w:ascii="Palatino Linotype" w:hAnsi="Palatino Linotype" w:cs="Times New Roman"/>
          <w:szCs w:val="24"/>
        </w:rPr>
      </w:pPr>
      <w:r w:rsidRPr="00F40346">
        <w:rPr>
          <w:rFonts w:ascii="Palatino Linotype" w:hAnsi="Palatino Linotype" w:cs="Times New Roman"/>
          <w:sz w:val="24"/>
          <w:szCs w:val="24"/>
        </w:rPr>
        <w:t>Articulate the role of lawyers and identify changes to the profession that are occurring in the particular setting.”</w:t>
      </w:r>
      <w:r w:rsidRPr="00F40346">
        <w:rPr>
          <w:rStyle w:val="FootnoteReference"/>
          <w:rFonts w:ascii="Palatino Linotype" w:hAnsi="Palatino Linotype" w:cs="Times New Roman"/>
          <w:sz w:val="24"/>
          <w:szCs w:val="24"/>
        </w:rPr>
        <w:footnoteReference w:id="72"/>
      </w:r>
    </w:p>
    <w:p w14:paraId="5515F6E1" w14:textId="7C02D7BB"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The Australian Best Practices Report identifies a set of potential Learning Outcomes from clinical courses that speak to professionalism rather than to skills:</w:t>
      </w:r>
    </w:p>
    <w:p w14:paraId="46ACF7D2" w14:textId="77777777" w:rsidR="006C6D3D" w:rsidRPr="00F40346" w:rsidRDefault="006C6D3D" w:rsidP="00F40346">
      <w:pPr>
        <w:pStyle w:val="ListParagraph"/>
        <w:numPr>
          <w:ilvl w:val="0"/>
          <w:numId w:val="1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an understanding of continuing professional development and a desire for life-long self-learning; . . . .</w:t>
      </w:r>
    </w:p>
    <w:p w14:paraId="74AC0435" w14:textId="77777777" w:rsidR="006C6D3D" w:rsidRPr="00F40346" w:rsidRDefault="006C6D3D" w:rsidP="00F40346">
      <w:pPr>
        <w:pStyle w:val="ListParagraph"/>
        <w:numPr>
          <w:ilvl w:val="0"/>
          <w:numId w:val="1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 xml:space="preserve">an awareness of lawyering as a professional role in the context of wider society (including the imperatives of corporate social responsibility, social justice and </w:t>
      </w:r>
      <w:r w:rsidRPr="00F40346">
        <w:rPr>
          <w:rFonts w:ascii="Palatino Linotype" w:hAnsi="Palatino Linotype" w:cs="Times New Roman"/>
          <w:sz w:val="24"/>
          <w:szCs w:val="24"/>
        </w:rPr>
        <w:lastRenderedPageBreak/>
        <w:t xml:space="preserve">the provision of legal services to those unable to afford them) and of the importance of professional relationships; </w:t>
      </w:r>
    </w:p>
    <w:p w14:paraId="062A6C0E" w14:textId="77777777" w:rsidR="006C6D3D" w:rsidRPr="00F40346" w:rsidRDefault="006C6D3D" w:rsidP="00F40346">
      <w:pPr>
        <w:pStyle w:val="ListParagraph"/>
        <w:numPr>
          <w:ilvl w:val="0"/>
          <w:numId w:val="1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a developing personal sense of responsibility, resilience, confidence, self-esteem and, particularly, judgment;</w:t>
      </w:r>
    </w:p>
    <w:p w14:paraId="247FFFDF" w14:textId="77777777" w:rsidR="006C6D3D" w:rsidRPr="00F40346" w:rsidRDefault="006C6D3D" w:rsidP="00F40346">
      <w:pPr>
        <w:pStyle w:val="ListParagraph"/>
        <w:numPr>
          <w:ilvl w:val="0"/>
          <w:numId w:val="1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 xml:space="preserve">a consciousness of multi-disciplinary approaches to clients’ dilemmas –including recognition of the non-legal aspects of clients’ problems; </w:t>
      </w:r>
    </w:p>
    <w:p w14:paraId="5D87DCFC" w14:textId="77777777" w:rsidR="006C6D3D" w:rsidRPr="00F40346" w:rsidRDefault="006C6D3D" w:rsidP="00F40346">
      <w:pPr>
        <w:pStyle w:val="ListParagraph"/>
        <w:numPr>
          <w:ilvl w:val="0"/>
          <w:numId w:val="1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a developing preference for an ethical approach and an understanding of the impact of that preference in exercising professional judgment;</w:t>
      </w:r>
    </w:p>
    <w:p w14:paraId="40359A9F" w14:textId="77777777" w:rsidR="006C6D3D" w:rsidRPr="00F40346" w:rsidRDefault="006C6D3D" w:rsidP="00F40346">
      <w:pPr>
        <w:pStyle w:val="ListParagraph"/>
        <w:numPr>
          <w:ilvl w:val="0"/>
          <w:numId w:val="15"/>
        </w:numPr>
        <w:spacing w:line="360" w:lineRule="auto"/>
        <w:jc w:val="both"/>
        <w:outlineLvl w:val="0"/>
        <w:rPr>
          <w:rFonts w:ascii="Palatino Linotype" w:hAnsi="Palatino Linotype" w:cs="Times New Roman"/>
          <w:szCs w:val="24"/>
        </w:rPr>
      </w:pPr>
      <w:r w:rsidRPr="00F40346">
        <w:rPr>
          <w:rFonts w:ascii="Palatino Linotype" w:hAnsi="Palatino Linotype" w:cs="Times New Roman"/>
          <w:sz w:val="24"/>
          <w:szCs w:val="24"/>
        </w:rPr>
        <w:t>a consolidated body of substantive legal knowledge, and knowledge of professional conduct rules and ethical practice; and</w:t>
      </w:r>
    </w:p>
    <w:p w14:paraId="63798EE4" w14:textId="77777777" w:rsidR="006C6D3D" w:rsidRPr="00F40346" w:rsidRDefault="006C6D3D" w:rsidP="00F40346">
      <w:pPr>
        <w:pStyle w:val="ListParagraph"/>
        <w:numPr>
          <w:ilvl w:val="0"/>
          <w:numId w:val="15"/>
        </w:numPr>
        <w:spacing w:line="360" w:lineRule="auto"/>
        <w:jc w:val="both"/>
        <w:rPr>
          <w:rFonts w:ascii="Palatino Linotype" w:hAnsi="Palatino Linotype" w:cs="Times New Roman"/>
          <w:szCs w:val="24"/>
        </w:rPr>
      </w:pPr>
      <w:r w:rsidRPr="00F40346">
        <w:rPr>
          <w:rFonts w:ascii="Palatino Linotype" w:hAnsi="Palatino Linotype" w:cs="Times New Roman"/>
          <w:sz w:val="24"/>
          <w:szCs w:val="24"/>
        </w:rPr>
        <w:t>an awareness of the social issues of justice, power and disadvantage and an ability to critically analyse entrenched issues of justice in the legal system</w:t>
      </w:r>
      <w:r w:rsidRPr="00F40346">
        <w:rPr>
          <w:rStyle w:val="FootnoteReference"/>
          <w:rFonts w:ascii="Palatino Linotype" w:hAnsi="Palatino Linotype" w:cs="Times New Roman"/>
          <w:szCs w:val="24"/>
        </w:rPr>
        <w:footnoteReference w:id="73"/>
      </w:r>
      <w:r w:rsidRPr="00F40346">
        <w:rPr>
          <w:rFonts w:ascii="Palatino Linotype" w:hAnsi="Palatino Linotype" w:cs="Times New Roman"/>
          <w:szCs w:val="24"/>
        </w:rPr>
        <w:t>:</w:t>
      </w:r>
    </w:p>
    <w:p w14:paraId="41B7512C" w14:textId="36491290" w:rsidR="006C6D3D" w:rsidRPr="00F40346" w:rsidRDefault="006C6D3D" w:rsidP="00F40346">
      <w:pPr>
        <w:widowControl w:val="0"/>
        <w:autoSpaceDE w:val="0"/>
        <w:autoSpaceDN w:val="0"/>
        <w:adjustRightInd w:val="0"/>
        <w:spacing w:line="480" w:lineRule="auto"/>
        <w:jc w:val="both"/>
        <w:rPr>
          <w:rFonts w:ascii="Palatino Linotype" w:eastAsia="Times New Roman" w:hAnsi="Palatino Linotype" w:cs="Times New Roman"/>
          <w:szCs w:val="24"/>
          <w:lang w:val="en-AU"/>
        </w:rPr>
      </w:pPr>
      <w:r w:rsidRPr="00F40346">
        <w:rPr>
          <w:rFonts w:ascii="Palatino Linotype" w:eastAsia="Times New Roman" w:hAnsi="Palatino Linotype" w:cs="Times New Roman"/>
          <w:szCs w:val="24"/>
        </w:rPr>
        <w:t xml:space="preserve">The codes or canons of ethics provide a further frame for the values that law students should acquire.  The Preamble to the American Bar Association Model Rules of Professional Conduct teaches us that a lawyer’s job is three-fold: “a representative of clients, an officer of the legal system, and a </w:t>
      </w:r>
      <w:r w:rsidRPr="00F40346">
        <w:rPr>
          <w:rFonts w:ascii="Palatino Linotype" w:eastAsia="Times New Roman" w:hAnsi="Palatino Linotype" w:cs="Times New Roman"/>
          <w:i/>
          <w:szCs w:val="24"/>
        </w:rPr>
        <w:t>public citizen having special responsibility for the quality of justice</w:t>
      </w:r>
      <w:r w:rsidRPr="00F40346">
        <w:rPr>
          <w:rFonts w:ascii="Palatino Linotype" w:eastAsia="Times New Roman" w:hAnsi="Palatino Linotype" w:cs="Times New Roman"/>
          <w:szCs w:val="24"/>
        </w:rPr>
        <w:t>.”</w:t>
      </w:r>
      <w:r w:rsidRPr="00F40346">
        <w:rPr>
          <w:rStyle w:val="FootnoteReference"/>
          <w:rFonts w:ascii="Palatino Linotype" w:eastAsia="Times New Roman" w:hAnsi="Palatino Linotype" w:cs="Times New Roman"/>
          <w:szCs w:val="24"/>
        </w:rPr>
        <w:footnoteReference w:id="74"/>
      </w:r>
      <w:r w:rsidRPr="00F40346">
        <w:rPr>
          <w:rFonts w:ascii="Palatino Linotype" w:eastAsia="Times New Roman" w:hAnsi="Palatino Linotype" w:cs="Times New Roman"/>
          <w:szCs w:val="24"/>
        </w:rPr>
        <w:t xml:space="preserve"> The Australian Solicitors Conduct Rules provide that a</w:t>
      </w:r>
      <w:r w:rsidRPr="00F40346">
        <w:rPr>
          <w:rFonts w:ascii="Palatino Linotype" w:eastAsia="Times New Roman" w:hAnsi="Palatino Linotype" w:cs="Times New Roman"/>
          <w:szCs w:val="24"/>
          <w:lang w:val="en-AU"/>
        </w:rPr>
        <w:t xml:space="preserve"> solicitor’s duty to the court and the administration of justice is paramount and prevails to the extent of inconsistency with any other duty.</w:t>
      </w:r>
      <w:r w:rsidRPr="00F40346">
        <w:rPr>
          <w:rStyle w:val="FootnoteReference"/>
          <w:rFonts w:ascii="Palatino Linotype" w:eastAsia="Times New Roman" w:hAnsi="Palatino Linotype" w:cs="Times New Roman"/>
          <w:szCs w:val="24"/>
          <w:lang w:val="en-AU"/>
        </w:rPr>
        <w:footnoteReference w:id="75"/>
      </w:r>
      <w:r w:rsidRPr="00F40346">
        <w:rPr>
          <w:rFonts w:ascii="Palatino Linotype" w:eastAsia="Times New Roman" w:hAnsi="Palatino Linotype" w:cs="Times New Roman"/>
          <w:szCs w:val="24"/>
          <w:lang w:val="en-AU"/>
        </w:rPr>
        <w:t xml:space="preserve"> </w:t>
      </w:r>
    </w:p>
    <w:p w14:paraId="30B1CC64" w14:textId="060F84AC" w:rsidR="006C6D3D" w:rsidRPr="00F40346" w:rsidRDefault="006C6D3D" w:rsidP="00F40346">
      <w:pPr>
        <w:spacing w:line="480" w:lineRule="auto"/>
        <w:jc w:val="both"/>
        <w:rPr>
          <w:rFonts w:ascii="Palatino Linotype" w:eastAsia="Times New Roman" w:hAnsi="Palatino Linotype" w:cs="Times New Roman"/>
          <w:szCs w:val="24"/>
        </w:rPr>
      </w:pPr>
      <w:r w:rsidRPr="00F40346">
        <w:rPr>
          <w:rFonts w:ascii="Palatino Linotype" w:eastAsia="Times New Roman" w:hAnsi="Palatino Linotype" w:cs="Times New Roman"/>
          <w:szCs w:val="24"/>
        </w:rPr>
        <w:t xml:space="preserve">The </w:t>
      </w:r>
      <w:r w:rsidR="00DD15CE" w:rsidRPr="00F40346">
        <w:rPr>
          <w:rFonts w:ascii="Palatino Linotype" w:eastAsia="Times New Roman" w:hAnsi="Palatino Linotype" w:cs="Times New Roman"/>
          <w:szCs w:val="24"/>
        </w:rPr>
        <w:t xml:space="preserve">ABA </w:t>
      </w:r>
      <w:r w:rsidRPr="00F40346">
        <w:rPr>
          <w:rFonts w:ascii="Palatino Linotype" w:eastAsia="Times New Roman" w:hAnsi="Palatino Linotype" w:cs="Times New Roman"/>
          <w:szCs w:val="24"/>
        </w:rPr>
        <w:t xml:space="preserve">Preamble provides this discussion of the lawyer’s role as public citizen:  “As a public citizen, a lawyer should seek improvement of the law, access to the legal system, the administration of justice and the quality of service rendered by the legal </w:t>
      </w:r>
      <w:r w:rsidRPr="00F40346">
        <w:rPr>
          <w:rFonts w:ascii="Palatino Linotype" w:eastAsia="Times New Roman" w:hAnsi="Palatino Linotype" w:cs="Times New Roman"/>
          <w:szCs w:val="24"/>
        </w:rPr>
        <w:lastRenderedPageBreak/>
        <w:t>profession.”</w:t>
      </w:r>
      <w:r w:rsidRPr="00F40346">
        <w:rPr>
          <w:rStyle w:val="FootnoteReference"/>
          <w:rFonts w:ascii="Palatino Linotype" w:eastAsia="Times New Roman" w:hAnsi="Palatino Linotype" w:cs="Times New Roman"/>
          <w:szCs w:val="24"/>
        </w:rPr>
        <w:footnoteReference w:id="76"/>
      </w:r>
      <w:r w:rsidRPr="00F40346">
        <w:rPr>
          <w:rFonts w:ascii="Palatino Linotype" w:eastAsia="Times New Roman" w:hAnsi="Palatino Linotype" w:cs="Times New Roman"/>
          <w:szCs w:val="24"/>
        </w:rPr>
        <w:t xml:space="preserve">  Here the Preamble seeks “improvement” in four important areas.  It does not surface any likely conflict between the role of “public citizen” and the role of client representative, but states:  “As a member of a learned profession, a lawyer should cultivate knowledge of the law beyond its use for clients, employ that knowledge in reform of the law and work to strengthen legal education.”</w:t>
      </w:r>
      <w:r w:rsidRPr="00F40346">
        <w:rPr>
          <w:rStyle w:val="FootnoteReference"/>
          <w:rFonts w:ascii="Palatino Linotype" w:eastAsia="Times New Roman" w:hAnsi="Palatino Linotype" w:cs="Times New Roman"/>
          <w:szCs w:val="24"/>
        </w:rPr>
        <w:footnoteReference w:id="77"/>
      </w:r>
      <w:r w:rsidRPr="00F40346">
        <w:rPr>
          <w:rFonts w:ascii="Palatino Linotype" w:eastAsia="Times New Roman" w:hAnsi="Palatino Linotype" w:cs="Times New Roman"/>
          <w:szCs w:val="24"/>
        </w:rPr>
        <w:t xml:space="preserve">  The public citizen role includes the role of community educator:  “In addition, a lawyer should further the public’s understanding of and confidence in the rule of law and the justice system because legal institutions in a constitutional democracy depend on popular participation and support to maintain their authority.”</w:t>
      </w:r>
      <w:r w:rsidRPr="00F40346">
        <w:rPr>
          <w:rStyle w:val="FootnoteReference"/>
          <w:rFonts w:ascii="Palatino Linotype" w:eastAsia="Times New Roman" w:hAnsi="Palatino Linotype" w:cs="Times New Roman"/>
          <w:szCs w:val="24"/>
        </w:rPr>
        <w:footnoteReference w:id="78"/>
      </w:r>
      <w:r w:rsidRPr="00F40346">
        <w:rPr>
          <w:rFonts w:ascii="Palatino Linotype" w:eastAsia="Times New Roman" w:hAnsi="Palatino Linotype" w:cs="Times New Roman"/>
          <w:szCs w:val="24"/>
        </w:rPr>
        <w:t xml:space="preserve">  However, this public educator function does not suggest the attorney should be an apologist for a flawed system.  To the contrary</w:t>
      </w:r>
      <w:r w:rsidR="00607638" w:rsidRPr="00F40346">
        <w:rPr>
          <w:rFonts w:ascii="Palatino Linotype" w:eastAsia="Times New Roman" w:hAnsi="Palatino Linotype" w:cs="Times New Roman"/>
          <w:szCs w:val="24"/>
        </w:rPr>
        <w:t>: “</w:t>
      </w:r>
      <w:r w:rsidRPr="00F40346">
        <w:rPr>
          <w:rFonts w:ascii="Palatino Linotype" w:eastAsia="Times New Roman" w:hAnsi="Palatino Linotype" w:cs="Times New Roman"/>
          <w:szCs w:val="24"/>
        </w:rPr>
        <w:t>A lawyer should be mindful of deficiencies in the administration of justice and of the fact that the poor, and sometimes persons who are not poor, cannot afford adequate legal assistance.  Therefore, all lawyers should devote professional time and resources and use civic influence to ensure equal access to our system of justice for all those who because of economic or social barriers cannot afford or secure adequate legal counsel.”</w:t>
      </w:r>
      <w:r w:rsidRPr="00F40346">
        <w:rPr>
          <w:rStyle w:val="FootnoteReference"/>
          <w:rFonts w:ascii="Palatino Linotype" w:eastAsia="Times New Roman" w:hAnsi="Palatino Linotype" w:cs="Times New Roman"/>
          <w:szCs w:val="24"/>
        </w:rPr>
        <w:footnoteReference w:id="79"/>
      </w:r>
      <w:r w:rsidRPr="00F40346">
        <w:rPr>
          <w:rFonts w:ascii="Palatino Linotype" w:eastAsia="Times New Roman" w:hAnsi="Palatino Linotype" w:cs="Times New Roman"/>
          <w:szCs w:val="24"/>
        </w:rPr>
        <w:t xml:space="preserve">  Note that the Preamble does not just call for “pro bono services”</w:t>
      </w:r>
      <w:r w:rsidRPr="00F40346">
        <w:rPr>
          <w:rStyle w:val="FootnoteReference"/>
          <w:rFonts w:ascii="Palatino Linotype" w:eastAsia="Times New Roman" w:hAnsi="Palatino Linotype" w:cs="Times New Roman"/>
          <w:szCs w:val="24"/>
        </w:rPr>
        <w:footnoteReference w:id="80"/>
      </w:r>
      <w:r w:rsidRPr="00F40346">
        <w:rPr>
          <w:rFonts w:ascii="Palatino Linotype" w:eastAsia="Times New Roman" w:hAnsi="Palatino Linotype" w:cs="Times New Roman"/>
          <w:szCs w:val="24"/>
        </w:rPr>
        <w:t xml:space="preserve"> to address unmet legal needs, but instead enjoins us to “use civic influence” to address this problem and to employ our knowledge “in reform of </w:t>
      </w:r>
      <w:r w:rsidRPr="00F40346">
        <w:rPr>
          <w:rFonts w:ascii="Palatino Linotype" w:eastAsia="Times New Roman" w:hAnsi="Palatino Linotype" w:cs="Times New Roman"/>
          <w:szCs w:val="24"/>
        </w:rPr>
        <w:lastRenderedPageBreak/>
        <w:t>the law.”  This section of the Preamble concludes:  “A lawyer should aid the legal profession in pursuing these objectives . . . .”</w:t>
      </w:r>
      <w:r w:rsidRPr="00F40346">
        <w:rPr>
          <w:rStyle w:val="FootnoteReference"/>
          <w:rFonts w:ascii="Palatino Linotype" w:eastAsia="Times New Roman" w:hAnsi="Palatino Linotype" w:cs="Times New Roman"/>
          <w:szCs w:val="24"/>
        </w:rPr>
        <w:footnoteReference w:id="81"/>
      </w:r>
    </w:p>
    <w:p w14:paraId="6249BAA1" w14:textId="77777777" w:rsidR="006C6D3D" w:rsidRPr="00F40346" w:rsidRDefault="006C6D3D" w:rsidP="00F40346">
      <w:pPr>
        <w:widowControl w:val="0"/>
        <w:autoSpaceDE w:val="0"/>
        <w:autoSpaceDN w:val="0"/>
        <w:adjustRightInd w:val="0"/>
        <w:spacing w:line="480" w:lineRule="auto"/>
        <w:jc w:val="both"/>
        <w:rPr>
          <w:rFonts w:ascii="Palatino Linotype" w:hAnsi="Palatino Linotype" w:cs="Times New Roman"/>
          <w:szCs w:val="24"/>
        </w:rPr>
      </w:pPr>
      <w:r w:rsidRPr="00F40346">
        <w:rPr>
          <w:rFonts w:ascii="Palatino Linotype" w:hAnsi="Palatino Linotype" w:cs="Times New Roman"/>
          <w:szCs w:val="24"/>
        </w:rPr>
        <w:t>The “professionalism” and “values” discussed by these various authorities combine both “micro” values dealing with the attorney’s personal development and “macro” values dealing with institutional critique and the bar’s professional responsibility to society.  Of course, the bar’s responsibilities to society to advance justice should also be incorporated into the attorney’s personal development and personal identity.  However, in identifying goals for an externship program, we believe that professional identity development and institutional critique should be pursued separately before linking them and exploring the individual attorney’s role as “public citizen.”</w:t>
      </w:r>
    </w:p>
    <w:p w14:paraId="49C18670" w14:textId="2868973C" w:rsidR="006C6D3D" w:rsidRPr="00F40346" w:rsidRDefault="006C6D3D" w:rsidP="00F40346">
      <w:pPr>
        <w:widowControl w:val="0"/>
        <w:autoSpaceDE w:val="0"/>
        <w:autoSpaceDN w:val="0"/>
        <w:adjustRightInd w:val="0"/>
        <w:spacing w:line="480" w:lineRule="auto"/>
        <w:jc w:val="both"/>
        <w:rPr>
          <w:rFonts w:ascii="Palatino Linotype" w:hAnsi="Palatino Linotype" w:cs="Times New Roman"/>
          <w:szCs w:val="24"/>
        </w:rPr>
      </w:pPr>
    </w:p>
    <w:p w14:paraId="1F832930" w14:textId="37E1393A" w:rsidR="006C6D3D" w:rsidRPr="00F40346" w:rsidRDefault="006C6D3D" w:rsidP="00F40346">
      <w:pPr>
        <w:spacing w:line="480" w:lineRule="auto"/>
        <w:ind w:left="1094" w:hanging="547"/>
        <w:jc w:val="both"/>
        <w:rPr>
          <w:rFonts w:ascii="Palatino Linotype" w:hAnsi="Palatino Linotype" w:cs="Times New Roman"/>
          <w:szCs w:val="24"/>
        </w:rPr>
      </w:pPr>
      <w:r w:rsidRPr="00F40346">
        <w:rPr>
          <w:rFonts w:ascii="Palatino Linotype" w:hAnsi="Palatino Linotype" w:cs="Times New Roman"/>
          <w:b/>
          <w:color w:val="000000"/>
        </w:rPr>
        <w:t>B.</w:t>
      </w:r>
      <w:r w:rsidRPr="00F40346">
        <w:rPr>
          <w:rFonts w:ascii="Palatino Linotype" w:hAnsi="Palatino Linotype" w:cs="Times New Roman"/>
          <w:b/>
          <w:color w:val="000000"/>
          <w:sz w:val="14"/>
          <w:szCs w:val="14"/>
        </w:rPr>
        <w:tab/>
      </w:r>
      <w:r w:rsidRPr="00F40346">
        <w:rPr>
          <w:rFonts w:ascii="Palatino Linotype" w:hAnsi="Palatino Linotype" w:cs="Times New Roman"/>
          <w:b/>
          <w:color w:val="000000"/>
          <w:u w:val="single"/>
        </w:rPr>
        <w:t xml:space="preserve">Micro &amp; Macro Exploration </w:t>
      </w:r>
      <w:r w:rsidR="00F36A52" w:rsidRPr="00F40346">
        <w:rPr>
          <w:rFonts w:ascii="Palatino Linotype" w:hAnsi="Palatino Linotype" w:cs="Times New Roman"/>
          <w:b/>
          <w:color w:val="000000"/>
          <w:u w:val="single"/>
        </w:rPr>
        <w:t>o</w:t>
      </w:r>
      <w:r w:rsidRPr="00F40346">
        <w:rPr>
          <w:rFonts w:ascii="Palatino Linotype" w:hAnsi="Palatino Linotype" w:cs="Times New Roman"/>
          <w:b/>
          <w:color w:val="000000"/>
          <w:u w:val="single"/>
        </w:rPr>
        <w:t xml:space="preserve">f Values: An Alternative Way </w:t>
      </w:r>
      <w:r w:rsidR="00F36A52" w:rsidRPr="00F40346">
        <w:rPr>
          <w:rFonts w:ascii="Palatino Linotype" w:hAnsi="Palatino Linotype" w:cs="Times New Roman"/>
          <w:b/>
          <w:color w:val="000000"/>
          <w:u w:val="single"/>
        </w:rPr>
        <w:t>o</w:t>
      </w:r>
      <w:r w:rsidRPr="00F40346">
        <w:rPr>
          <w:rFonts w:ascii="Palatino Linotype" w:hAnsi="Palatino Linotype" w:cs="Times New Roman"/>
          <w:b/>
          <w:color w:val="000000"/>
          <w:u w:val="single"/>
        </w:rPr>
        <w:t>f Thinking About Learning Objectives</w:t>
      </w:r>
    </w:p>
    <w:p w14:paraId="2BC3F002" w14:textId="4A10F428" w:rsidR="006C6D3D"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Because “professionalism” and “values” includes both micro values of professional identity formation and macro values of institutional critique, social justice and the public citizen role with a special responsibility for the quality of justice, it is useful to discuss separately the methods that are well suited to the pursuit of each of these two separate goals.</w:t>
      </w:r>
    </w:p>
    <w:p w14:paraId="077391E1" w14:textId="5A6ABD91" w:rsidR="00F40346" w:rsidRDefault="00F40346" w:rsidP="00F40346">
      <w:pPr>
        <w:spacing w:line="480" w:lineRule="auto"/>
        <w:jc w:val="both"/>
        <w:rPr>
          <w:rFonts w:ascii="Palatino Linotype" w:hAnsi="Palatino Linotype" w:cs="Times New Roman"/>
          <w:szCs w:val="24"/>
        </w:rPr>
      </w:pPr>
    </w:p>
    <w:p w14:paraId="4BF740BC" w14:textId="77777777" w:rsidR="00F40346" w:rsidRPr="00F40346" w:rsidRDefault="00F40346" w:rsidP="00F40346">
      <w:pPr>
        <w:spacing w:line="480" w:lineRule="auto"/>
        <w:jc w:val="both"/>
        <w:rPr>
          <w:rFonts w:ascii="Palatino Linotype" w:hAnsi="Palatino Linotype" w:cs="Times New Roman"/>
          <w:szCs w:val="24"/>
        </w:rPr>
      </w:pPr>
    </w:p>
    <w:p w14:paraId="4FBA66A1" w14:textId="512D6D8B" w:rsidR="006C6D3D" w:rsidRPr="00F40346" w:rsidRDefault="006C6D3D" w:rsidP="00F40346">
      <w:pPr>
        <w:spacing w:line="480" w:lineRule="auto"/>
        <w:ind w:left="1627" w:hanging="547"/>
        <w:jc w:val="both"/>
        <w:rPr>
          <w:rFonts w:ascii="Palatino Linotype" w:hAnsi="Palatino Linotype" w:cs="Times New Roman"/>
          <w:b/>
          <w:color w:val="000000"/>
        </w:rPr>
      </w:pPr>
      <w:r w:rsidRPr="00F40346">
        <w:rPr>
          <w:rFonts w:ascii="Palatino Linotype" w:hAnsi="Palatino Linotype" w:cs="Times New Roman"/>
          <w:b/>
          <w:color w:val="000000"/>
        </w:rPr>
        <w:lastRenderedPageBreak/>
        <w:t>1.</w:t>
      </w:r>
      <w:r w:rsidRPr="00F40346">
        <w:rPr>
          <w:rFonts w:ascii="Palatino Linotype" w:hAnsi="Palatino Linotype" w:cs="Times New Roman"/>
          <w:b/>
          <w:color w:val="000000"/>
          <w:sz w:val="14"/>
          <w:szCs w:val="14"/>
        </w:rPr>
        <w:tab/>
      </w:r>
      <w:r w:rsidRPr="00F40346">
        <w:rPr>
          <w:rFonts w:ascii="Palatino Linotype" w:hAnsi="Palatino Linotype" w:cs="Times New Roman"/>
          <w:b/>
          <w:color w:val="000000"/>
          <w:u w:val="single"/>
        </w:rPr>
        <w:t>Professional Identity Formation</w:t>
      </w:r>
    </w:p>
    <w:p w14:paraId="3D001CDC" w14:textId="56D03FD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The American </w:t>
      </w:r>
      <w:r w:rsidRPr="00F40346">
        <w:rPr>
          <w:rFonts w:ascii="Palatino Linotype" w:hAnsi="Palatino Linotype" w:cs="Times New Roman"/>
          <w:smallCaps/>
          <w:szCs w:val="24"/>
        </w:rPr>
        <w:t>Best Practices</w:t>
      </w:r>
      <w:r w:rsidRPr="00F40346">
        <w:rPr>
          <w:rFonts w:ascii="Palatino Linotype" w:hAnsi="Palatino Linotype" w:cs="Times New Roman"/>
          <w:szCs w:val="24"/>
        </w:rPr>
        <w:t xml:space="preserve"> book suggests that “practice observation courses” might accompany externships to provide “a forum for studying the values, behaviors, attitudes, and ethical requirements of lawyers (professionalism).”</w:t>
      </w:r>
      <w:r w:rsidRPr="00F40346">
        <w:rPr>
          <w:rStyle w:val="FootnoteReference"/>
          <w:rFonts w:ascii="Palatino Linotype" w:hAnsi="Palatino Linotype" w:cs="Times New Roman"/>
          <w:szCs w:val="24"/>
        </w:rPr>
        <w:footnoteReference w:id="82"/>
      </w:r>
      <w:r w:rsidRPr="00F40346">
        <w:rPr>
          <w:rFonts w:ascii="Palatino Linotype" w:hAnsi="Palatino Linotype" w:cs="Times New Roman"/>
          <w:szCs w:val="24"/>
        </w:rPr>
        <w:t xml:space="preserve">  The authors suggest that externships offer a superior vehicle for such study, as the student is immersed in an actual functioning law office or judicial chambers rather than an in-house clinic that may not accurately replicate such a setting.  Moreover, the teaching role is disaggregated from the supervision role, so that faculty member can objectively respond to and guide the student’s reactions to and critique of practice.</w:t>
      </w:r>
    </w:p>
    <w:p w14:paraId="230A70DF" w14:textId="17AFB055"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Using the student’s externship experiences to explore the student’s formation of a professional identity is widely appreciated in the externship literature.  The </w:t>
      </w:r>
      <w:r w:rsidRPr="00F40346">
        <w:rPr>
          <w:rFonts w:ascii="Palatino Linotype" w:hAnsi="Palatino Linotype" w:cs="Times New Roman"/>
          <w:smallCaps/>
          <w:szCs w:val="24"/>
        </w:rPr>
        <w:t>Learning from Practice</w:t>
      </w:r>
      <w:r w:rsidRPr="00F40346">
        <w:rPr>
          <w:rFonts w:ascii="Palatino Linotype" w:hAnsi="Palatino Linotype" w:cs="Times New Roman"/>
          <w:szCs w:val="24"/>
        </w:rPr>
        <w:t xml:space="preserve"> text’s 2016 third edition includes a chapter on Professional Identity Formation that urges students to be intentional about becoming both skilled and ethical attorneys.</w:t>
      </w:r>
      <w:r w:rsidRPr="00F40346">
        <w:rPr>
          <w:rStyle w:val="FootnoteReference"/>
          <w:rFonts w:ascii="Palatino Linotype" w:hAnsi="Palatino Linotype" w:cs="Times New Roman"/>
          <w:szCs w:val="24"/>
        </w:rPr>
        <w:t xml:space="preserve"> </w:t>
      </w:r>
      <w:r w:rsidRPr="00F40346">
        <w:rPr>
          <w:rStyle w:val="FootnoteReference"/>
          <w:rFonts w:ascii="Palatino Linotype" w:hAnsi="Palatino Linotype" w:cs="Times New Roman"/>
          <w:szCs w:val="24"/>
        </w:rPr>
        <w:footnoteReference w:id="83"/>
      </w:r>
      <w:r w:rsidRPr="00F40346">
        <w:rPr>
          <w:rFonts w:ascii="Palatino Linotype" w:hAnsi="Palatino Linotype" w:cs="Times New Roman"/>
          <w:szCs w:val="24"/>
        </w:rPr>
        <w:t xml:space="preserve">  It suggests that “observation, practice and reflection” during the externship can support the development of good professional habits.  The authors argue that knowing the ethical rules is not enough; the student should also develop ethical sensitivity (involving empathy), ethical motivation (the importance given to ethical values in competition with other values), and ethical implementation (having the courage to do the right thing).  The authors also contend that the extern should endeavor to weave together his personal identity and professional identity, to have a </w:t>
      </w:r>
      <w:r w:rsidRPr="00F40346">
        <w:rPr>
          <w:rFonts w:ascii="Palatino Linotype" w:hAnsi="Palatino Linotype" w:cs="Times New Roman"/>
          <w:szCs w:val="24"/>
        </w:rPr>
        <w:lastRenderedPageBreak/>
        <w:t>psychologically healthy career.  This chapter provides exercises such as rereading one’s law school admission essay or imaging one’s life in 15 years, in order to encourage the student to form an integrated identity.</w:t>
      </w:r>
    </w:p>
    <w:p w14:paraId="1D5B6A62" w14:textId="3B1304FA"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The </w:t>
      </w:r>
      <w:r w:rsidRPr="00F40346">
        <w:rPr>
          <w:rFonts w:ascii="Palatino Linotype" w:hAnsi="Palatino Linotype" w:cs="Times New Roman"/>
          <w:smallCaps/>
          <w:szCs w:val="24"/>
        </w:rPr>
        <w:t>Learning from Practice</w:t>
      </w:r>
      <w:r w:rsidRPr="00F40346">
        <w:rPr>
          <w:rFonts w:ascii="Palatino Linotype" w:hAnsi="Palatino Linotype" w:cs="Times New Roman"/>
          <w:szCs w:val="24"/>
        </w:rPr>
        <w:t xml:space="preserve"> text includes other chapters that relate to professional identity formation:  </w:t>
      </w:r>
      <w:r w:rsidRPr="00F40346">
        <w:rPr>
          <w:rFonts w:ascii="Palatino Linotype" w:hAnsi="Palatino Linotype" w:cs="Times New Roman"/>
          <w:i/>
          <w:szCs w:val="24"/>
        </w:rPr>
        <w:t>Charting Your Path to Success</w:t>
      </w:r>
      <w:r w:rsidRPr="00F40346">
        <w:rPr>
          <w:rFonts w:ascii="Palatino Linotype" w:hAnsi="Palatino Linotype"/>
          <w:szCs w:val="24"/>
        </w:rPr>
        <w:t>—</w:t>
      </w:r>
      <w:r w:rsidRPr="00F40346">
        <w:rPr>
          <w:rFonts w:ascii="Palatino Linotype" w:hAnsi="Palatino Linotype" w:cs="Times New Roman"/>
          <w:i/>
          <w:szCs w:val="24"/>
        </w:rPr>
        <w:t>Professional Development Planning,</w:t>
      </w:r>
      <w:r w:rsidRPr="00F40346">
        <w:rPr>
          <w:rStyle w:val="FootnoteReference"/>
          <w:rFonts w:ascii="Palatino Linotype" w:hAnsi="Palatino Linotype" w:cs="Times New Roman"/>
          <w:i/>
          <w:szCs w:val="24"/>
        </w:rPr>
        <w:footnoteReference w:id="84"/>
      </w:r>
      <w:r w:rsidRPr="00F40346">
        <w:rPr>
          <w:rFonts w:ascii="Palatino Linotype" w:hAnsi="Palatino Linotype" w:cs="Times New Roman"/>
          <w:szCs w:val="24"/>
        </w:rPr>
        <w:t xml:space="preserve"> </w:t>
      </w:r>
      <w:r w:rsidRPr="00F40346">
        <w:rPr>
          <w:rFonts w:ascii="Palatino Linotype" w:hAnsi="Palatino Linotype" w:cs="Times New Roman"/>
          <w:i/>
          <w:szCs w:val="24"/>
        </w:rPr>
        <w:t>Externships and Career Development</w:t>
      </w:r>
      <w:r w:rsidRPr="00F40346">
        <w:rPr>
          <w:rStyle w:val="FootnoteReference"/>
          <w:rFonts w:ascii="Palatino Linotype" w:hAnsi="Palatino Linotype" w:cs="Times New Roman"/>
          <w:szCs w:val="24"/>
        </w:rPr>
        <w:footnoteReference w:id="85"/>
      </w:r>
      <w:r w:rsidRPr="00F40346">
        <w:rPr>
          <w:rFonts w:ascii="Palatino Linotype" w:hAnsi="Palatino Linotype" w:cs="Times New Roman"/>
          <w:szCs w:val="24"/>
        </w:rPr>
        <w:t xml:space="preserve"> and On </w:t>
      </w:r>
      <w:r w:rsidRPr="00F40346">
        <w:rPr>
          <w:rFonts w:ascii="Palatino Linotype" w:hAnsi="Palatino Linotype" w:cs="Times New Roman"/>
          <w:i/>
          <w:szCs w:val="24"/>
        </w:rPr>
        <w:t>Finishing Strong: Looking Back and Looking Forward</w:t>
      </w:r>
      <w:r w:rsidRPr="00F40346">
        <w:rPr>
          <w:rFonts w:ascii="Palatino Linotype" w:hAnsi="Palatino Linotype" w:cs="Times New Roman"/>
          <w:szCs w:val="24"/>
        </w:rPr>
        <w:t>.</w:t>
      </w:r>
      <w:r w:rsidRPr="00F40346">
        <w:rPr>
          <w:rStyle w:val="FootnoteReference"/>
          <w:rFonts w:ascii="Palatino Linotype" w:hAnsi="Palatino Linotype" w:cs="Times New Roman"/>
          <w:szCs w:val="24"/>
        </w:rPr>
        <w:footnoteReference w:id="86"/>
      </w:r>
      <w:r w:rsidRPr="00F40346">
        <w:rPr>
          <w:rFonts w:ascii="Palatino Linotype" w:hAnsi="Palatino Linotype" w:cs="Times New Roman"/>
          <w:szCs w:val="24"/>
        </w:rPr>
        <w:t xml:space="preserve">  There are also five chapters that cover professionalism and particular ethical issues:  </w:t>
      </w:r>
      <w:r w:rsidRPr="00F40346">
        <w:rPr>
          <w:rFonts w:ascii="Palatino Linotype" w:hAnsi="Palatino Linotype" w:cs="Times New Roman"/>
          <w:i/>
          <w:szCs w:val="24"/>
        </w:rPr>
        <w:t>Professionalism</w:t>
      </w:r>
      <w:r w:rsidRPr="00F40346">
        <w:rPr>
          <w:rFonts w:ascii="Palatino Linotype" w:hAnsi="Palatino Linotype" w:cs="Times New Roman"/>
          <w:szCs w:val="24"/>
        </w:rPr>
        <w:t>,</w:t>
      </w:r>
      <w:r w:rsidRPr="00F40346">
        <w:rPr>
          <w:rStyle w:val="FootnoteReference"/>
          <w:rFonts w:ascii="Palatino Linotype" w:hAnsi="Palatino Linotype" w:cs="Times New Roman"/>
          <w:szCs w:val="24"/>
        </w:rPr>
        <w:footnoteReference w:id="87"/>
      </w:r>
      <w:r w:rsidRPr="00F40346">
        <w:rPr>
          <w:rFonts w:ascii="Palatino Linotype" w:hAnsi="Palatino Linotype" w:cs="Times New Roman"/>
          <w:szCs w:val="24"/>
        </w:rPr>
        <w:t xml:space="preserve"> </w:t>
      </w:r>
      <w:r w:rsidRPr="00F40346">
        <w:rPr>
          <w:rFonts w:ascii="Palatino Linotype" w:hAnsi="Palatino Linotype" w:cs="Times New Roman"/>
          <w:i/>
          <w:szCs w:val="24"/>
        </w:rPr>
        <w:t>Ethical Issues in Externships:  An Introduction</w:t>
      </w:r>
      <w:r w:rsidRPr="00F40346">
        <w:rPr>
          <w:rFonts w:ascii="Palatino Linotype" w:hAnsi="Palatino Linotype" w:cs="Times New Roman"/>
          <w:szCs w:val="24"/>
        </w:rPr>
        <w:t>,</w:t>
      </w:r>
      <w:r w:rsidRPr="00F40346">
        <w:rPr>
          <w:rStyle w:val="FootnoteReference"/>
          <w:rFonts w:ascii="Palatino Linotype" w:hAnsi="Palatino Linotype" w:cs="Times New Roman"/>
          <w:szCs w:val="24"/>
        </w:rPr>
        <w:footnoteReference w:id="88"/>
      </w:r>
      <w:r w:rsidRPr="00F40346">
        <w:rPr>
          <w:rFonts w:ascii="Palatino Linotype" w:hAnsi="Palatino Linotype" w:cs="Times New Roman"/>
          <w:szCs w:val="24"/>
        </w:rPr>
        <w:t xml:space="preserve"> </w:t>
      </w:r>
      <w:r w:rsidRPr="00F40346">
        <w:rPr>
          <w:rFonts w:ascii="Palatino Linotype" w:hAnsi="Palatino Linotype" w:cs="Times New Roman"/>
          <w:i/>
          <w:szCs w:val="24"/>
        </w:rPr>
        <w:t>Ethical Issues in Externships:  Confidentiality</w:t>
      </w:r>
      <w:r w:rsidRPr="00F40346">
        <w:rPr>
          <w:rFonts w:ascii="Palatino Linotype" w:hAnsi="Palatino Linotype" w:cs="Times New Roman"/>
          <w:szCs w:val="24"/>
        </w:rPr>
        <w:t>,</w:t>
      </w:r>
      <w:r w:rsidRPr="00F40346">
        <w:rPr>
          <w:rStyle w:val="FootnoteReference"/>
          <w:rFonts w:ascii="Palatino Linotype" w:hAnsi="Palatino Linotype" w:cs="Times New Roman"/>
          <w:szCs w:val="24"/>
        </w:rPr>
        <w:footnoteReference w:id="89"/>
      </w:r>
      <w:r w:rsidRPr="00F40346">
        <w:rPr>
          <w:rFonts w:ascii="Palatino Linotype" w:hAnsi="Palatino Linotype" w:cs="Times New Roman"/>
          <w:szCs w:val="24"/>
        </w:rPr>
        <w:t xml:space="preserve"> </w:t>
      </w:r>
      <w:r w:rsidRPr="00F40346">
        <w:rPr>
          <w:rFonts w:ascii="Palatino Linotype" w:hAnsi="Palatino Linotype" w:cs="Times New Roman"/>
          <w:i/>
          <w:szCs w:val="24"/>
        </w:rPr>
        <w:t>Ethical Issues in Externships: Conflicts of Interest</w:t>
      </w:r>
      <w:r w:rsidRPr="00F40346">
        <w:rPr>
          <w:rFonts w:ascii="Palatino Linotype" w:hAnsi="Palatino Linotype" w:cs="Times New Roman"/>
          <w:szCs w:val="24"/>
        </w:rPr>
        <w:t>,</w:t>
      </w:r>
      <w:r w:rsidRPr="00F40346">
        <w:rPr>
          <w:rStyle w:val="FootnoteReference"/>
          <w:rFonts w:ascii="Palatino Linotype" w:hAnsi="Palatino Linotype" w:cs="Times New Roman"/>
          <w:szCs w:val="24"/>
        </w:rPr>
        <w:footnoteReference w:id="90"/>
      </w:r>
      <w:r w:rsidRPr="00F40346">
        <w:rPr>
          <w:rFonts w:ascii="Palatino Linotype" w:hAnsi="Palatino Linotype" w:cs="Times New Roman"/>
          <w:szCs w:val="24"/>
        </w:rPr>
        <w:t xml:space="preserve"> </w:t>
      </w:r>
      <w:r w:rsidRPr="00F40346">
        <w:rPr>
          <w:rFonts w:ascii="Palatino Linotype" w:hAnsi="Palatino Linotype" w:cs="Times New Roman"/>
          <w:i/>
          <w:szCs w:val="24"/>
        </w:rPr>
        <w:t>Ethical Issues in Externships:  Duties to Tribunals and Third Partie</w:t>
      </w:r>
      <w:r w:rsidRPr="00F40346">
        <w:rPr>
          <w:rFonts w:ascii="Palatino Linotype" w:hAnsi="Palatino Linotype" w:cs="Times New Roman"/>
          <w:szCs w:val="24"/>
        </w:rPr>
        <w:t>s.</w:t>
      </w:r>
      <w:r w:rsidRPr="00F40346">
        <w:rPr>
          <w:rStyle w:val="FootnoteReference"/>
          <w:rFonts w:ascii="Palatino Linotype" w:hAnsi="Palatino Linotype" w:cs="Times New Roman"/>
          <w:szCs w:val="24"/>
        </w:rPr>
        <w:footnoteReference w:id="91"/>
      </w:r>
      <w:r w:rsidRPr="00F40346">
        <w:rPr>
          <w:rFonts w:ascii="Palatino Linotype" w:hAnsi="Palatino Linotype" w:cs="Times New Roman"/>
          <w:szCs w:val="24"/>
        </w:rPr>
        <w:t xml:space="preserve">  The text further provides chapters that deal with particular practice settings (judicial, criminal, public interest, public service, and transactional), permitting an exploration of ethics particular to these settings and identity formation related to different practice contexts.</w:t>
      </w:r>
      <w:r w:rsidRPr="00F40346">
        <w:rPr>
          <w:rStyle w:val="FootnoteReference"/>
          <w:rFonts w:ascii="Palatino Linotype" w:hAnsi="Palatino Linotype" w:cs="Times New Roman"/>
          <w:szCs w:val="24"/>
        </w:rPr>
        <w:footnoteReference w:id="92"/>
      </w:r>
    </w:p>
    <w:p w14:paraId="2771C2C6" w14:textId="7777777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lastRenderedPageBreak/>
        <w:t>While this text regularly encourages dialogue with the site supervisors, the overarching plan appears to be having this text provide the frame for the students’ reflections and for the faculty supervisor to support that reflection to advance the students’ professional identity formation.</w:t>
      </w:r>
    </w:p>
    <w:p w14:paraId="76B8D5DB" w14:textId="63B2D032"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Where professional identity formation is a primary goal of the externship, it seems important that the student have substantial responsibility for selecting the externship site.  This will ensure that the site is congruent with each student’s visions of his professional path.  Similarly, the law school should ensure that the site supervisor not only has relevant skills but the professional character that would constitute a good role model for the student.  If such vetting takes place, the site supervisor would also be well positioned to reflect with the student about the ethical values that are required for success in the particular legal practice area.</w:t>
      </w:r>
    </w:p>
    <w:p w14:paraId="5C63B4F9" w14:textId="75D46DB9"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One issue that often arises is the students’ notions of how an attorney in an area of practice is “supposed” to act or what attitudes he must have.  For example, “many student prosecutors believe that a good prosecutor must always go for ‘the max’ and that all defenders are bleeding-hearts who naively and unfailingly believe clients’ stories and excuses.”</w:t>
      </w:r>
      <w:r w:rsidRPr="00F40346">
        <w:rPr>
          <w:rStyle w:val="FootnoteReference"/>
          <w:rFonts w:ascii="Palatino Linotype" w:hAnsi="Palatino Linotype" w:cs="Times New Roman"/>
          <w:szCs w:val="24"/>
        </w:rPr>
        <w:footnoteReference w:id="93"/>
      </w:r>
      <w:r w:rsidRPr="00F40346">
        <w:rPr>
          <w:rFonts w:ascii="Palatino Linotype" w:hAnsi="Palatino Linotype" w:cs="Times New Roman"/>
          <w:szCs w:val="24"/>
        </w:rPr>
        <w:t xml:space="preserve">  One can work through this notion by analyzing mock cases together with guest speakers and see that experienced practitioners from both sides </w:t>
      </w:r>
      <w:r w:rsidRPr="00F40346">
        <w:rPr>
          <w:rFonts w:ascii="Palatino Linotype" w:hAnsi="Palatino Linotype" w:cs="Times New Roman"/>
          <w:szCs w:val="24"/>
        </w:rPr>
        <w:lastRenderedPageBreak/>
        <w:t>often view these cases in the same way.</w:t>
      </w:r>
      <w:r w:rsidRPr="00F40346">
        <w:rPr>
          <w:rStyle w:val="FootnoteReference"/>
          <w:rFonts w:ascii="Palatino Linotype" w:hAnsi="Palatino Linotype" w:cs="Times New Roman"/>
          <w:szCs w:val="24"/>
        </w:rPr>
        <w:footnoteReference w:id="94"/>
      </w:r>
      <w:r w:rsidRPr="00F40346">
        <w:rPr>
          <w:rFonts w:ascii="Palatino Linotype" w:hAnsi="Palatino Linotype" w:cs="Times New Roman"/>
          <w:szCs w:val="24"/>
        </w:rPr>
        <w:t xml:space="preserve">  Readings on “prosecutorial discretion and defense ‘ethics’ . . . encourage students to appreciate that they have the right to define for themselves the role they will play and the moral justifications they will develop as a prosecutor or defender in the criminal justice system.”</w:t>
      </w:r>
      <w:r w:rsidRPr="00F40346">
        <w:rPr>
          <w:rStyle w:val="FootnoteReference"/>
          <w:rFonts w:ascii="Palatino Linotype" w:hAnsi="Palatino Linotype" w:cs="Times New Roman"/>
          <w:szCs w:val="24"/>
        </w:rPr>
        <w:footnoteReference w:id="95"/>
      </w:r>
      <w:r w:rsidRPr="00F40346">
        <w:rPr>
          <w:rFonts w:ascii="Palatino Linotype" w:hAnsi="Palatino Linotype" w:cs="Times New Roman"/>
          <w:szCs w:val="24"/>
        </w:rPr>
        <w:t xml:space="preserve">  Class discussion should move from theory to feelings in practice:  “Students are asked to consider what frustrations they have experienced in dealing with ‘the other side’  or with ‘the system,’ whether they had any preconceived notions about their own role and what difficulties they have faced in assuming the role.”</w:t>
      </w:r>
      <w:r w:rsidRPr="00F40346">
        <w:rPr>
          <w:rStyle w:val="FootnoteReference"/>
          <w:rFonts w:ascii="Palatino Linotype" w:hAnsi="Palatino Linotype" w:cs="Times New Roman"/>
          <w:szCs w:val="24"/>
        </w:rPr>
        <w:footnoteReference w:id="96"/>
      </w:r>
    </w:p>
    <w:p w14:paraId="6071EE83" w14:textId="7777777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Another issue that may arise is the student’s desire to stay true to her own values.  Sometimes this suggests the student seek a practice setting that supports and comports with his values.  Externs might be asked to “audit”</w:t>
      </w:r>
      <w:r w:rsidRPr="00F40346">
        <w:rPr>
          <w:rStyle w:val="FootnoteReference"/>
          <w:rFonts w:ascii="Palatino Linotype" w:hAnsi="Palatino Linotype" w:cs="Times New Roman"/>
          <w:szCs w:val="24"/>
        </w:rPr>
        <w:footnoteReference w:id="97"/>
      </w:r>
      <w:r w:rsidRPr="00F40346">
        <w:rPr>
          <w:rFonts w:ascii="Palatino Linotype" w:hAnsi="Palatino Linotype" w:cs="Times New Roman"/>
          <w:szCs w:val="24"/>
        </w:rPr>
        <w:t xml:space="preserve"> their placement by considering the placement’s mission, whether the mission is integrated into the daily work of the organization, and how the mission serves the needs of the organization’s stakeholders.  Student “audits” can also consider the rapport within the organization, how stress is managed and success is defined, and how work-life balance in addressed.</w:t>
      </w:r>
      <w:r w:rsidRPr="00F40346">
        <w:rPr>
          <w:rStyle w:val="FootnoteReference"/>
          <w:rFonts w:ascii="Palatino Linotype" w:hAnsi="Palatino Linotype" w:cs="Times New Roman"/>
          <w:szCs w:val="24"/>
        </w:rPr>
        <w:footnoteReference w:id="98"/>
      </w:r>
      <w:r w:rsidRPr="00F40346">
        <w:rPr>
          <w:rFonts w:ascii="Palatino Linotype" w:hAnsi="Palatino Linotype" w:cs="Times New Roman"/>
          <w:szCs w:val="24"/>
        </w:rPr>
        <w:t xml:space="preserve"> </w:t>
      </w:r>
    </w:p>
    <w:p w14:paraId="34386DE3" w14:textId="77F843A2"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At other times, the extern may realize that some of her important values may be challenged by issues that arise in the organization. Accordingly, the extern seminar may wish to address behavioral ethics such as those presented in the Giving Voice to </w:t>
      </w:r>
      <w:r w:rsidRPr="00F40346">
        <w:rPr>
          <w:rFonts w:ascii="Palatino Linotype" w:hAnsi="Palatino Linotype" w:cs="Times New Roman"/>
          <w:szCs w:val="24"/>
        </w:rPr>
        <w:lastRenderedPageBreak/>
        <w:t>Values (GVV) curriculum.</w:t>
      </w:r>
      <w:r w:rsidRPr="00F40346">
        <w:rPr>
          <w:rStyle w:val="FootnoteReference"/>
          <w:rFonts w:ascii="Palatino Linotype" w:hAnsi="Palatino Linotype" w:cs="Times New Roman"/>
          <w:szCs w:val="24"/>
        </w:rPr>
        <w:footnoteReference w:id="99"/>
      </w:r>
      <w:r w:rsidRPr="00F40346">
        <w:rPr>
          <w:rFonts w:ascii="Palatino Linotype" w:hAnsi="Palatino Linotype" w:cs="Times New Roman"/>
          <w:szCs w:val="24"/>
        </w:rPr>
        <w:t xml:space="preserve">  This curriculum, developed for the business school setting, addresses what one can do when she knows the right thing to do, but faces situational or environmental pressure against doing what is right.  Vivien Holmes writes of having integrated these concepts into the Professional Practice Core course at Australian National University to help students “develop their own ethical, professional identity.”</w:t>
      </w:r>
      <w:r w:rsidRPr="00F40346">
        <w:rPr>
          <w:rStyle w:val="FootnoteReference"/>
          <w:rFonts w:ascii="Palatino Linotype" w:hAnsi="Palatino Linotype" w:cs="Times New Roman"/>
          <w:szCs w:val="24"/>
        </w:rPr>
        <w:footnoteReference w:id="100"/>
      </w:r>
      <w:r w:rsidRPr="00F40346">
        <w:rPr>
          <w:rFonts w:ascii="Palatino Linotype" w:hAnsi="Palatino Linotype" w:cs="Times New Roman"/>
          <w:szCs w:val="24"/>
        </w:rPr>
        <w:t xml:space="preserve">  In this program students face ethical challenges and are asked to develop a GVV approach to voice their concerns while considering several factors.  Study of this curriculum gives early results that it helps students develop valuable ethical skills.</w:t>
      </w:r>
      <w:r w:rsidRPr="00F40346">
        <w:rPr>
          <w:rStyle w:val="FootnoteReference"/>
          <w:rFonts w:ascii="Palatino Linotype" w:hAnsi="Palatino Linotype" w:cs="Times New Roman"/>
          <w:szCs w:val="24"/>
        </w:rPr>
        <w:footnoteReference w:id="101"/>
      </w:r>
    </w:p>
    <w:p w14:paraId="6AD148E7" w14:textId="7777777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Finally, it behooves the externship faculty member to raise issues of the stresses of legal practice and strategies to avoid burn-out and confront challenges such as secondary trauma.  There are today numerous sources for such inquiry including various articles,</w:t>
      </w:r>
      <w:r w:rsidRPr="00F40346">
        <w:rPr>
          <w:rStyle w:val="FootnoteReference"/>
          <w:rFonts w:ascii="Palatino Linotype" w:hAnsi="Palatino Linotype" w:cs="Times New Roman"/>
          <w:szCs w:val="24"/>
        </w:rPr>
        <w:footnoteReference w:id="102"/>
      </w:r>
      <w:r w:rsidRPr="00F40346">
        <w:rPr>
          <w:rFonts w:ascii="Palatino Linotype" w:hAnsi="Palatino Linotype" w:cs="Times New Roman"/>
          <w:szCs w:val="24"/>
        </w:rPr>
        <w:t xml:space="preserve"> web resources,</w:t>
      </w:r>
      <w:r w:rsidRPr="00F40346">
        <w:rPr>
          <w:rStyle w:val="FootnoteReference"/>
          <w:rFonts w:ascii="Palatino Linotype" w:hAnsi="Palatino Linotype" w:cs="Times New Roman"/>
          <w:szCs w:val="24"/>
        </w:rPr>
        <w:footnoteReference w:id="103"/>
      </w:r>
      <w:r w:rsidRPr="00F40346">
        <w:rPr>
          <w:rFonts w:ascii="Palatino Linotype" w:hAnsi="Palatino Linotype" w:cs="Times New Roman"/>
          <w:szCs w:val="24"/>
        </w:rPr>
        <w:t xml:space="preserve"> and these books:</w:t>
      </w:r>
    </w:p>
    <w:p w14:paraId="79E6C152" w14:textId="71825A20" w:rsidR="006C6D3D" w:rsidRPr="00F40346" w:rsidRDefault="006C6D3D" w:rsidP="00F40346">
      <w:pPr>
        <w:pStyle w:val="ListParagraph"/>
        <w:numPr>
          <w:ilvl w:val="0"/>
          <w:numId w:val="16"/>
        </w:numPr>
        <w:spacing w:line="360" w:lineRule="auto"/>
        <w:jc w:val="both"/>
        <w:rPr>
          <w:rFonts w:ascii="Palatino Linotype" w:hAnsi="Palatino Linotype" w:cs="Times New Roman"/>
          <w:szCs w:val="24"/>
        </w:rPr>
      </w:pPr>
      <w:r w:rsidRPr="00F40346">
        <w:rPr>
          <w:rFonts w:ascii="Palatino Linotype" w:hAnsi="Palatino Linotype" w:cs="Times New Roman"/>
          <w:smallCaps/>
          <w:sz w:val="24"/>
          <w:szCs w:val="24"/>
        </w:rPr>
        <w:t>Susan Daicoff</w:t>
      </w:r>
      <w:r w:rsidRPr="00F40346">
        <w:rPr>
          <w:rFonts w:ascii="Palatino Linotype" w:hAnsi="Palatino Linotype" w:cs="Times New Roman"/>
          <w:sz w:val="24"/>
          <w:szCs w:val="24"/>
        </w:rPr>
        <w:t>,</w:t>
      </w:r>
      <w:r w:rsidRPr="00F40346">
        <w:rPr>
          <w:rFonts w:ascii="Palatino Linotype" w:hAnsi="Palatino Linotype" w:cs="Times New Roman"/>
          <w:smallCaps/>
          <w:sz w:val="24"/>
          <w:szCs w:val="24"/>
        </w:rPr>
        <w:t xml:space="preserve"> Lawyer</w:t>
      </w:r>
      <w:r w:rsidRPr="00F40346">
        <w:rPr>
          <w:rFonts w:ascii="Palatino Linotype" w:hAnsi="Palatino Linotype" w:cs="Times New Roman"/>
          <w:sz w:val="24"/>
          <w:szCs w:val="24"/>
        </w:rPr>
        <w:t xml:space="preserve">, </w:t>
      </w:r>
      <w:r w:rsidRPr="00F40346">
        <w:rPr>
          <w:rFonts w:ascii="Palatino Linotype" w:hAnsi="Palatino Linotype" w:cs="Times New Roman"/>
          <w:smallCaps/>
          <w:sz w:val="24"/>
          <w:szCs w:val="24"/>
        </w:rPr>
        <w:t>Know Thyself: A Psychological Analysis of Personality Strengths and Weaknesses</w:t>
      </w:r>
      <w:r w:rsidRPr="00F40346">
        <w:rPr>
          <w:rFonts w:ascii="Palatino Linotype" w:hAnsi="Palatino Linotype" w:cs="Times New Roman"/>
          <w:sz w:val="24"/>
          <w:szCs w:val="24"/>
        </w:rPr>
        <w:t xml:space="preserve"> (2004);</w:t>
      </w:r>
    </w:p>
    <w:p w14:paraId="24936D4A" w14:textId="30C86AA6" w:rsidR="006C6D3D" w:rsidRPr="00F40346" w:rsidRDefault="006C6D3D" w:rsidP="00F40346">
      <w:pPr>
        <w:pStyle w:val="ListParagraph"/>
        <w:numPr>
          <w:ilvl w:val="0"/>
          <w:numId w:val="16"/>
        </w:numPr>
        <w:spacing w:line="360" w:lineRule="auto"/>
        <w:jc w:val="both"/>
        <w:rPr>
          <w:rFonts w:ascii="Palatino Linotype" w:hAnsi="Palatino Linotype" w:cs="Times New Roman"/>
          <w:szCs w:val="24"/>
        </w:rPr>
      </w:pPr>
      <w:r w:rsidRPr="00F40346">
        <w:rPr>
          <w:rFonts w:ascii="Palatino Linotype" w:hAnsi="Palatino Linotype" w:cs="Times New Roman"/>
          <w:smallCaps/>
          <w:sz w:val="24"/>
          <w:szCs w:val="24"/>
        </w:rPr>
        <w:t>Marjorie A. Silver,</w:t>
      </w:r>
      <w:r w:rsidRPr="00F40346">
        <w:rPr>
          <w:rFonts w:ascii="Palatino Linotype" w:hAnsi="Palatino Linotype" w:cs="Times New Roman"/>
          <w:sz w:val="24"/>
          <w:szCs w:val="24"/>
        </w:rPr>
        <w:t xml:space="preserve"> </w:t>
      </w:r>
      <w:r w:rsidR="00607638" w:rsidRPr="00F40346">
        <w:rPr>
          <w:rFonts w:ascii="Palatino Linotype" w:hAnsi="Palatino Linotype" w:cs="Times New Roman"/>
          <w:smallCaps/>
          <w:sz w:val="24"/>
          <w:szCs w:val="24"/>
        </w:rPr>
        <w:t>Affective</w:t>
      </w:r>
      <w:r w:rsidRPr="00F40346">
        <w:rPr>
          <w:rFonts w:ascii="Palatino Linotype" w:hAnsi="Palatino Linotype" w:cs="Times New Roman"/>
          <w:smallCaps/>
          <w:sz w:val="24"/>
          <w:szCs w:val="24"/>
        </w:rPr>
        <w:t xml:space="preserve"> Assistance of Counsel:  Practicing Law as a Healing Profession </w:t>
      </w:r>
      <w:r w:rsidRPr="00F40346">
        <w:rPr>
          <w:rFonts w:ascii="Palatino Linotype" w:hAnsi="Palatino Linotype" w:cs="Times New Roman"/>
          <w:sz w:val="24"/>
          <w:szCs w:val="24"/>
        </w:rPr>
        <w:t>(2007);</w:t>
      </w:r>
    </w:p>
    <w:p w14:paraId="46D46528" w14:textId="084FAF04" w:rsidR="006C6D3D" w:rsidRPr="00F40346" w:rsidRDefault="006C6D3D" w:rsidP="00F40346">
      <w:pPr>
        <w:pStyle w:val="ListParagraph"/>
        <w:numPr>
          <w:ilvl w:val="0"/>
          <w:numId w:val="16"/>
        </w:numPr>
        <w:spacing w:line="360" w:lineRule="auto"/>
        <w:jc w:val="both"/>
        <w:rPr>
          <w:rFonts w:ascii="Palatino Linotype" w:hAnsi="Palatino Linotype" w:cs="Times New Roman"/>
          <w:szCs w:val="24"/>
        </w:rPr>
      </w:pPr>
      <w:r w:rsidRPr="00F40346">
        <w:rPr>
          <w:rFonts w:ascii="Palatino Linotype" w:hAnsi="Palatino Linotype" w:cs="Times New Roman"/>
          <w:smallCaps/>
          <w:sz w:val="24"/>
          <w:szCs w:val="24"/>
        </w:rPr>
        <w:lastRenderedPageBreak/>
        <w:t>Nancy Levit &amp; Douglas O. Linder</w:t>
      </w:r>
      <w:r w:rsidRPr="00F40346">
        <w:rPr>
          <w:rFonts w:ascii="Palatino Linotype" w:hAnsi="Palatino Linotype" w:cs="Times New Roman"/>
          <w:sz w:val="24"/>
          <w:szCs w:val="24"/>
        </w:rPr>
        <w:t xml:space="preserve">, </w:t>
      </w:r>
      <w:r w:rsidRPr="00F40346">
        <w:rPr>
          <w:rFonts w:ascii="Palatino Linotype" w:hAnsi="Palatino Linotype" w:cs="Times New Roman"/>
          <w:smallCaps/>
          <w:sz w:val="24"/>
          <w:szCs w:val="24"/>
        </w:rPr>
        <w:t>The Happy Lawyer:  Making a Good Life in the La</w:t>
      </w:r>
      <w:r w:rsidRPr="00F40346">
        <w:rPr>
          <w:rFonts w:ascii="Palatino Linotype" w:hAnsi="Palatino Linotype" w:cs="Times New Roman"/>
          <w:sz w:val="24"/>
          <w:szCs w:val="24"/>
        </w:rPr>
        <w:t>w (2010);</w:t>
      </w:r>
    </w:p>
    <w:p w14:paraId="5D398EFD" w14:textId="404A8183" w:rsidR="006C6D3D" w:rsidRPr="00F40346" w:rsidRDefault="006C6D3D" w:rsidP="00F40346">
      <w:pPr>
        <w:pStyle w:val="ListParagraph"/>
        <w:numPr>
          <w:ilvl w:val="0"/>
          <w:numId w:val="16"/>
        </w:numPr>
        <w:spacing w:line="360" w:lineRule="auto"/>
        <w:jc w:val="both"/>
        <w:rPr>
          <w:rFonts w:ascii="Palatino Linotype" w:hAnsi="Palatino Linotype" w:cs="Times New Roman"/>
          <w:szCs w:val="24"/>
        </w:rPr>
      </w:pPr>
      <w:r w:rsidRPr="00F40346">
        <w:rPr>
          <w:rFonts w:ascii="Palatino Linotype" w:hAnsi="Palatino Linotype" w:cs="Times New Roman"/>
          <w:smallCaps/>
          <w:sz w:val="24"/>
          <w:szCs w:val="24"/>
        </w:rPr>
        <w:t>Douglas O. Linder &amp; Nancy Levit,</w:t>
      </w:r>
      <w:r w:rsidRPr="00F40346">
        <w:rPr>
          <w:rFonts w:ascii="Palatino Linotype" w:hAnsi="Palatino Linotype" w:cs="Times New Roman"/>
          <w:sz w:val="24"/>
          <w:szCs w:val="24"/>
        </w:rPr>
        <w:t xml:space="preserve"> </w:t>
      </w:r>
      <w:r w:rsidRPr="00F40346">
        <w:rPr>
          <w:rFonts w:ascii="Palatino Linotype" w:hAnsi="Palatino Linotype" w:cs="Times New Roman"/>
          <w:smallCaps/>
          <w:sz w:val="24"/>
          <w:szCs w:val="24"/>
        </w:rPr>
        <w:t>The Good Lawyer:  Seeking Quality in the Practice of Law</w:t>
      </w:r>
      <w:r w:rsidRPr="00F40346">
        <w:rPr>
          <w:rFonts w:ascii="Palatino Linotype" w:hAnsi="Palatino Linotype" w:cs="Times New Roman"/>
          <w:sz w:val="24"/>
          <w:szCs w:val="24"/>
        </w:rPr>
        <w:t xml:space="preserve"> (2014);</w:t>
      </w:r>
    </w:p>
    <w:p w14:paraId="042F697D" w14:textId="569D5D61" w:rsidR="006C6D3D" w:rsidRPr="00F40346" w:rsidRDefault="006C6D3D" w:rsidP="00F40346">
      <w:pPr>
        <w:pStyle w:val="ListParagraph"/>
        <w:numPr>
          <w:ilvl w:val="0"/>
          <w:numId w:val="16"/>
        </w:numPr>
        <w:spacing w:line="360" w:lineRule="auto"/>
        <w:jc w:val="both"/>
        <w:rPr>
          <w:rFonts w:ascii="Palatino Linotype" w:hAnsi="Palatino Linotype" w:cs="Times New Roman"/>
          <w:szCs w:val="24"/>
        </w:rPr>
      </w:pPr>
      <w:r w:rsidRPr="00F40346">
        <w:rPr>
          <w:rFonts w:ascii="Palatino Linotype" w:hAnsi="Palatino Linotype" w:cs="Times New Roman"/>
          <w:smallCaps/>
          <w:sz w:val="24"/>
          <w:szCs w:val="24"/>
        </w:rPr>
        <w:t>Cary Cherniss, Beyond Burnout</w:t>
      </w:r>
      <w:r w:rsidRPr="00F40346">
        <w:rPr>
          <w:rFonts w:ascii="Palatino Linotype" w:hAnsi="Palatino Linotype" w:cs="Times New Roman"/>
          <w:sz w:val="24"/>
          <w:szCs w:val="24"/>
        </w:rPr>
        <w:t xml:space="preserve">:  </w:t>
      </w:r>
      <w:r w:rsidRPr="00F40346">
        <w:rPr>
          <w:rFonts w:ascii="Palatino Linotype" w:hAnsi="Palatino Linotype" w:cs="Times New Roman"/>
          <w:smallCaps/>
          <w:sz w:val="24"/>
          <w:szCs w:val="24"/>
        </w:rPr>
        <w:t>Helping Teachers, Nurses, Therapists, and Lawyers Recover from Stress and Disillusionment</w:t>
      </w:r>
      <w:r w:rsidRPr="00F40346">
        <w:rPr>
          <w:rFonts w:ascii="Palatino Linotype" w:hAnsi="Palatino Linotype" w:cs="Times New Roman"/>
          <w:sz w:val="24"/>
          <w:szCs w:val="24"/>
        </w:rPr>
        <w:t xml:space="preserve"> (1995).</w:t>
      </w:r>
    </w:p>
    <w:p w14:paraId="29EE9144" w14:textId="13B020DF"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In some instances, the students themselves will be dealing with traumatizing cases, and they will need this guidance in order to have a healthy clinical experience.  In other cases, students may be encouraged to observe how their supervisors and others deal with the stresses of practice.</w:t>
      </w:r>
    </w:p>
    <w:p w14:paraId="111F3F93" w14:textId="7777777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In sum, externs are socialized to the practice of law through the externship experience.  It is far preferable that this be intentional learning rather than incidental learning.  Accordingly, it should be incumbent upon the externship program to include relevant readings and reflection opportunities regarding the student’s professional identity formation.</w:t>
      </w:r>
    </w:p>
    <w:p w14:paraId="1711C6EF" w14:textId="66E9D830" w:rsidR="006C6D3D" w:rsidRPr="00F40346" w:rsidRDefault="006C6D3D" w:rsidP="00F40346">
      <w:pPr>
        <w:spacing w:line="480" w:lineRule="auto"/>
        <w:jc w:val="both"/>
        <w:rPr>
          <w:rFonts w:ascii="Palatino Linotype" w:hAnsi="Palatino Linotype" w:cs="Times New Roman"/>
          <w:szCs w:val="24"/>
        </w:rPr>
      </w:pPr>
    </w:p>
    <w:p w14:paraId="25246C6F" w14:textId="341786B9" w:rsidR="006C6D3D" w:rsidRPr="00F40346" w:rsidRDefault="006C6D3D" w:rsidP="00F40346">
      <w:pPr>
        <w:spacing w:line="480" w:lineRule="auto"/>
        <w:ind w:left="1627" w:hanging="547"/>
        <w:jc w:val="both"/>
        <w:rPr>
          <w:rFonts w:ascii="Palatino Linotype" w:hAnsi="Palatino Linotype" w:cs="Times New Roman"/>
          <w:b/>
          <w:szCs w:val="24"/>
        </w:rPr>
      </w:pPr>
      <w:r w:rsidRPr="00F40346">
        <w:rPr>
          <w:rFonts w:ascii="Palatino Linotype" w:hAnsi="Palatino Linotype" w:cs="Times New Roman"/>
          <w:b/>
          <w:color w:val="000000"/>
        </w:rPr>
        <w:t>2.</w:t>
      </w:r>
      <w:r w:rsidRPr="00F40346">
        <w:rPr>
          <w:rFonts w:ascii="Palatino Linotype" w:hAnsi="Palatino Linotype" w:cs="Times New Roman"/>
          <w:b/>
          <w:color w:val="000000"/>
          <w:sz w:val="14"/>
          <w:szCs w:val="14"/>
        </w:rPr>
        <w:tab/>
      </w:r>
      <w:r w:rsidRPr="00F40346">
        <w:rPr>
          <w:rFonts w:ascii="Palatino Linotype" w:hAnsi="Palatino Linotype" w:cs="Times New Roman"/>
          <w:b/>
          <w:color w:val="000000"/>
          <w:u w:val="single"/>
        </w:rPr>
        <w:t>Critique &amp; Improvement of the Law &amp; Legal System</w:t>
      </w:r>
    </w:p>
    <w:p w14:paraId="0160A403" w14:textId="76D6B50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The </w:t>
      </w:r>
      <w:r w:rsidRPr="00F40346">
        <w:rPr>
          <w:rFonts w:ascii="Palatino Linotype" w:hAnsi="Palatino Linotype" w:cs="Times New Roman"/>
          <w:smallCaps/>
          <w:szCs w:val="24"/>
        </w:rPr>
        <w:t>Best Practices</w:t>
      </w:r>
      <w:r w:rsidRPr="00F40346">
        <w:rPr>
          <w:rFonts w:ascii="Palatino Linotype" w:hAnsi="Palatino Linotype" w:cs="Times New Roman"/>
          <w:szCs w:val="24"/>
        </w:rPr>
        <w:t xml:space="preserve"> book notes that “some externships also provide excellent opportunities to study and learn about the functioning of the legal system and its capacities and limitations.  It is especially important for students to study issues of justice in our society and to learn to appreciate the importance of the rule of law for ensuring justice to all members of society.”</w:t>
      </w:r>
      <w:r w:rsidRPr="00F40346">
        <w:rPr>
          <w:rStyle w:val="FootnoteReference"/>
          <w:rFonts w:ascii="Palatino Linotype" w:hAnsi="Palatino Linotype" w:cs="Times New Roman"/>
          <w:szCs w:val="24"/>
        </w:rPr>
        <w:footnoteReference w:id="104"/>
      </w:r>
    </w:p>
    <w:p w14:paraId="2C14E344" w14:textId="649A324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lastRenderedPageBreak/>
        <w:t xml:space="preserve">There will be many placements in which the student will be confronted with issues about the “quality of justice” by the nature of the day-to-day experience.  These include criminal defense and prosecution offices, legal aid offices, and the courts.  The judicial </w:t>
      </w:r>
      <w:r w:rsidR="00BA6822" w:rsidRPr="00F40346">
        <w:rPr>
          <w:rFonts w:ascii="Palatino Linotype" w:hAnsi="Palatino Linotype" w:cs="Times New Roman"/>
          <w:szCs w:val="24"/>
        </w:rPr>
        <w:t>ex</w:t>
      </w:r>
      <w:r w:rsidRPr="00F40346">
        <w:rPr>
          <w:rFonts w:ascii="Palatino Linotype" w:hAnsi="Palatino Linotype" w:cs="Times New Roman"/>
          <w:szCs w:val="24"/>
        </w:rPr>
        <w:t>tern may be exposed to pro se parties or parties represented by less-than-adequate attorneys,</w:t>
      </w:r>
      <w:r w:rsidRPr="00F40346">
        <w:rPr>
          <w:rStyle w:val="FootnoteReference"/>
          <w:rFonts w:ascii="Palatino Linotype" w:hAnsi="Palatino Linotype" w:cs="Times New Roman"/>
          <w:szCs w:val="24"/>
        </w:rPr>
        <w:footnoteReference w:id="105"/>
      </w:r>
      <w:r w:rsidRPr="00F40346">
        <w:rPr>
          <w:rFonts w:ascii="Palatino Linotype" w:hAnsi="Palatino Linotype" w:cs="Times New Roman"/>
          <w:szCs w:val="24"/>
        </w:rPr>
        <w:t xml:space="preserve"> and benefit by reflecting upon topics ranging from access to legal counsel, to the adversary system, to how judges should deal with inequities.  Students externing in the criminal justice system may encounter the economic pressure to plea bargain, the extensive discretion possessed by the prosecutor, the challenge to prosecutors in negotiating fairly with unrepresented defendants, t</w:t>
      </w:r>
      <w:r w:rsidR="00BA6822" w:rsidRPr="00F40346">
        <w:rPr>
          <w:rFonts w:ascii="Palatino Linotype" w:hAnsi="Palatino Linotype" w:cs="Times New Roman"/>
          <w:szCs w:val="24"/>
        </w:rPr>
        <w:t>he</w:t>
      </w:r>
      <w:r w:rsidRPr="00F40346">
        <w:rPr>
          <w:rFonts w:ascii="Palatino Linotype" w:hAnsi="Palatino Linotype" w:cs="Times New Roman"/>
          <w:szCs w:val="24"/>
        </w:rPr>
        <w:t xml:space="preserve"> collateral consequences of conviction, </w:t>
      </w:r>
      <w:r w:rsidR="00BA6822" w:rsidRPr="00F40346">
        <w:rPr>
          <w:rFonts w:ascii="Palatino Linotype" w:hAnsi="Palatino Linotype" w:cs="Times New Roman"/>
          <w:szCs w:val="24"/>
        </w:rPr>
        <w:t>and</w:t>
      </w:r>
      <w:r w:rsidRPr="00F40346">
        <w:rPr>
          <w:rFonts w:ascii="Palatino Linotype" w:hAnsi="Palatino Linotype" w:cs="Times New Roman"/>
          <w:szCs w:val="24"/>
        </w:rPr>
        <w:t xml:space="preserve"> drug cases for which the criminal justice system may seem ill-suited.</w:t>
      </w:r>
      <w:r w:rsidRPr="00F40346">
        <w:rPr>
          <w:rStyle w:val="FootnoteReference"/>
          <w:rFonts w:ascii="Palatino Linotype" w:hAnsi="Palatino Linotype" w:cs="Times New Roman"/>
          <w:szCs w:val="24"/>
        </w:rPr>
        <w:footnoteReference w:id="106"/>
      </w:r>
      <w:r w:rsidRPr="00F40346">
        <w:rPr>
          <w:rFonts w:ascii="Palatino Linotype" w:hAnsi="Palatino Linotype" w:cs="Times New Roman"/>
          <w:szCs w:val="24"/>
        </w:rPr>
        <w:t xml:space="preserve">  Students placed in legal aid offices </w:t>
      </w:r>
      <w:r w:rsidR="00BA6822" w:rsidRPr="00F40346">
        <w:rPr>
          <w:rFonts w:ascii="Palatino Linotype" w:hAnsi="Palatino Linotype" w:cs="Times New Roman"/>
          <w:szCs w:val="24"/>
        </w:rPr>
        <w:t>ma</w:t>
      </w:r>
      <w:r w:rsidR="00416989" w:rsidRPr="00F40346">
        <w:rPr>
          <w:rFonts w:ascii="Palatino Linotype" w:hAnsi="Palatino Linotype" w:cs="Times New Roman"/>
          <w:szCs w:val="24"/>
        </w:rPr>
        <w:t>y</w:t>
      </w:r>
      <w:r w:rsidRPr="00F40346">
        <w:rPr>
          <w:rFonts w:ascii="Palatino Linotype" w:hAnsi="Palatino Linotype" w:cs="Times New Roman"/>
          <w:szCs w:val="24"/>
        </w:rPr>
        <w:t xml:space="preserve"> encounter the poor, persons with disabilities, persons of color, and individuals from other cultures speaking </w:t>
      </w:r>
      <w:r w:rsidR="00BA6822" w:rsidRPr="00F40346">
        <w:rPr>
          <w:rFonts w:ascii="Palatino Linotype" w:hAnsi="Palatino Linotype" w:cs="Times New Roman"/>
          <w:szCs w:val="24"/>
        </w:rPr>
        <w:t xml:space="preserve">other </w:t>
      </w:r>
      <w:r w:rsidRPr="00F40346">
        <w:rPr>
          <w:rFonts w:ascii="Palatino Linotype" w:hAnsi="Palatino Linotype" w:cs="Times New Roman"/>
          <w:szCs w:val="24"/>
        </w:rPr>
        <w:t xml:space="preserve">languages.  They </w:t>
      </w:r>
      <w:r w:rsidR="00BA6822" w:rsidRPr="00F40346">
        <w:rPr>
          <w:rFonts w:ascii="Palatino Linotype" w:hAnsi="Palatino Linotype" w:cs="Times New Roman"/>
          <w:szCs w:val="24"/>
        </w:rPr>
        <w:t>may</w:t>
      </w:r>
      <w:r w:rsidRPr="00F40346">
        <w:rPr>
          <w:rFonts w:ascii="Palatino Linotype" w:hAnsi="Palatino Linotype" w:cs="Times New Roman"/>
          <w:szCs w:val="24"/>
        </w:rPr>
        <w:t xml:space="preserve"> also encounter bureaucracies from housing courts to welfare offices and opposing parties such as pay-day lenders.</w:t>
      </w:r>
    </w:p>
    <w:p w14:paraId="3F5BECD0" w14:textId="77777777"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 xml:space="preserve">If the faculty supervisor knows that the students will encounter such issues about the quality of justice, then it is wise to include readings and discussion topics on them.  The </w:t>
      </w:r>
      <w:r w:rsidRPr="00F40346">
        <w:rPr>
          <w:rFonts w:ascii="Palatino Linotype" w:hAnsi="Palatino Linotype" w:cs="Times New Roman"/>
          <w:smallCaps/>
          <w:szCs w:val="24"/>
        </w:rPr>
        <w:t>Learning from Practice</w:t>
      </w:r>
      <w:r w:rsidRPr="00F40346">
        <w:rPr>
          <w:rFonts w:ascii="Palatino Linotype" w:hAnsi="Palatino Linotype" w:cs="Times New Roman"/>
          <w:szCs w:val="24"/>
        </w:rPr>
        <w:t xml:space="preserve"> text includes institutional critique in several of the chapters dealing with particular practice areas, such as criminal defense.  Including </w:t>
      </w:r>
      <w:r w:rsidRPr="00F40346">
        <w:rPr>
          <w:rFonts w:ascii="Palatino Linotype" w:hAnsi="Palatino Linotype" w:cs="Times New Roman"/>
          <w:szCs w:val="24"/>
        </w:rPr>
        <w:lastRenderedPageBreak/>
        <w:t>such readings and discussion topics establishes that exploring these issues and the lawyer’s public citizen role is one of the goals of the externship.</w:t>
      </w:r>
    </w:p>
    <w:p w14:paraId="30D37A07" w14:textId="586DAD50"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In other placements, issues of the quality of justice may not arise so apparently.  One can imagine that students externing at various governmental agencies or in-house counsel offices may well not encounter issues of power imbalance or aspects of the law that seem “unjust.”  In that case, the program will likely be unable to have instilling appreciation for social justice as a significant goal.  But in that case, should the program also leave aside “institutional critique” as a goal?  There are two arguments why institutional critique should nevertheless be included as one of the programmatic goals.</w:t>
      </w:r>
    </w:p>
    <w:p w14:paraId="77C2CED0" w14:textId="029EBFA4"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First, even if the extern does not directly address issues of poverty and quality of justice, the student can be encouraged to study the institutions she encounters or in which she is placed with an eye toward “improvement of the law . . . and the administration of justice.”  No matter where the student is placed, he can be encouraged to ask critical questions about the law and the procedures and the practices he confronts.  Some field supervisors will not encourage that inquiry, but others may welcome a fresh set of ears to share their frustrations with foolish laws or time-wasting procedures they face in their practices.</w:t>
      </w:r>
      <w:r w:rsidRPr="00F40346">
        <w:rPr>
          <w:rStyle w:val="FootnoteReference"/>
          <w:rFonts w:ascii="Palatino Linotype" w:hAnsi="Palatino Linotype" w:cs="Times New Roman"/>
          <w:szCs w:val="24"/>
        </w:rPr>
        <w:footnoteReference w:id="107"/>
      </w:r>
      <w:r w:rsidRPr="00F40346">
        <w:rPr>
          <w:rFonts w:ascii="Palatino Linotype" w:hAnsi="Palatino Linotype" w:cs="Times New Roman"/>
          <w:szCs w:val="24"/>
        </w:rPr>
        <w:t xml:space="preserve">  All institutional critique need not proceed from the perspective of the disempowered; it is enough that the student </w:t>
      </w:r>
      <w:r w:rsidRPr="00F40346">
        <w:rPr>
          <w:rFonts w:ascii="Palatino Linotype" w:hAnsi="Palatino Linotype" w:cs="Times New Roman"/>
          <w:szCs w:val="24"/>
        </w:rPr>
        <w:lastRenderedPageBreak/>
        <w:t>begin to incorporate a critical eye and an attitude to “reform the law” when he encounters problems that should be corrected.</w:t>
      </w:r>
    </w:p>
    <w:p w14:paraId="118831A6" w14:textId="1F2AA76F"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The second reason to include institutional critique in the classroom component linked to an externship is relevant when students are engaged in different types of placements and practices.  The student enjoying sufficient time to do thorough and detailed work in the in-house counsel office or governmental agency will benefit from hearing the legal defender externs discuss pressures to plea-bargain because of inadequate resources and the legal aid extern discuss the fact that many clients get only limited scope services.  Thus, the class will be able to explore differentials in the quality of justice they encounter.</w:t>
      </w:r>
    </w:p>
    <w:p w14:paraId="69B3565A" w14:textId="60B204B2" w:rsidR="006C6D3D" w:rsidRPr="00F40346" w:rsidRDefault="006C6D3D"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Nevertheless, including institutional critique must be done with care for a number of reasons.  First, we are asking the placement supervisor to teach and oversee the student, and we are asking the student to respect and learn from the supervisor.  Accordingly, it will be dysfunctional to present criticism that the student would understand as being levied against her supervisor or placement.  Instead, the faculty supervisor should simply introduce topics, concepts and readings that raise the relevant critical issues.  The faculty member can recognize the reality of institutional challenges and pressures.  The student should understand his role as not only a student learning from the supervisor but also a participant-observer in an anthropological quest to learn from the supervisor and the placement.</w:t>
      </w:r>
    </w:p>
    <w:p w14:paraId="70633CA5" w14:textId="7F69BE27" w:rsidR="006C6D3D" w:rsidRPr="00F40346" w:rsidRDefault="008D7967" w:rsidP="00F40346">
      <w:pPr>
        <w:spacing w:line="480" w:lineRule="auto"/>
        <w:jc w:val="both"/>
        <w:rPr>
          <w:rFonts w:ascii="Palatino Linotype" w:hAnsi="Palatino Linotype" w:cs="Times New Roman"/>
          <w:szCs w:val="24"/>
        </w:rPr>
      </w:pPr>
      <w:r w:rsidRPr="00F40346">
        <w:rPr>
          <w:rFonts w:ascii="Palatino Linotype" w:hAnsi="Palatino Linotype" w:cs="Times New Roman"/>
          <w:szCs w:val="24"/>
        </w:rPr>
        <w:t>S</w:t>
      </w:r>
      <w:r w:rsidR="006C6D3D" w:rsidRPr="00F40346">
        <w:rPr>
          <w:rFonts w:ascii="Palatino Linotype" w:hAnsi="Palatino Linotype" w:cs="Times New Roman"/>
          <w:szCs w:val="24"/>
        </w:rPr>
        <w:t xml:space="preserve">tudents will bring their own attitudes and beliefs to the placement.  Sometimes these attitudes and beliefs will be entirely congruent with critiquing the law and practices </w:t>
      </w:r>
      <w:r w:rsidR="006C6D3D" w:rsidRPr="00F40346">
        <w:rPr>
          <w:rFonts w:ascii="Palatino Linotype" w:hAnsi="Palatino Linotype" w:cs="Times New Roman"/>
          <w:szCs w:val="24"/>
        </w:rPr>
        <w:lastRenderedPageBreak/>
        <w:t>she encounters.  For this student, including institutional critique will give the student permission to engage in this endeavor.  But this student must be pushed to do the additional readings and analysis, not simply react.  Other times the student will have attitudes that are not sympathetic toward the disempowered clients she encounters; she will be frustrated with legal aid clients who are so “ungrateful” that they miss appointments and victims of domestic violence who ask to dismiss the protective orders.  The faculty supervisor cannot ask a student to deny the feelings she has but can provide this student with readings about poverty and domestic violence, which should provide context for the client’s actions.  The faculty supervisor can also encourage the student to ask her site supervisor about whether he has similar feelings and how he deals with them.  In this way, the student moves from emotional reaction to critical perspective.  Finally, some students may be overwhelmed or shocked by some of the practices they encounter.  These students need a sounding board for their reactions so that they can consider how to deal with the stresses of practice and think about how their experiences can be integrated in development of positive professional identities.  But they also should be encouraged to study the aspects of the practice that are concerning with an eye toward improving the law or the administration of justice so that it is more just and effective.</w:t>
      </w:r>
    </w:p>
    <w:p w14:paraId="797B15B2" w14:textId="072D608D" w:rsidR="00276304" w:rsidRPr="00F40346" w:rsidRDefault="006C6D3D" w:rsidP="00F40346">
      <w:pPr>
        <w:spacing w:line="480" w:lineRule="auto"/>
        <w:contextualSpacing/>
        <w:jc w:val="both"/>
        <w:rPr>
          <w:rFonts w:ascii="Palatino Linotype" w:hAnsi="Palatino Linotype" w:cs="Times New Roman"/>
          <w:szCs w:val="24"/>
        </w:rPr>
      </w:pPr>
      <w:r w:rsidRPr="00F40346">
        <w:rPr>
          <w:rFonts w:ascii="Palatino Linotype" w:hAnsi="Palatino Linotype" w:cs="Times New Roman"/>
          <w:szCs w:val="24"/>
        </w:rPr>
        <w:t>Including institutional critique in the externship seminar will be responsive to the desires of many of the students to better understand the institutions, practices, and law they encounter and will establish the practice of assuming the public citizen role as one of the fundamental aspects</w:t>
      </w:r>
      <w:r w:rsidR="00F82A76" w:rsidRPr="00F40346">
        <w:rPr>
          <w:rFonts w:ascii="Palatino Linotype" w:hAnsi="Palatino Linotype" w:cs="Times New Roman"/>
          <w:szCs w:val="24"/>
        </w:rPr>
        <w:t xml:space="preserve"> of the lawyer’s identity</w:t>
      </w:r>
      <w:r w:rsidRPr="00F40346">
        <w:rPr>
          <w:rFonts w:ascii="Palatino Linotype" w:hAnsi="Palatino Linotype" w:cs="Times New Roman"/>
          <w:szCs w:val="24"/>
        </w:rPr>
        <w:t>.</w:t>
      </w:r>
    </w:p>
    <w:p w14:paraId="764AF830" w14:textId="33796188" w:rsidR="00832206" w:rsidRPr="00F40346" w:rsidRDefault="00832206" w:rsidP="00F40346">
      <w:pPr>
        <w:spacing w:line="480" w:lineRule="auto"/>
        <w:rPr>
          <w:rFonts w:ascii="Palatino Linotype" w:hAnsi="Palatino Linotype"/>
          <w:b/>
        </w:rPr>
      </w:pPr>
      <w:r w:rsidRPr="00F40346">
        <w:rPr>
          <w:rFonts w:ascii="Palatino Linotype" w:hAnsi="Palatino Linotype"/>
          <w:b/>
        </w:rPr>
        <w:lastRenderedPageBreak/>
        <w:t>CONCLUSION</w:t>
      </w:r>
    </w:p>
    <w:p w14:paraId="26257D69" w14:textId="308867F6" w:rsidR="008C6899" w:rsidRPr="00F40346" w:rsidRDefault="00832206" w:rsidP="00F40346">
      <w:pPr>
        <w:spacing w:line="480" w:lineRule="auto"/>
        <w:jc w:val="both"/>
        <w:rPr>
          <w:rFonts w:ascii="Palatino Linotype" w:hAnsi="Palatino Linotype"/>
        </w:rPr>
      </w:pPr>
      <w:r w:rsidRPr="00F40346">
        <w:rPr>
          <w:rFonts w:ascii="Palatino Linotype" w:hAnsi="Palatino Linotype"/>
        </w:rPr>
        <w:t xml:space="preserve">We have </w:t>
      </w:r>
      <w:r w:rsidR="00A51D13" w:rsidRPr="00F40346">
        <w:rPr>
          <w:rFonts w:ascii="Palatino Linotype" w:hAnsi="Palatino Linotype"/>
        </w:rPr>
        <w:t>explored the risks and rewards of designing and teaching in an externship program</w:t>
      </w:r>
      <w:r w:rsidR="00C93F17" w:rsidRPr="00F40346">
        <w:rPr>
          <w:rFonts w:ascii="Palatino Linotype" w:hAnsi="Palatino Linotype"/>
        </w:rPr>
        <w:t>, the goals one might have</w:t>
      </w:r>
      <w:r w:rsidR="00E05FE4" w:rsidRPr="00F40346">
        <w:rPr>
          <w:rFonts w:ascii="Palatino Linotype" w:hAnsi="Palatino Linotype"/>
        </w:rPr>
        <w:t>,</w:t>
      </w:r>
      <w:r w:rsidR="00C93F17" w:rsidRPr="00F40346">
        <w:rPr>
          <w:rFonts w:ascii="Palatino Linotype" w:hAnsi="Palatino Linotype"/>
        </w:rPr>
        <w:t xml:space="preserve"> and the methods one might use</w:t>
      </w:r>
      <w:r w:rsidR="00A51D13" w:rsidRPr="00F40346">
        <w:rPr>
          <w:rFonts w:ascii="Palatino Linotype" w:hAnsi="Palatino Linotype"/>
        </w:rPr>
        <w:t xml:space="preserve">.  We have </w:t>
      </w:r>
      <w:r w:rsidRPr="00F40346">
        <w:rPr>
          <w:rFonts w:ascii="Palatino Linotype" w:hAnsi="Palatino Linotype"/>
        </w:rPr>
        <w:t xml:space="preserve">argued that it is important to pay attention to the principles of intentional design when developing an externship program. </w:t>
      </w:r>
      <w:r w:rsidR="008C6899" w:rsidRPr="00F40346">
        <w:rPr>
          <w:rFonts w:ascii="Palatino Linotype" w:hAnsi="Palatino Linotype"/>
        </w:rPr>
        <w:t>In particular,</w:t>
      </w:r>
      <w:r w:rsidR="0051234F" w:rsidRPr="00F40346">
        <w:rPr>
          <w:rFonts w:ascii="Palatino Linotype" w:hAnsi="Palatino Linotype"/>
        </w:rPr>
        <w:t xml:space="preserve"> </w:t>
      </w:r>
      <w:r w:rsidR="008C6899" w:rsidRPr="00F40346">
        <w:rPr>
          <w:rFonts w:ascii="Palatino Linotype" w:hAnsi="Palatino Linotype"/>
        </w:rPr>
        <w:t xml:space="preserve">we have </w:t>
      </w:r>
      <w:r w:rsidR="005B3CA1" w:rsidRPr="00F40346">
        <w:rPr>
          <w:rFonts w:ascii="Palatino Linotype" w:hAnsi="Palatino Linotype"/>
        </w:rPr>
        <w:t xml:space="preserve">identified and </w:t>
      </w:r>
      <w:r w:rsidR="008C6899" w:rsidRPr="00F40346">
        <w:rPr>
          <w:rFonts w:ascii="Palatino Linotype" w:hAnsi="Palatino Linotype"/>
        </w:rPr>
        <w:t xml:space="preserve">challenged the assumption that skills development </w:t>
      </w:r>
      <w:r w:rsidR="001238B0" w:rsidRPr="00F40346">
        <w:rPr>
          <w:rFonts w:ascii="Palatino Linotype" w:hAnsi="Palatino Linotype"/>
        </w:rPr>
        <w:t>must</w:t>
      </w:r>
      <w:r w:rsidR="008C6899" w:rsidRPr="00F40346">
        <w:rPr>
          <w:rFonts w:ascii="Palatino Linotype" w:hAnsi="Palatino Linotype"/>
        </w:rPr>
        <w:t xml:space="preserve"> be the predominant goal for externships</w:t>
      </w:r>
      <w:r w:rsidR="005B3CA1" w:rsidRPr="00F40346">
        <w:rPr>
          <w:rFonts w:ascii="Palatino Linotype" w:hAnsi="Palatino Linotype"/>
        </w:rPr>
        <w:t>. T</w:t>
      </w:r>
      <w:r w:rsidR="008C6899" w:rsidRPr="00F40346">
        <w:rPr>
          <w:rFonts w:ascii="Palatino Linotype" w:hAnsi="Palatino Linotype"/>
        </w:rPr>
        <w:t xml:space="preserve">his is a common assumption on the part of legal education regulators in our respective home countries, the USA and Australia, as well as in England and Wales. </w:t>
      </w:r>
      <w:r w:rsidR="005B3CA1" w:rsidRPr="00F40346">
        <w:rPr>
          <w:rFonts w:ascii="Palatino Linotype" w:hAnsi="Palatino Linotype"/>
        </w:rPr>
        <w:t xml:space="preserve">Skills development </w:t>
      </w:r>
      <w:r w:rsidR="00394D47" w:rsidRPr="00F40346">
        <w:rPr>
          <w:rFonts w:ascii="Palatino Linotype" w:hAnsi="Palatino Linotype"/>
        </w:rPr>
        <w:t>can, but</w:t>
      </w:r>
      <w:r w:rsidR="005B3CA1" w:rsidRPr="00F40346">
        <w:rPr>
          <w:rFonts w:ascii="Palatino Linotype" w:hAnsi="Palatino Linotype"/>
        </w:rPr>
        <w:t xml:space="preserve"> does not have to</w:t>
      </w:r>
      <w:r w:rsidR="007E6070" w:rsidRPr="00F40346">
        <w:rPr>
          <w:rFonts w:ascii="Palatino Linotype" w:hAnsi="Palatino Linotype"/>
        </w:rPr>
        <w:t>,</w:t>
      </w:r>
      <w:r w:rsidR="005B3CA1" w:rsidRPr="00F40346">
        <w:rPr>
          <w:rFonts w:ascii="Palatino Linotype" w:hAnsi="Palatino Linotype"/>
        </w:rPr>
        <w:t xml:space="preserve"> be a focus for every externship. If it is to be a focus, the targeted skills should be articulated as clearly and specifically as possible. </w:t>
      </w:r>
      <w:r w:rsidR="00C93F17" w:rsidRPr="00F40346">
        <w:rPr>
          <w:rFonts w:ascii="Palatino Linotype" w:hAnsi="Palatino Linotype"/>
        </w:rPr>
        <w:t>Students must learn the theory and methods behind the skills to be used in the placement, either through appropriate pre-requisites, a skills-focused c</w:t>
      </w:r>
      <w:r w:rsidR="00190230" w:rsidRPr="00F40346">
        <w:rPr>
          <w:rFonts w:ascii="Palatino Linotype" w:hAnsi="Palatino Linotype"/>
        </w:rPr>
        <w:t>lassroom component, or a</w:t>
      </w:r>
      <w:r w:rsidR="00C93F17" w:rsidRPr="00F40346">
        <w:rPr>
          <w:rFonts w:ascii="Palatino Linotype" w:hAnsi="Palatino Linotype"/>
        </w:rPr>
        <w:t xml:space="preserve"> clear understanding that the placement supervisor will be able to impart both the relevant theory and methods.  </w:t>
      </w:r>
      <w:r w:rsidR="00190230" w:rsidRPr="00F40346">
        <w:rPr>
          <w:rFonts w:ascii="Palatino Linotype" w:hAnsi="Palatino Linotype"/>
        </w:rPr>
        <w:t xml:space="preserve">Then the reflection component </w:t>
      </w:r>
      <w:r w:rsidR="00DE7254" w:rsidRPr="00F40346">
        <w:rPr>
          <w:rFonts w:ascii="Palatino Linotype" w:hAnsi="Palatino Linotype"/>
        </w:rPr>
        <w:t xml:space="preserve">also </w:t>
      </w:r>
      <w:r w:rsidR="00190230" w:rsidRPr="00F40346">
        <w:rPr>
          <w:rFonts w:ascii="Palatino Linotype" w:hAnsi="Palatino Linotype"/>
        </w:rPr>
        <w:t xml:space="preserve">must be designed to enhance students’ acquisition of the identified skills. </w:t>
      </w:r>
      <w:r w:rsidR="00E500B6" w:rsidRPr="00F40346">
        <w:rPr>
          <w:rFonts w:ascii="Palatino Linotype" w:hAnsi="Palatino Linotype"/>
        </w:rPr>
        <w:t xml:space="preserve">We have explored how this can be done with either the “tailor-made” or the “retail” externship structure. </w:t>
      </w:r>
      <w:r w:rsidR="00C93F17" w:rsidRPr="00F40346">
        <w:rPr>
          <w:rFonts w:ascii="Palatino Linotype" w:hAnsi="Palatino Linotype"/>
        </w:rPr>
        <w:t xml:space="preserve">However, </w:t>
      </w:r>
      <w:r w:rsidR="00C6403E" w:rsidRPr="00F40346">
        <w:rPr>
          <w:rFonts w:ascii="Palatino Linotype" w:hAnsi="Palatino Linotype"/>
        </w:rPr>
        <w:t xml:space="preserve">we believe </w:t>
      </w:r>
      <w:r w:rsidR="00C93F17" w:rsidRPr="00F40346">
        <w:rPr>
          <w:rFonts w:ascii="Palatino Linotype" w:hAnsi="Palatino Linotype"/>
        </w:rPr>
        <w:t>the regulatory focus on skills has obscured</w:t>
      </w:r>
      <w:r w:rsidR="00C6403E" w:rsidRPr="00F40346">
        <w:rPr>
          <w:rFonts w:ascii="Palatino Linotype" w:hAnsi="Palatino Linotype"/>
        </w:rPr>
        <w:t xml:space="preserve"> </w:t>
      </w:r>
      <w:r w:rsidR="00C93F17" w:rsidRPr="00F40346">
        <w:rPr>
          <w:rFonts w:ascii="Palatino Linotype" w:hAnsi="Palatino Linotype"/>
        </w:rPr>
        <w:t xml:space="preserve">the important values that can be acquired through a </w:t>
      </w:r>
      <w:r w:rsidR="00E500B6" w:rsidRPr="00F40346">
        <w:rPr>
          <w:rFonts w:ascii="Palatino Linotype" w:hAnsi="Palatino Linotype"/>
        </w:rPr>
        <w:t>well-</w:t>
      </w:r>
      <w:r w:rsidR="00C93F17" w:rsidRPr="00F40346">
        <w:rPr>
          <w:rFonts w:ascii="Palatino Linotype" w:hAnsi="Palatino Linotype"/>
        </w:rPr>
        <w:t>designed and well</w:t>
      </w:r>
      <w:r w:rsidR="00E500B6" w:rsidRPr="00F40346">
        <w:rPr>
          <w:rFonts w:ascii="Palatino Linotype" w:hAnsi="Palatino Linotype"/>
        </w:rPr>
        <w:t>-</w:t>
      </w:r>
      <w:r w:rsidR="00C93F17" w:rsidRPr="00F40346">
        <w:rPr>
          <w:rFonts w:ascii="Palatino Linotype" w:hAnsi="Palatino Linotype"/>
        </w:rPr>
        <w:t xml:space="preserve">taught externship.   </w:t>
      </w:r>
      <w:r w:rsidR="005B3CA1" w:rsidRPr="00F40346">
        <w:rPr>
          <w:rFonts w:ascii="Palatino Linotype" w:hAnsi="Palatino Linotype"/>
        </w:rPr>
        <w:t xml:space="preserve"> </w:t>
      </w:r>
    </w:p>
    <w:p w14:paraId="35204EBC" w14:textId="4F9B2D95" w:rsidR="00832206" w:rsidRPr="00F40346" w:rsidRDefault="00C34C22" w:rsidP="00F40346">
      <w:pPr>
        <w:spacing w:line="480" w:lineRule="auto"/>
        <w:jc w:val="both"/>
        <w:rPr>
          <w:rFonts w:ascii="Palatino Linotype" w:hAnsi="Palatino Linotype"/>
          <w:b/>
        </w:rPr>
      </w:pPr>
      <w:r w:rsidRPr="00F40346">
        <w:rPr>
          <w:rFonts w:ascii="Palatino Linotype" w:hAnsi="Palatino Linotype"/>
          <w:lang w:val="en-AU"/>
        </w:rPr>
        <w:t xml:space="preserve">Commentators have identified both skills and professionalism as lacking in legal education. </w:t>
      </w:r>
      <w:r w:rsidR="00DF1F94" w:rsidRPr="00F40346">
        <w:rPr>
          <w:rFonts w:ascii="Palatino Linotype" w:hAnsi="Palatino Linotype"/>
          <w:lang w:val="en-AU"/>
        </w:rPr>
        <w:t xml:space="preserve">Externships have special advantages in terms of their suitability for development of professional identity and </w:t>
      </w:r>
      <w:r w:rsidR="00E500B6" w:rsidRPr="00F40346">
        <w:rPr>
          <w:rFonts w:ascii="Palatino Linotype" w:hAnsi="Palatino Linotype"/>
          <w:lang w:val="en-AU"/>
        </w:rPr>
        <w:t xml:space="preserve">for </w:t>
      </w:r>
      <w:r w:rsidR="00DF1F94" w:rsidRPr="00F40346">
        <w:rPr>
          <w:rFonts w:ascii="Palatino Linotype" w:hAnsi="Palatino Linotype"/>
          <w:lang w:val="en-AU"/>
        </w:rPr>
        <w:t>institutional critique</w:t>
      </w:r>
      <w:r w:rsidRPr="00F40346">
        <w:rPr>
          <w:rFonts w:ascii="Palatino Linotype" w:hAnsi="Palatino Linotype"/>
          <w:lang w:val="en-AU"/>
        </w:rPr>
        <w:t xml:space="preserve">--the micro and the </w:t>
      </w:r>
      <w:r w:rsidRPr="00F40346">
        <w:rPr>
          <w:rFonts w:ascii="Palatino Linotype" w:hAnsi="Palatino Linotype"/>
          <w:lang w:val="en-AU"/>
        </w:rPr>
        <w:lastRenderedPageBreak/>
        <w:t>macro aspects of professionalism</w:t>
      </w:r>
      <w:r w:rsidR="00DF1F94" w:rsidRPr="00F40346">
        <w:rPr>
          <w:rFonts w:ascii="Palatino Linotype" w:hAnsi="Palatino Linotype"/>
          <w:lang w:val="en-AU"/>
        </w:rPr>
        <w:t xml:space="preserve">. By definition, </w:t>
      </w:r>
      <w:r w:rsidRPr="00F40346">
        <w:rPr>
          <w:rFonts w:ascii="Palatino Linotype" w:hAnsi="Palatino Linotype"/>
          <w:lang w:val="en-AU"/>
        </w:rPr>
        <w:t>externships</w:t>
      </w:r>
      <w:r w:rsidR="00DF1F94" w:rsidRPr="00F40346">
        <w:rPr>
          <w:rFonts w:ascii="Palatino Linotype" w:hAnsi="Palatino Linotype"/>
          <w:lang w:val="en-AU"/>
        </w:rPr>
        <w:t xml:space="preserve"> are in the “real world</w:t>
      </w:r>
      <w:r w:rsidRPr="00F40346">
        <w:rPr>
          <w:rFonts w:ascii="Palatino Linotype" w:hAnsi="Palatino Linotype"/>
          <w:lang w:val="en-AU"/>
        </w:rPr>
        <w:t>. Students are able to try out a professional identity and to study the ways in which their supervisors enact the lawyering role.  This provides fruitful material for reflection which the faculty instructor should facilitate.  T</w:t>
      </w:r>
      <w:r w:rsidR="00DF1F94" w:rsidRPr="00F40346">
        <w:rPr>
          <w:rFonts w:ascii="Palatino Linotype" w:hAnsi="Palatino Linotype"/>
          <w:lang w:val="en-AU"/>
        </w:rPr>
        <w:t xml:space="preserve">he emotional and analytical distance between the teacher at the law school and the day-to-day supervisor </w:t>
      </w:r>
      <w:r w:rsidR="00DE7254" w:rsidRPr="00F40346">
        <w:rPr>
          <w:rFonts w:ascii="Palatino Linotype" w:hAnsi="Palatino Linotype"/>
          <w:lang w:val="en-AU"/>
        </w:rPr>
        <w:t xml:space="preserve">also </w:t>
      </w:r>
      <w:r w:rsidR="008C6899" w:rsidRPr="00F40346">
        <w:rPr>
          <w:rFonts w:ascii="Palatino Linotype" w:hAnsi="Palatino Linotype"/>
          <w:lang w:val="en-AU"/>
        </w:rPr>
        <w:t>should</w:t>
      </w:r>
      <w:r w:rsidRPr="00F40346">
        <w:rPr>
          <w:rFonts w:ascii="Palatino Linotype" w:hAnsi="Palatino Linotype"/>
          <w:lang w:val="en-AU"/>
        </w:rPr>
        <w:t xml:space="preserve"> </w:t>
      </w:r>
      <w:r w:rsidR="008C6899" w:rsidRPr="00F40346">
        <w:rPr>
          <w:rFonts w:ascii="Palatino Linotype" w:hAnsi="Palatino Linotype"/>
          <w:lang w:val="en-AU"/>
        </w:rPr>
        <w:t xml:space="preserve">facilitate critical inquiry into the institutions </w:t>
      </w:r>
      <w:r w:rsidR="00E05FE4" w:rsidRPr="00F40346">
        <w:rPr>
          <w:rFonts w:ascii="Palatino Linotype" w:hAnsi="Palatino Linotype"/>
          <w:lang w:val="en-AU"/>
        </w:rPr>
        <w:t>the student encounters</w:t>
      </w:r>
      <w:r w:rsidR="008C6899" w:rsidRPr="00F40346">
        <w:rPr>
          <w:rFonts w:ascii="Palatino Linotype" w:hAnsi="Palatino Linotype"/>
          <w:lang w:val="en-AU"/>
        </w:rPr>
        <w:t>.</w:t>
      </w:r>
      <w:r w:rsidRPr="00F40346">
        <w:rPr>
          <w:rFonts w:ascii="Palatino Linotype" w:hAnsi="Palatino Linotype"/>
          <w:lang w:val="en-AU"/>
        </w:rPr>
        <w:t xml:space="preserve"> This </w:t>
      </w:r>
      <w:r w:rsidR="00E0531F" w:rsidRPr="00F40346">
        <w:rPr>
          <w:rFonts w:ascii="Palatino Linotype" w:hAnsi="Palatino Linotype"/>
          <w:lang w:val="en-AU"/>
        </w:rPr>
        <w:t>inquiry may include</w:t>
      </w:r>
      <w:r w:rsidRPr="00F40346">
        <w:rPr>
          <w:rFonts w:ascii="Palatino Linotype" w:hAnsi="Palatino Linotype"/>
          <w:lang w:val="en-AU"/>
        </w:rPr>
        <w:t xml:space="preserve"> social justice concerns and explore how the lawyer as public citizen might address these problems. </w:t>
      </w:r>
      <w:r w:rsidR="00DF1F94" w:rsidRPr="00F40346">
        <w:rPr>
          <w:rFonts w:ascii="Palatino Linotype" w:hAnsi="Palatino Linotype"/>
          <w:lang w:val="en-AU"/>
        </w:rPr>
        <w:t>Th</w:t>
      </w:r>
      <w:r w:rsidR="005237C6" w:rsidRPr="00F40346">
        <w:rPr>
          <w:rFonts w:ascii="Palatino Linotype" w:hAnsi="Palatino Linotype"/>
          <w:lang w:val="en-AU"/>
        </w:rPr>
        <w:t>is</w:t>
      </w:r>
      <w:r w:rsidR="00DF1F94" w:rsidRPr="00F40346">
        <w:rPr>
          <w:rFonts w:ascii="Palatino Linotype" w:hAnsi="Palatino Linotype"/>
          <w:lang w:val="en-AU"/>
        </w:rPr>
        <w:t xml:space="preserve"> alternative frame</w:t>
      </w:r>
      <w:r w:rsidR="00E0531F" w:rsidRPr="00F40346">
        <w:rPr>
          <w:rFonts w:ascii="Palatino Linotype" w:hAnsi="Palatino Linotype"/>
          <w:lang w:val="en-AU"/>
        </w:rPr>
        <w:t xml:space="preserve"> of professionalism</w:t>
      </w:r>
      <w:r w:rsidR="00C6403E" w:rsidRPr="00F40346">
        <w:rPr>
          <w:rFonts w:ascii="Palatino Linotype" w:hAnsi="Palatino Linotype"/>
          <w:szCs w:val="24"/>
        </w:rPr>
        <w:t>—</w:t>
      </w:r>
      <w:r w:rsidR="00E0531F" w:rsidRPr="00F40346">
        <w:rPr>
          <w:rFonts w:ascii="Palatino Linotype" w:hAnsi="Palatino Linotype"/>
          <w:lang w:val="en-AU"/>
        </w:rPr>
        <w:t>both</w:t>
      </w:r>
      <w:r w:rsidR="000E4C69" w:rsidRPr="00F40346">
        <w:rPr>
          <w:rFonts w:ascii="Palatino Linotype" w:hAnsi="Palatino Linotype"/>
          <w:lang w:val="en-AU"/>
        </w:rPr>
        <w:t xml:space="preserve"> </w:t>
      </w:r>
      <w:r w:rsidR="005237C6" w:rsidRPr="00F40346">
        <w:rPr>
          <w:rFonts w:ascii="Palatino Linotype" w:hAnsi="Palatino Linotype"/>
          <w:lang w:val="en-AU"/>
        </w:rPr>
        <w:t xml:space="preserve">the </w:t>
      </w:r>
      <w:r w:rsidR="00E0531F" w:rsidRPr="00F40346">
        <w:rPr>
          <w:rFonts w:ascii="Palatino Linotype" w:hAnsi="Palatino Linotype"/>
          <w:lang w:val="en-AU"/>
        </w:rPr>
        <w:t xml:space="preserve">micro personal identity, and </w:t>
      </w:r>
      <w:r w:rsidR="005237C6" w:rsidRPr="00F40346">
        <w:rPr>
          <w:rFonts w:ascii="Palatino Linotype" w:hAnsi="Palatino Linotype"/>
          <w:lang w:val="en-AU"/>
        </w:rPr>
        <w:t xml:space="preserve">the </w:t>
      </w:r>
      <w:r w:rsidR="00E0531F" w:rsidRPr="00F40346">
        <w:rPr>
          <w:rFonts w:ascii="Palatino Linotype" w:hAnsi="Palatino Linotype"/>
          <w:lang w:val="en-AU"/>
        </w:rPr>
        <w:t>macro institutional critique</w:t>
      </w:r>
      <w:r w:rsidR="005237C6" w:rsidRPr="00F40346">
        <w:rPr>
          <w:rFonts w:ascii="Palatino Linotype" w:hAnsi="Palatino Linotype"/>
          <w:lang w:val="en-AU"/>
        </w:rPr>
        <w:t xml:space="preserve"> aspects of professionalism</w:t>
      </w:r>
      <w:r w:rsidR="00C6403E" w:rsidRPr="00F40346">
        <w:rPr>
          <w:rFonts w:ascii="Palatino Linotype" w:hAnsi="Palatino Linotype"/>
          <w:szCs w:val="24"/>
        </w:rPr>
        <w:t>—</w:t>
      </w:r>
      <w:r w:rsidR="00E0531F" w:rsidRPr="00F40346">
        <w:rPr>
          <w:rFonts w:ascii="Palatino Linotype" w:hAnsi="Palatino Linotype"/>
          <w:lang w:val="en-AU"/>
        </w:rPr>
        <w:t xml:space="preserve"> is a rich and important goal, we argue, that extern programs ought to seek. </w:t>
      </w:r>
      <w:r w:rsidR="00DF1F94" w:rsidRPr="00F40346">
        <w:rPr>
          <w:rFonts w:ascii="Palatino Linotype" w:hAnsi="Palatino Linotype"/>
          <w:lang w:val="en-AU"/>
        </w:rPr>
        <w:t xml:space="preserve"> </w:t>
      </w:r>
    </w:p>
    <w:sectPr w:rsidR="00832206" w:rsidRPr="00F40346" w:rsidSect="00857287">
      <w:headerReference w:type="default" r:id="rId8"/>
      <w:footerReference w:type="default" r:id="rId9"/>
      <w:endnotePr>
        <w:numFmt w:val="decimal"/>
      </w:endnotePr>
      <w:pgSz w:w="11906" w:h="16838"/>
      <w:pgMar w:top="1440" w:right="1440" w:bottom="1440" w:left="1440" w:header="708" w:footer="708" w:gutter="0"/>
      <w:pgNumType w:start="3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E572A" w16cid:durableId="1D19CE1D"/>
  <w16cid:commentId w16cid:paraId="00BC9E44" w16cid:durableId="1D408BD2"/>
  <w16cid:commentId w16cid:paraId="51B3A030" w16cid:durableId="1D19C809"/>
  <w16cid:commentId w16cid:paraId="5CF258E7" w16cid:durableId="1D408C01"/>
  <w16cid:commentId w16cid:paraId="4C9295D2" w16cid:durableId="1D1DCA57"/>
  <w16cid:commentId w16cid:paraId="54353FCE" w16cid:durableId="1D1DCAC0"/>
  <w16cid:commentId w16cid:paraId="4AA6D301" w16cid:durableId="1D408C39"/>
  <w16cid:commentId w16cid:paraId="2BE9EDE8" w16cid:durableId="1D1DCB77"/>
  <w16cid:commentId w16cid:paraId="4CC78F4E" w16cid:durableId="1D1DD0C0"/>
  <w16cid:commentId w16cid:paraId="5F5FE9EC" w16cid:durableId="1D408E0F"/>
  <w16cid:commentId w16cid:paraId="01FC4780" w16cid:durableId="1D1CE177"/>
  <w16cid:commentId w16cid:paraId="59599FDE" w16cid:durableId="1D2365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691F9" w14:textId="77777777" w:rsidR="00B922CF" w:rsidRDefault="00B922CF" w:rsidP="00FC2FE2">
      <w:r>
        <w:separator/>
      </w:r>
    </w:p>
  </w:endnote>
  <w:endnote w:type="continuationSeparator" w:id="0">
    <w:p w14:paraId="380D08AB" w14:textId="77777777" w:rsidR="00B922CF" w:rsidRDefault="00B922CF" w:rsidP="00FC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035126"/>
      <w:docPartObj>
        <w:docPartGallery w:val="Page Numbers (Bottom of Page)"/>
        <w:docPartUnique/>
      </w:docPartObj>
    </w:sdtPr>
    <w:sdtEndPr>
      <w:rPr>
        <w:noProof/>
        <w:sz w:val="22"/>
      </w:rPr>
    </w:sdtEndPr>
    <w:sdtContent>
      <w:p w14:paraId="57D119E3" w14:textId="0EA67F07" w:rsidR="00196588" w:rsidRPr="0021624C" w:rsidRDefault="00196588">
        <w:pPr>
          <w:pStyle w:val="Footer"/>
          <w:jc w:val="center"/>
          <w:rPr>
            <w:sz w:val="22"/>
          </w:rPr>
        </w:pPr>
        <w:r w:rsidRPr="0021624C">
          <w:rPr>
            <w:sz w:val="22"/>
          </w:rPr>
          <w:fldChar w:fldCharType="begin"/>
        </w:r>
        <w:r w:rsidRPr="0021624C">
          <w:rPr>
            <w:sz w:val="22"/>
          </w:rPr>
          <w:instrText xml:space="preserve"> PAGE   \* MERGEFORMAT </w:instrText>
        </w:r>
        <w:r w:rsidRPr="0021624C">
          <w:rPr>
            <w:sz w:val="22"/>
          </w:rPr>
          <w:fldChar w:fldCharType="separate"/>
        </w:r>
        <w:r w:rsidR="00857287">
          <w:rPr>
            <w:noProof/>
            <w:sz w:val="22"/>
          </w:rPr>
          <w:t>31</w:t>
        </w:r>
        <w:r w:rsidRPr="0021624C">
          <w:rPr>
            <w:noProof/>
            <w:sz w:val="22"/>
          </w:rPr>
          <w:fldChar w:fldCharType="end"/>
        </w:r>
      </w:p>
    </w:sdtContent>
  </w:sdt>
  <w:p w14:paraId="15BC6BDC" w14:textId="77777777" w:rsidR="00196588" w:rsidRDefault="0019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A6470" w14:textId="77777777" w:rsidR="00B922CF" w:rsidRDefault="00B922CF" w:rsidP="00FC2FE2">
      <w:r>
        <w:separator/>
      </w:r>
    </w:p>
  </w:footnote>
  <w:footnote w:type="continuationSeparator" w:id="0">
    <w:p w14:paraId="4E67A092" w14:textId="77777777" w:rsidR="00B922CF" w:rsidRDefault="00B922CF" w:rsidP="00FC2FE2">
      <w:r>
        <w:continuationSeparator/>
      </w:r>
    </w:p>
  </w:footnote>
  <w:footnote w:id="1">
    <w:p w14:paraId="4AF4B95B" w14:textId="2BAB2DD7" w:rsidR="00F5068D" w:rsidRPr="00F40346" w:rsidRDefault="00F5068D">
      <w:pPr>
        <w:pStyle w:val="FootnoteText"/>
        <w:rPr>
          <w:rFonts w:ascii="Palatino Linotype" w:hAnsi="Palatino Linotype"/>
          <w:lang w:val="en-US"/>
        </w:rPr>
      </w:pPr>
      <w:r w:rsidRPr="00F40346">
        <w:rPr>
          <w:rStyle w:val="FootnoteReference"/>
          <w:rFonts w:ascii="Palatino Linotype" w:hAnsi="Palatino Linotype"/>
        </w:rPr>
        <w:t>*</w:t>
      </w:r>
      <w:r w:rsidRPr="00F40346">
        <w:rPr>
          <w:rFonts w:ascii="Palatino Linotype" w:hAnsi="Palatino Linotype"/>
        </w:rPr>
        <w:t xml:space="preserve"> </w:t>
      </w:r>
      <w:r w:rsidR="0044415B" w:rsidRPr="00F40346">
        <w:rPr>
          <w:rFonts w:ascii="Palatino Linotype" w:hAnsi="Palatino Linotype"/>
          <w:lang w:val="en-US"/>
        </w:rPr>
        <w:t>James</w:t>
      </w:r>
      <w:r w:rsidR="00657349" w:rsidRPr="00F40346">
        <w:rPr>
          <w:rFonts w:ascii="Palatino Linotype" w:hAnsi="Palatino Linotype"/>
          <w:lang w:val="en-US"/>
        </w:rPr>
        <w:t xml:space="preserve"> T. Jensen Professor of Law and </w:t>
      </w:r>
      <w:r w:rsidR="0044415B" w:rsidRPr="00F40346">
        <w:rPr>
          <w:rFonts w:ascii="Palatino Linotype" w:hAnsi="Palatino Linotype"/>
          <w:lang w:val="en-US"/>
        </w:rPr>
        <w:t>Clinical Program Director, S.J. Quinney College of Law, University of Utah.</w:t>
      </w:r>
    </w:p>
  </w:footnote>
  <w:footnote w:id="2">
    <w:p w14:paraId="00804FFF" w14:textId="7B185211" w:rsidR="0044415B" w:rsidRPr="00F40346" w:rsidRDefault="0044415B" w:rsidP="0044415B">
      <w:pPr>
        <w:rPr>
          <w:rFonts w:ascii="Palatino Linotype" w:eastAsia="Times New Roman" w:hAnsi="Palatino Linotype" w:cs="Times New Roman"/>
          <w:color w:val="000000"/>
          <w:sz w:val="20"/>
          <w:szCs w:val="20"/>
        </w:rPr>
      </w:pPr>
      <w:r w:rsidRPr="00F40346">
        <w:rPr>
          <w:rStyle w:val="FootnoteReference"/>
          <w:rFonts w:ascii="Palatino Linotype" w:hAnsi="Palatino Linotype"/>
          <w:sz w:val="20"/>
          <w:szCs w:val="20"/>
        </w:rPr>
        <w:t>**</w:t>
      </w:r>
      <w:r w:rsidRPr="00F40346">
        <w:rPr>
          <w:rFonts w:ascii="Palatino Linotype" w:hAnsi="Palatino Linotype"/>
          <w:sz w:val="20"/>
          <w:szCs w:val="20"/>
        </w:rPr>
        <w:t xml:space="preserve"> </w:t>
      </w:r>
      <w:r w:rsidRPr="00F40346">
        <w:rPr>
          <w:rFonts w:ascii="Palatino Linotype" w:eastAsia="Times New Roman" w:hAnsi="Palatino Linotype" w:cs="Times New Roman"/>
          <w:color w:val="000000"/>
          <w:sz w:val="20"/>
          <w:szCs w:val="20"/>
        </w:rPr>
        <w:t>Professor of Law and Director, Monash Oakleigh Legal Service, Monash University.</w:t>
      </w:r>
    </w:p>
  </w:footnote>
  <w:footnote w:id="3">
    <w:p w14:paraId="44AC9445" w14:textId="06C2D2A9" w:rsidR="0044415B" w:rsidRPr="00F40346" w:rsidRDefault="0044415B">
      <w:pPr>
        <w:pStyle w:val="FootnoteText"/>
        <w:rPr>
          <w:rFonts w:ascii="Palatino Linotype" w:hAnsi="Palatino Linotype"/>
          <w:lang w:val="en-US"/>
        </w:rPr>
      </w:pPr>
      <w:r w:rsidRPr="00F40346">
        <w:rPr>
          <w:rStyle w:val="FootnoteReference"/>
          <w:rFonts w:ascii="Palatino Linotype" w:hAnsi="Palatino Linotype"/>
        </w:rPr>
        <w:t>***</w:t>
      </w:r>
      <w:r w:rsidRPr="00F40346">
        <w:rPr>
          <w:rFonts w:ascii="Palatino Linotype" w:hAnsi="Palatino Linotype"/>
        </w:rPr>
        <w:t xml:space="preserve"> P</w:t>
      </w:r>
      <w:r w:rsidRPr="00F40346">
        <w:rPr>
          <w:rFonts w:ascii="Palatino Linotype" w:hAnsi="Palatino Linotype" w:cs="Times New Roman"/>
          <w:color w:val="000000"/>
        </w:rPr>
        <w:t>rofessor Emerita of Law, Columbus School of Law, The Catholic University of America.    </w:t>
      </w:r>
    </w:p>
  </w:footnote>
  <w:footnote w:id="4">
    <w:p w14:paraId="2F7DD8FB" w14:textId="16A53D88" w:rsidR="0044415B" w:rsidRPr="00F40346" w:rsidRDefault="0044415B" w:rsidP="00EC6C40">
      <w:pPr>
        <w:rPr>
          <w:rFonts w:ascii="Palatino Linotype" w:eastAsia="Times New Roman" w:hAnsi="Palatino Linotype" w:cs="Times New Roman"/>
          <w:sz w:val="20"/>
          <w:szCs w:val="20"/>
        </w:rPr>
      </w:pPr>
      <w:r w:rsidRPr="00F40346">
        <w:rPr>
          <w:rStyle w:val="FootnoteReference"/>
          <w:rFonts w:ascii="Palatino Linotype" w:hAnsi="Palatino Linotype"/>
          <w:sz w:val="20"/>
          <w:szCs w:val="20"/>
        </w:rPr>
        <w:t>+</w:t>
      </w:r>
      <w:r w:rsidRPr="00F40346">
        <w:rPr>
          <w:rFonts w:ascii="Palatino Linotype" w:hAnsi="Palatino Linotype"/>
          <w:sz w:val="20"/>
          <w:szCs w:val="20"/>
        </w:rPr>
        <w:t xml:space="preserve"> </w:t>
      </w:r>
      <w:r w:rsidR="00EC6C40" w:rsidRPr="00F40346">
        <w:rPr>
          <w:rFonts w:ascii="Palatino Linotype" w:eastAsia="Times New Roman" w:hAnsi="Palatino Linotype" w:cs="Times New Roman"/>
          <w:color w:val="000000"/>
          <w:sz w:val="20"/>
          <w:szCs w:val="20"/>
        </w:rPr>
        <w:t>The authors would like to thank Stephen Young, Elizabeth Edinger, and Emily Black, reference librarians at Columbus School of Law of The Catholic University of America (CUA), for their invaluable research assistance</w:t>
      </w:r>
      <w:r w:rsidR="003B5079" w:rsidRPr="00F40346">
        <w:rPr>
          <w:rFonts w:ascii="Palatino Linotype" w:eastAsia="Times New Roman" w:hAnsi="Palatino Linotype" w:cs="Times New Roman"/>
          <w:color w:val="000000"/>
          <w:sz w:val="20"/>
          <w:szCs w:val="20"/>
        </w:rPr>
        <w:t xml:space="preserve"> and </w:t>
      </w:r>
      <w:r w:rsidR="00EC6C40" w:rsidRPr="00F40346">
        <w:rPr>
          <w:rFonts w:ascii="Palatino Linotype" w:eastAsia="Times New Roman" w:hAnsi="Palatino Linotype" w:cs="Times New Roman"/>
          <w:color w:val="000000"/>
          <w:sz w:val="20"/>
          <w:szCs w:val="20"/>
        </w:rPr>
        <w:t>the Albert and Elaine Borchard Fund for Faculty Excellence.</w:t>
      </w:r>
      <w:r w:rsidR="00F15534" w:rsidRPr="00F40346">
        <w:rPr>
          <w:rFonts w:ascii="Palatino Linotype" w:eastAsia="Times New Roman" w:hAnsi="Palatino Linotype" w:cs="Times New Roman"/>
          <w:color w:val="000000"/>
          <w:sz w:val="20"/>
          <w:szCs w:val="20"/>
        </w:rPr>
        <w:t xml:space="preserve"> </w:t>
      </w:r>
      <w:r w:rsidR="003B5079" w:rsidRPr="00F40346">
        <w:rPr>
          <w:rFonts w:ascii="Palatino Linotype" w:eastAsia="Times New Roman" w:hAnsi="Palatino Linotype" w:cs="Times New Roman"/>
          <w:color w:val="000000"/>
          <w:sz w:val="20"/>
          <w:szCs w:val="20"/>
        </w:rPr>
        <w:t>The authors were privileged to develop the ideas presented here through presentations at The International Journal of Clinical Legal Education and The Association of Canadian Clinical Legal Education Conference:  The Risks and Rewards of Clinic, joined by Neil Gold and Martina Cartwright at the University of Toronto in July, 2016; at the American Association of Law Schools 39</w:t>
      </w:r>
      <w:r w:rsidR="003B5079" w:rsidRPr="00F40346">
        <w:rPr>
          <w:rFonts w:ascii="Palatino Linotype" w:eastAsia="Times New Roman" w:hAnsi="Palatino Linotype" w:cs="Times New Roman"/>
          <w:color w:val="000000"/>
          <w:sz w:val="20"/>
          <w:szCs w:val="20"/>
          <w:vertAlign w:val="superscript"/>
        </w:rPr>
        <w:t>th</w:t>
      </w:r>
      <w:r w:rsidR="003B5079" w:rsidRPr="00F40346">
        <w:rPr>
          <w:rFonts w:ascii="Palatino Linotype" w:eastAsia="Times New Roman" w:hAnsi="Palatino Linotype" w:cs="Times New Roman"/>
          <w:color w:val="000000"/>
          <w:sz w:val="20"/>
          <w:szCs w:val="20"/>
        </w:rPr>
        <w:t xml:space="preserve"> Annual Conference on Clinical Legal Education, joined by Erika Curran, Elizabeth McCormick, Melissa Swain and Martina Cartwright in Baltimore, Maryland in May, 2016; and at Externship8  Conference, joined by </w:t>
      </w:r>
      <w:r w:rsidR="00657349" w:rsidRPr="00F40346">
        <w:rPr>
          <w:rFonts w:ascii="Palatino Linotype" w:eastAsia="Times New Roman" w:hAnsi="Palatino Linotype" w:cs="Times New Roman"/>
          <w:color w:val="000000"/>
          <w:sz w:val="20"/>
          <w:szCs w:val="20"/>
        </w:rPr>
        <w:t xml:space="preserve">Fred Klein, </w:t>
      </w:r>
      <w:r w:rsidR="003B5079" w:rsidRPr="00F40346">
        <w:rPr>
          <w:rFonts w:ascii="Palatino Linotype" w:eastAsia="Times New Roman" w:hAnsi="Palatino Linotype" w:cs="Times New Roman"/>
          <w:color w:val="000000"/>
          <w:sz w:val="20"/>
          <w:szCs w:val="20"/>
        </w:rPr>
        <w:t>Inga Laurent and Phyllis Kotey in Cleveland, Ohio in March, 2016; the authors would like to thank the sponsors of these conferences an</w:t>
      </w:r>
      <w:bookmarkStart w:id="0" w:name="_GoBack"/>
      <w:bookmarkEnd w:id="0"/>
      <w:r w:rsidR="003B5079" w:rsidRPr="00F40346">
        <w:rPr>
          <w:rFonts w:ascii="Palatino Linotype" w:eastAsia="Times New Roman" w:hAnsi="Palatino Linotype" w:cs="Times New Roman"/>
          <w:color w:val="000000"/>
          <w:sz w:val="20"/>
          <w:szCs w:val="20"/>
        </w:rPr>
        <w:t>d their co-presenters.</w:t>
      </w:r>
    </w:p>
  </w:footnote>
  <w:footnote w:id="5">
    <w:p w14:paraId="075C0B96" w14:textId="4EA2D2EA" w:rsidR="00196588" w:rsidRPr="00F40346" w:rsidRDefault="00196588" w:rsidP="00A5616F">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rPr>
        <w:t>The Global Clinical Movement: Educating Lawyers for Social Justice,</w:t>
      </w:r>
      <w:r w:rsidRPr="00F40346">
        <w:rPr>
          <w:rFonts w:ascii="Palatino Linotype" w:hAnsi="Palatino Linotype" w:cs="Times New Roman"/>
        </w:rPr>
        <w:t xml:space="preserve"> Part II (Frank S. Bloch, ed. 2011); Jeff Giddings, </w:t>
      </w:r>
      <w:r w:rsidRPr="00F40346">
        <w:rPr>
          <w:rFonts w:ascii="Palatino Linotype" w:hAnsi="Palatino Linotype" w:cs="Times New Roman"/>
          <w:smallCaps/>
        </w:rPr>
        <w:t>Promoting Justice Through Clinical Legal Education</w:t>
      </w:r>
      <w:r w:rsidRPr="00F40346">
        <w:rPr>
          <w:rFonts w:ascii="Palatino Linotype" w:hAnsi="Palatino Linotype" w:cs="Times New Roman"/>
        </w:rPr>
        <w:t>, (2013).</w:t>
      </w:r>
    </w:p>
  </w:footnote>
  <w:footnote w:id="6">
    <w:p w14:paraId="71353090" w14:textId="609CD1AD" w:rsidR="00196588" w:rsidRPr="00F40346" w:rsidRDefault="00196588" w:rsidP="00A5616F">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rPr>
        <w:t xml:space="preserve"> </w:t>
      </w:r>
      <w:r w:rsidRPr="00F40346">
        <w:rPr>
          <w:rFonts w:ascii="Palatino Linotype" w:hAnsi="Palatino Linotype" w:cs="Times New Roman"/>
          <w:smallCaps/>
          <w:lang w:val="en-US"/>
        </w:rPr>
        <w:t>Learning from Practice:  A Text for Experiential Legal Education 685</w:t>
      </w:r>
      <w:r w:rsidRPr="00F40346">
        <w:rPr>
          <w:rFonts w:ascii="Palatino Linotype" w:hAnsi="Palatino Linotype" w:cs="Times New Roman"/>
          <w:lang w:val="en-US"/>
        </w:rPr>
        <w:t xml:space="preserve"> (Leah Wortham, Alexander Scherr, Nancy Maurer, &amp; Susan L. Brooks, eds. 3</w:t>
      </w:r>
      <w:r w:rsidRPr="00F40346">
        <w:rPr>
          <w:rFonts w:ascii="Palatino Linotype" w:hAnsi="Palatino Linotype" w:cs="Times New Roman"/>
          <w:vertAlign w:val="superscript"/>
          <w:lang w:val="en-US"/>
        </w:rPr>
        <w:t>rd</w:t>
      </w:r>
      <w:r w:rsidRPr="00F40346">
        <w:rPr>
          <w:rFonts w:ascii="Palatino Linotype" w:hAnsi="Palatino Linotype" w:cs="Times New Roman"/>
          <w:lang w:val="en-US"/>
        </w:rPr>
        <w:t xml:space="preserve"> ed., 2016) [hereinafter LFP</w:t>
      </w:r>
      <w:r w:rsidRPr="00F40346">
        <w:rPr>
          <w:rFonts w:ascii="Palatino Linotype" w:hAnsi="Palatino Linotype" w:cs="Times New Roman"/>
          <w:smallCaps/>
          <w:lang w:val="en-US"/>
        </w:rPr>
        <w:t>]</w:t>
      </w:r>
      <w:r w:rsidRPr="00F40346">
        <w:rPr>
          <w:rFonts w:ascii="Palatino Linotype" w:hAnsi="Palatino Linotype" w:cs="Times New Roman"/>
          <w:lang w:val="en-US"/>
        </w:rPr>
        <w:t xml:space="preserve">. </w:t>
      </w:r>
    </w:p>
  </w:footnote>
  <w:footnote w:id="7">
    <w:p w14:paraId="2094F18F" w14:textId="4E5D4A77" w:rsidR="00196588" w:rsidRPr="00F40346" w:rsidRDefault="00196588" w:rsidP="00A5616F">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color w:val="222222"/>
        </w:rPr>
        <w:t xml:space="preserve"> Robert Condlin, </w:t>
      </w:r>
      <w:r w:rsidRPr="00F40346">
        <w:rPr>
          <w:rFonts w:ascii="Palatino Linotype" w:hAnsi="Palatino Linotype" w:cs="Times New Roman"/>
          <w:i/>
          <w:iCs/>
          <w:color w:val="222222"/>
        </w:rPr>
        <w:t>‘Tastes Great, Less Filling’: The Law School Clinic and Political Critique</w:t>
      </w:r>
      <w:r w:rsidRPr="00F40346">
        <w:rPr>
          <w:rFonts w:ascii="Palatino Linotype" w:hAnsi="Palatino Linotype" w:cs="Times New Roman"/>
          <w:iCs/>
          <w:color w:val="222222"/>
        </w:rPr>
        <w:t>,</w:t>
      </w:r>
      <w:r w:rsidRPr="00F40346">
        <w:rPr>
          <w:rFonts w:ascii="Palatino Linotype" w:hAnsi="Palatino Linotype" w:cs="Times New Roman"/>
          <w:color w:val="222222"/>
        </w:rPr>
        <w:t> </w:t>
      </w:r>
      <w:r w:rsidRPr="00F40346">
        <w:rPr>
          <w:rFonts w:ascii="Palatino Linotype" w:hAnsi="Palatino Linotype" w:cs="Times New Roman"/>
          <w:iCs/>
          <w:smallCaps/>
          <w:color w:val="222222"/>
        </w:rPr>
        <w:t>J. Legal Ed.</w:t>
      </w:r>
      <w:r w:rsidRPr="00F40346">
        <w:rPr>
          <w:rFonts w:ascii="Palatino Linotype" w:hAnsi="Palatino Linotype" w:cs="Times New Roman"/>
          <w:i/>
          <w:iCs/>
          <w:color w:val="222222"/>
        </w:rPr>
        <w:t> </w:t>
      </w:r>
      <w:r w:rsidRPr="00F40346">
        <w:rPr>
          <w:rFonts w:ascii="Palatino Linotype" w:hAnsi="Palatino Linotype" w:cs="Times New Roman"/>
          <w:color w:val="222222"/>
        </w:rPr>
        <w:t>45 (1986); David Givelber et al., </w:t>
      </w:r>
      <w:r w:rsidRPr="00F40346">
        <w:rPr>
          <w:rFonts w:ascii="Palatino Linotype" w:hAnsi="Palatino Linotype" w:cs="Times New Roman"/>
          <w:i/>
          <w:iCs/>
          <w:color w:val="222222"/>
        </w:rPr>
        <w:t>Learning Through Work: An Empirical Study of Legal Internships</w:t>
      </w:r>
      <w:r w:rsidRPr="00F40346">
        <w:rPr>
          <w:rFonts w:ascii="Palatino Linotype" w:hAnsi="Palatino Linotype" w:cs="Times New Roman"/>
          <w:color w:val="222222"/>
        </w:rPr>
        <w:t>, 45 </w:t>
      </w:r>
      <w:r w:rsidRPr="00F40346">
        <w:rPr>
          <w:rFonts w:ascii="Palatino Linotype" w:hAnsi="Palatino Linotype" w:cs="Times New Roman"/>
          <w:iCs/>
          <w:smallCaps/>
          <w:color w:val="222222"/>
        </w:rPr>
        <w:t>J. Legal Ed.</w:t>
      </w:r>
      <w:r w:rsidRPr="00F40346">
        <w:rPr>
          <w:rFonts w:ascii="Palatino Linotype" w:hAnsi="Palatino Linotype" w:cs="Times New Roman"/>
          <w:color w:val="222222"/>
        </w:rPr>
        <w:t> 1 (1995); Neil Kibble, </w:t>
      </w:r>
      <w:r w:rsidRPr="00F40346">
        <w:rPr>
          <w:rFonts w:ascii="Palatino Linotype" w:hAnsi="Palatino Linotype" w:cs="Times New Roman"/>
          <w:i/>
          <w:iCs/>
          <w:color w:val="222222"/>
        </w:rPr>
        <w:t>Reflection and Supervision in Clinical Legal Education: Do Work Placements Have a Role in Undergraduate Legal Education?</w:t>
      </w:r>
      <w:r w:rsidRPr="00F40346">
        <w:rPr>
          <w:rFonts w:ascii="Palatino Linotype" w:hAnsi="Palatino Linotype" w:cs="Times New Roman"/>
          <w:iCs/>
          <w:color w:val="222222"/>
        </w:rPr>
        <w:t>,</w:t>
      </w:r>
      <w:r w:rsidRPr="00F40346">
        <w:rPr>
          <w:rFonts w:ascii="Palatino Linotype" w:hAnsi="Palatino Linotype" w:cs="Times New Roman"/>
          <w:color w:val="222222"/>
        </w:rPr>
        <w:t> 5 </w:t>
      </w:r>
      <w:r w:rsidRPr="00F40346">
        <w:rPr>
          <w:rFonts w:ascii="Palatino Linotype" w:hAnsi="Palatino Linotype" w:cs="Times New Roman"/>
          <w:iCs/>
          <w:smallCaps/>
          <w:color w:val="222222"/>
        </w:rPr>
        <w:t>Int’l. J. Legal Prof.</w:t>
      </w:r>
      <w:r w:rsidRPr="00F40346">
        <w:rPr>
          <w:rFonts w:ascii="Palatino Linotype" w:hAnsi="Palatino Linotype" w:cs="Times New Roman"/>
          <w:color w:val="222222"/>
        </w:rPr>
        <w:t> 83 (1998); Elliot Milstein, </w:t>
      </w:r>
      <w:r w:rsidRPr="00F40346">
        <w:rPr>
          <w:rFonts w:ascii="Palatino Linotype" w:hAnsi="Palatino Linotype" w:cs="Times New Roman"/>
          <w:i/>
          <w:iCs/>
          <w:color w:val="222222"/>
        </w:rPr>
        <w:t>Clinical Legal Education in the United States: In-House Clinics, Externships, and Simulations</w:t>
      </w:r>
      <w:r w:rsidRPr="00F40346">
        <w:rPr>
          <w:rFonts w:ascii="Palatino Linotype" w:hAnsi="Palatino Linotype" w:cs="Times New Roman"/>
          <w:color w:val="222222"/>
        </w:rPr>
        <w:t>, 51 </w:t>
      </w:r>
      <w:r w:rsidRPr="00F40346">
        <w:rPr>
          <w:rFonts w:ascii="Palatino Linotype" w:hAnsi="Palatino Linotype" w:cs="Times New Roman"/>
          <w:iCs/>
          <w:smallCaps/>
          <w:color w:val="222222"/>
        </w:rPr>
        <w:t xml:space="preserve">J. Legal Ed. </w:t>
      </w:r>
      <w:r w:rsidRPr="00F40346">
        <w:rPr>
          <w:rFonts w:ascii="Palatino Linotype" w:hAnsi="Palatino Linotype" w:cs="Times New Roman"/>
          <w:color w:val="222222"/>
        </w:rPr>
        <w:t>375 (2001).</w:t>
      </w:r>
    </w:p>
  </w:footnote>
  <w:footnote w:id="8">
    <w:p w14:paraId="0D03CE7F" w14:textId="19453275" w:rsidR="00196588" w:rsidRPr="00F40346" w:rsidRDefault="00196588" w:rsidP="00A5616F">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rPr>
        <w:t>Roy Stuckey et al., Best Practices for Legal Education: A Vision and a Road Map</w:t>
      </w:r>
      <w:r w:rsidRPr="00F40346">
        <w:rPr>
          <w:rFonts w:ascii="Palatino Linotype" w:hAnsi="Palatino Linotype" w:cs="Times New Roman"/>
        </w:rPr>
        <w:t xml:space="preserve"> 198 (2007).</w:t>
      </w:r>
    </w:p>
  </w:footnote>
  <w:footnote w:id="9">
    <w:p w14:paraId="73AA26B0" w14:textId="12F3D9DF" w:rsidR="00196588" w:rsidRPr="00F40346" w:rsidRDefault="00196588" w:rsidP="00FB1008">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rPr>
        <w:t>A.B.A. Sec. of Legal Education and Admissions to the Bar, Report of the Outcome Measures Committee</w:t>
      </w:r>
      <w:r w:rsidRPr="00F40346">
        <w:rPr>
          <w:rFonts w:ascii="Palatino Linotype" w:hAnsi="Palatino Linotype" w:cs="Times New Roman"/>
        </w:rPr>
        <w:t xml:space="preserve"> 11-13 (2008). </w:t>
      </w:r>
      <w:r w:rsidRPr="00F40346">
        <w:rPr>
          <w:rFonts w:ascii="Palatino Linotype" w:eastAsiaTheme="minorHAnsi" w:hAnsi="Palatino Linotype" w:cs="Times New Roman"/>
          <w:color w:val="FF0000"/>
          <w:shd w:val="clear" w:color="auto" w:fill="FFFFFF"/>
          <w:lang w:val="en-US"/>
        </w:rPr>
        <w:t> </w:t>
      </w:r>
      <w:hyperlink r:id="rId1" w:tgtFrame="_blank" w:history="1">
        <w:r w:rsidRPr="00F40346">
          <w:rPr>
            <w:rFonts w:ascii="Palatino Linotype" w:eastAsiaTheme="minorHAnsi" w:hAnsi="Palatino Linotype" w:cs="Times New Roman"/>
            <w:color w:val="1155CC"/>
            <w:u w:val="single"/>
            <w:shd w:val="clear" w:color="auto" w:fill="FFFFFF"/>
            <w:lang w:val="en-US"/>
          </w:rPr>
          <w:t>https://www.americanbar.org/content/dam/aba/administrative/legal_education_and_admissions_to_the_bar/reports/2008_outcome_measures_committee_final_report.authcheckdam.pdf</w:t>
        </w:r>
      </w:hyperlink>
      <w:r w:rsidRPr="00F40346">
        <w:rPr>
          <w:rFonts w:ascii="Palatino Linotype" w:eastAsiaTheme="minorHAnsi" w:hAnsi="Palatino Linotype" w:cs="Times New Roman"/>
          <w:color w:val="222222"/>
          <w:shd w:val="clear" w:color="auto" w:fill="FFFFFF"/>
          <w:lang w:val="en-US"/>
        </w:rPr>
        <w:t> (</w:t>
      </w:r>
      <w:r w:rsidRPr="00F40346">
        <w:rPr>
          <w:rFonts w:ascii="Palatino Linotype" w:eastAsiaTheme="minorHAnsi" w:hAnsi="Palatino Linotype" w:cs="Times New Roman"/>
          <w:shd w:val="clear" w:color="auto" w:fill="FFFFFF"/>
          <w:lang w:val="en-US"/>
        </w:rPr>
        <w:t>reviewing </w:t>
      </w:r>
      <w:r w:rsidRPr="00F40346">
        <w:rPr>
          <w:rFonts w:ascii="Palatino Linotype" w:hAnsi="Palatino Linotype" w:cs="Times New Roman"/>
        </w:rPr>
        <w:t xml:space="preserve"> practices from other countries);  Stuckey et. al. </w:t>
      </w:r>
      <w:r w:rsidRPr="00F40346">
        <w:rPr>
          <w:rFonts w:ascii="Palatino Linotype" w:hAnsi="Palatino Linotype" w:cs="Times New Roman"/>
          <w:i/>
        </w:rPr>
        <w:t xml:space="preserve">supra </w:t>
      </w:r>
      <w:r w:rsidRPr="00F40346">
        <w:rPr>
          <w:rFonts w:ascii="Palatino Linotype" w:hAnsi="Palatino Linotype" w:cs="Times New Roman"/>
        </w:rPr>
        <w:t xml:space="preserve"> note 4, at 45-49 (referring to developments in the Scotland, Northern Ireland, England and Wales, and Australia); Anna Huggins, </w:t>
      </w:r>
      <w:r w:rsidRPr="00F40346">
        <w:rPr>
          <w:rFonts w:ascii="Palatino Linotype" w:hAnsi="Palatino Linotype" w:cs="Times New Roman"/>
          <w:i/>
        </w:rPr>
        <w:t>Incremental and Inevitable: Contextualising the Threshold Learning Outcomes for Law</w:t>
      </w:r>
      <w:r w:rsidRPr="00F40346">
        <w:rPr>
          <w:rFonts w:ascii="Palatino Linotype" w:hAnsi="Palatino Linotype" w:cs="Times New Roman"/>
        </w:rPr>
        <w:t xml:space="preserve">, 38 U.N.S.W.L.J. 264 (2015) (history of Australian Threshold Learning Objectives for LLB and JD degrees and context including the experience of other countries); Anthony Niedwiecki, </w:t>
      </w:r>
      <w:r w:rsidRPr="00F40346">
        <w:rPr>
          <w:rFonts w:ascii="Palatino Linotype" w:hAnsi="Palatino Linotype" w:cs="Times New Roman"/>
          <w:i/>
        </w:rPr>
        <w:t xml:space="preserve">Law Schools and Learning Outcomes: Developing a Coherent, Cohesive, and Comprehensive Law School Curriculum, </w:t>
      </w:r>
      <w:r w:rsidRPr="00F40346">
        <w:rPr>
          <w:rFonts w:ascii="Palatino Linotype" w:hAnsi="Palatino Linotype" w:cs="Times New Roman"/>
        </w:rPr>
        <w:t xml:space="preserve">64 </w:t>
      </w:r>
      <w:r w:rsidRPr="00F40346">
        <w:rPr>
          <w:rFonts w:ascii="Palatino Linotype" w:hAnsi="Palatino Linotype" w:cs="Times New Roman"/>
          <w:smallCaps/>
        </w:rPr>
        <w:t>Clev. St. L. Rev.</w:t>
      </w:r>
      <w:r w:rsidRPr="00F40346">
        <w:rPr>
          <w:rFonts w:ascii="Palatino Linotype" w:hAnsi="Palatino Linotype" w:cs="Times New Roman"/>
        </w:rPr>
        <w:t xml:space="preserve"> 661 (2016) (describing the US regulatory path to requirement of learning outcomes).</w:t>
      </w:r>
    </w:p>
  </w:footnote>
  <w:footnote w:id="10">
    <w:p w14:paraId="619B2A04" w14:textId="366E781C" w:rsidR="00196588" w:rsidRPr="00F40346" w:rsidRDefault="00196588" w:rsidP="00FB1008">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color w:val="222222"/>
          <w:shd w:val="clear" w:color="auto" w:fill="FFFFFF"/>
        </w:rPr>
        <w:t>Grant Wiggins &amp; Jay McTighe, Understanding by Design</w:t>
      </w:r>
      <w:r w:rsidRPr="00F40346">
        <w:rPr>
          <w:rFonts w:ascii="Palatino Linotype" w:hAnsi="Palatino Linotype" w:cs="Times New Roman"/>
          <w:color w:val="222222"/>
          <w:shd w:val="clear" w:color="auto" w:fill="FFFFFF"/>
        </w:rPr>
        <w:t>, (2d ed. 2005)</w:t>
      </w:r>
    </w:p>
  </w:footnote>
  <w:footnote w:id="11">
    <w:p w14:paraId="18A7D3DE" w14:textId="77777777" w:rsidR="00196588" w:rsidRPr="00F40346" w:rsidRDefault="00196588" w:rsidP="00FB1008">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rPr>
        <w:t>See, e.g</w:t>
      </w:r>
      <w:r w:rsidRPr="00F40346">
        <w:rPr>
          <w:rFonts w:ascii="Palatino Linotype" w:hAnsi="Palatino Linotype" w:cs="Times New Roman"/>
        </w:rPr>
        <w:t xml:space="preserve">., </w:t>
      </w:r>
      <w:r w:rsidRPr="00F40346">
        <w:rPr>
          <w:rFonts w:ascii="Palatino Linotype" w:hAnsi="Palatino Linotype" w:cs="Times New Roman"/>
          <w:color w:val="222222"/>
          <w:shd w:val="clear" w:color="auto" w:fill="FFFFFF"/>
        </w:rPr>
        <w:t>Wallace J. Mlyniec, </w:t>
      </w:r>
      <w:r w:rsidRPr="00F40346">
        <w:rPr>
          <w:rFonts w:ascii="Palatino Linotype" w:hAnsi="Palatino Linotype" w:cs="Times New Roman"/>
          <w:i/>
          <w:iCs/>
          <w:color w:val="222222"/>
          <w:shd w:val="clear" w:color="auto" w:fill="FFFFFF"/>
        </w:rPr>
        <w:t>Where to Begin? Training New Teachers in the Art of Clinical Pedagogy,</w:t>
      </w:r>
      <w:r w:rsidRPr="00F40346">
        <w:rPr>
          <w:rFonts w:ascii="Palatino Linotype" w:hAnsi="Palatino Linotype" w:cs="Times New Roman"/>
          <w:color w:val="222222"/>
          <w:shd w:val="clear" w:color="auto" w:fill="FFFFFF"/>
        </w:rPr>
        <w:t>18 </w:t>
      </w:r>
      <w:r w:rsidRPr="00F40346">
        <w:rPr>
          <w:rFonts w:ascii="Palatino Linotype" w:hAnsi="Palatino Linotype" w:cs="Times New Roman"/>
          <w:smallCaps/>
          <w:color w:val="222222"/>
          <w:shd w:val="clear" w:color="auto" w:fill="FFFFFF"/>
        </w:rPr>
        <w:t>Clinical L. Rev</w:t>
      </w:r>
      <w:r w:rsidRPr="00F40346">
        <w:rPr>
          <w:rFonts w:ascii="Palatino Linotype" w:hAnsi="Palatino Linotype" w:cs="Times New Roman"/>
          <w:color w:val="222222"/>
          <w:shd w:val="clear" w:color="auto" w:fill="FFFFFF"/>
        </w:rPr>
        <w:t>. 905 (2012); Wallace J. Mlyniec, </w:t>
      </w:r>
      <w:r w:rsidRPr="00F40346">
        <w:rPr>
          <w:rFonts w:ascii="Palatino Linotype" w:hAnsi="Palatino Linotype" w:cs="Times New Roman"/>
          <w:i/>
          <w:iCs/>
          <w:color w:val="222222"/>
          <w:shd w:val="clear" w:color="auto" w:fill="FFFFFF"/>
        </w:rPr>
        <w:t>Developing a Teacher Training Program for New Clinical Teachers, </w:t>
      </w:r>
      <w:r w:rsidRPr="00F40346">
        <w:rPr>
          <w:rFonts w:ascii="Palatino Linotype" w:hAnsi="Palatino Linotype" w:cs="Times New Roman"/>
          <w:color w:val="222222"/>
          <w:shd w:val="clear" w:color="auto" w:fill="FFFFFF"/>
        </w:rPr>
        <w:t>19 </w:t>
      </w:r>
      <w:r w:rsidRPr="00F40346">
        <w:rPr>
          <w:rFonts w:ascii="Palatino Linotype" w:hAnsi="Palatino Linotype" w:cs="Times New Roman"/>
          <w:smallCaps/>
          <w:color w:val="222222"/>
          <w:shd w:val="clear" w:color="auto" w:fill="FFFFFF"/>
        </w:rPr>
        <w:t>Clinical L. Rev</w:t>
      </w:r>
      <w:r w:rsidRPr="00F40346">
        <w:rPr>
          <w:rFonts w:ascii="Palatino Linotype" w:hAnsi="Palatino Linotype" w:cs="Times New Roman"/>
          <w:color w:val="222222"/>
          <w:shd w:val="clear" w:color="auto" w:fill="FFFFFF"/>
        </w:rPr>
        <w:t>. 327 (2012).</w:t>
      </w:r>
    </w:p>
  </w:footnote>
  <w:footnote w:id="12">
    <w:p w14:paraId="79779B26" w14:textId="280052D3" w:rsidR="00196588" w:rsidRPr="00F40346" w:rsidRDefault="00196588" w:rsidP="00FB1008">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rPr>
        <w:t xml:space="preserve">See, e.g., </w:t>
      </w:r>
      <w:r w:rsidRPr="00F40346">
        <w:rPr>
          <w:rFonts w:ascii="Palatino Linotype" w:hAnsi="Palatino Linotype" w:cs="Times New Roman"/>
          <w:color w:val="222222"/>
          <w:shd w:val="clear" w:color="auto" w:fill="FFFFFF"/>
        </w:rPr>
        <w:t>Neil Gold, </w:t>
      </w:r>
      <w:r w:rsidRPr="00F40346">
        <w:rPr>
          <w:rFonts w:ascii="Palatino Linotype" w:hAnsi="Palatino Linotype" w:cs="Times New Roman"/>
          <w:i/>
          <w:iCs/>
          <w:color w:val="222222"/>
          <w:shd w:val="clear" w:color="auto" w:fill="FFFFFF"/>
        </w:rPr>
        <w:t>Clinic is the Basis for a Complete Legal Education: Quality Assurance, Learning Outcomes and the Clinical Method, </w:t>
      </w:r>
      <w:r w:rsidRPr="00F40346">
        <w:rPr>
          <w:rFonts w:ascii="Palatino Linotype" w:hAnsi="Palatino Linotype" w:cs="Times New Roman"/>
          <w:smallCaps/>
          <w:color w:val="222222"/>
          <w:shd w:val="clear" w:color="auto" w:fill="FFFFFF"/>
        </w:rPr>
        <w:t>22 Int’l J. Clinical Leg. Ed.</w:t>
      </w:r>
      <w:r w:rsidRPr="00F40346">
        <w:rPr>
          <w:rFonts w:ascii="Palatino Linotype" w:hAnsi="Palatino Linotype" w:cs="Times New Roman"/>
          <w:color w:val="222222"/>
          <w:shd w:val="clear" w:color="auto" w:fill="FFFFFF"/>
        </w:rPr>
        <w:t> 1 (2015); Angela Macfarlane &amp; Paul McKeown, </w:t>
      </w:r>
      <w:r w:rsidRPr="00F40346">
        <w:rPr>
          <w:rFonts w:ascii="Palatino Linotype" w:hAnsi="Palatino Linotype" w:cs="Times New Roman"/>
          <w:i/>
          <w:iCs/>
          <w:color w:val="222222"/>
          <w:shd w:val="clear" w:color="auto" w:fill="FFFFFF"/>
        </w:rPr>
        <w:t>10 Lessons for New Clinicians, </w:t>
      </w:r>
      <w:r w:rsidRPr="00F40346">
        <w:rPr>
          <w:rFonts w:ascii="Palatino Linotype" w:hAnsi="Palatino Linotype" w:cs="Times New Roman"/>
          <w:color w:val="222222"/>
          <w:shd w:val="clear" w:color="auto" w:fill="FFFFFF"/>
        </w:rPr>
        <w:t>13 </w:t>
      </w:r>
      <w:r w:rsidRPr="00F40346">
        <w:rPr>
          <w:rFonts w:ascii="Palatino Linotype" w:hAnsi="Palatino Linotype" w:cs="Times New Roman"/>
          <w:smallCaps/>
          <w:color w:val="222222"/>
          <w:shd w:val="clear" w:color="auto" w:fill="FFFFFF"/>
        </w:rPr>
        <w:t>Int’l J. Clinical Leg. Ed</w:t>
      </w:r>
      <w:r w:rsidRPr="00F40346">
        <w:rPr>
          <w:rFonts w:ascii="Palatino Linotype" w:hAnsi="Palatino Linotype" w:cs="Times New Roman"/>
          <w:color w:val="222222"/>
          <w:shd w:val="clear" w:color="auto" w:fill="FFFFFF"/>
        </w:rPr>
        <w:t>.65 (2008).</w:t>
      </w:r>
    </w:p>
  </w:footnote>
  <w:footnote w:id="13">
    <w:p w14:paraId="7C880726" w14:textId="77777777" w:rsidR="00196588" w:rsidRPr="00F40346" w:rsidRDefault="00196588" w:rsidP="00FB1008">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color w:val="222222"/>
          <w:shd w:val="clear" w:color="auto" w:fill="FFFFFF"/>
        </w:rPr>
        <w:t>John Biggs &amp; Catherine Tang, Teaching for Quality Learning at University</w:t>
      </w:r>
      <w:r w:rsidRPr="00F40346">
        <w:rPr>
          <w:rFonts w:ascii="Palatino Linotype" w:hAnsi="Palatino Linotype" w:cs="Times New Roman"/>
          <w:color w:val="222222"/>
          <w:shd w:val="clear" w:color="auto" w:fill="FFFFFF"/>
        </w:rPr>
        <w:t> (4</w:t>
      </w:r>
      <w:r w:rsidRPr="00F40346">
        <w:rPr>
          <w:rFonts w:ascii="Palatino Linotype" w:hAnsi="Palatino Linotype" w:cs="Times New Roman"/>
          <w:color w:val="222222"/>
          <w:shd w:val="clear" w:color="auto" w:fill="FFFFFF"/>
          <w:vertAlign w:val="superscript"/>
        </w:rPr>
        <w:t>th</w:t>
      </w:r>
      <w:r w:rsidRPr="00F40346">
        <w:rPr>
          <w:rFonts w:ascii="Palatino Linotype" w:hAnsi="Palatino Linotype" w:cs="Times New Roman"/>
          <w:color w:val="222222"/>
          <w:shd w:val="clear" w:color="auto" w:fill="FFFFFF"/>
        </w:rPr>
        <w:t> ed. 2011)</w:t>
      </w:r>
    </w:p>
  </w:footnote>
  <w:footnote w:id="14">
    <w:p w14:paraId="23D39ED6" w14:textId="77777777" w:rsidR="00196588" w:rsidRPr="00F40346" w:rsidRDefault="00196588" w:rsidP="00204CC2">
      <w:pPr>
        <w:pStyle w:val="FootnoteText"/>
        <w:rPr>
          <w:rFonts w:ascii="Palatino Linotype" w:hAnsi="Palatino Linotype"/>
          <w:lang w:val="en-US"/>
        </w:rPr>
      </w:pPr>
      <w:r w:rsidRPr="00F40346">
        <w:rPr>
          <w:rStyle w:val="FootnoteReference"/>
          <w:rFonts w:ascii="Palatino Linotype" w:hAnsi="Palatino Linotype"/>
        </w:rPr>
        <w:footnoteRef/>
      </w:r>
      <w:r w:rsidRPr="00F40346">
        <w:rPr>
          <w:rFonts w:ascii="Palatino Linotype" w:hAnsi="Palatino Linotype"/>
        </w:rPr>
        <w:t xml:space="preserve"> </w:t>
      </w:r>
      <w:r w:rsidRPr="00F40346">
        <w:rPr>
          <w:rFonts w:ascii="Palatino Linotype" w:hAnsi="Palatino Linotype"/>
          <w:smallCaps/>
          <w:lang w:val="en-US"/>
        </w:rPr>
        <w:t>Michael Hunter Schwartz, Sophie M. Sparrow, &amp; Gerald F. Hess,</w:t>
      </w:r>
      <w:r w:rsidRPr="00F40346">
        <w:rPr>
          <w:rFonts w:ascii="Palatino Linotype" w:hAnsi="Palatino Linotype"/>
          <w:lang w:val="en-US"/>
        </w:rPr>
        <w:t xml:space="preserve"> </w:t>
      </w:r>
      <w:r w:rsidRPr="00F40346">
        <w:rPr>
          <w:rFonts w:ascii="Palatino Linotype" w:hAnsi="Palatino Linotype"/>
          <w:smallCaps/>
          <w:lang w:val="en-US"/>
        </w:rPr>
        <w:t>Teaching Law by Design: Engaging Students From the Syllabus to the Final Exam</w:t>
      </w:r>
      <w:r w:rsidRPr="00F40346">
        <w:rPr>
          <w:rFonts w:ascii="Palatino Linotype" w:hAnsi="Palatino Linotype"/>
          <w:lang w:val="en-US"/>
        </w:rPr>
        <w:t xml:space="preserve"> (2</w:t>
      </w:r>
      <w:r w:rsidRPr="00F40346">
        <w:rPr>
          <w:rFonts w:ascii="Palatino Linotype" w:hAnsi="Palatino Linotype"/>
          <w:vertAlign w:val="superscript"/>
          <w:lang w:val="en-US"/>
        </w:rPr>
        <w:t>nd</w:t>
      </w:r>
      <w:r w:rsidRPr="00F40346">
        <w:rPr>
          <w:rFonts w:ascii="Palatino Linotype" w:hAnsi="Palatino Linotype"/>
          <w:lang w:val="en-US"/>
        </w:rPr>
        <w:t xml:space="preserve"> ed. 2017).</w:t>
      </w:r>
    </w:p>
  </w:footnote>
  <w:footnote w:id="15">
    <w:p w14:paraId="08813869" w14:textId="77777777" w:rsidR="00196588" w:rsidRPr="00F40346" w:rsidRDefault="00196588" w:rsidP="00204CC2">
      <w:pPr>
        <w:pStyle w:val="FootnoteText"/>
        <w:rPr>
          <w:rFonts w:ascii="Palatino Linotype" w:hAnsi="Palatino Linotype"/>
          <w:lang w:val="en-US"/>
        </w:rPr>
      </w:pPr>
      <w:r w:rsidRPr="00F40346">
        <w:rPr>
          <w:rStyle w:val="FootnoteReference"/>
          <w:rFonts w:ascii="Palatino Linotype" w:hAnsi="Palatino Linotype"/>
        </w:rPr>
        <w:footnoteRef/>
      </w:r>
      <w:r w:rsidRPr="00F40346">
        <w:rPr>
          <w:rFonts w:ascii="Palatino Linotype" w:hAnsi="Palatino Linotype"/>
        </w:rPr>
        <w:t xml:space="preserve"> </w:t>
      </w:r>
      <w:r w:rsidRPr="00F40346">
        <w:rPr>
          <w:rFonts w:ascii="Palatino Linotype" w:hAnsi="Palatino Linotype"/>
          <w:i/>
          <w:lang w:val="en-US"/>
        </w:rPr>
        <w:t>Id.</w:t>
      </w:r>
      <w:r w:rsidRPr="00F40346">
        <w:rPr>
          <w:rFonts w:ascii="Palatino Linotype" w:hAnsi="Palatino Linotype"/>
          <w:lang w:val="en-US"/>
        </w:rPr>
        <w:t xml:space="preserve"> at Chapter 3, </w:t>
      </w:r>
      <w:r w:rsidRPr="00F40346">
        <w:rPr>
          <w:rFonts w:ascii="Palatino Linotype" w:hAnsi="Palatino Linotype"/>
          <w:i/>
          <w:lang w:val="en-US"/>
        </w:rPr>
        <w:t>Designing the Course,</w:t>
      </w:r>
      <w:r w:rsidRPr="00F40346">
        <w:rPr>
          <w:rFonts w:ascii="Palatino Linotype" w:hAnsi="Palatino Linotype"/>
          <w:lang w:val="en-US"/>
        </w:rPr>
        <w:t xml:space="preserve"> 33-59.</w:t>
      </w:r>
    </w:p>
  </w:footnote>
  <w:footnote w:id="16">
    <w:p w14:paraId="098730DF" w14:textId="77777777" w:rsidR="00196588" w:rsidRPr="00F40346" w:rsidRDefault="00196588" w:rsidP="00FB1008">
      <w:pPr>
        <w:rPr>
          <w:rFonts w:ascii="Palatino Linotype" w:hAnsi="Palatino Linotype" w:cs="Times New Roman"/>
          <w:sz w:val="20"/>
          <w:szCs w:val="20"/>
        </w:rPr>
      </w:pPr>
      <w:r w:rsidRPr="00F40346">
        <w:rPr>
          <w:rStyle w:val="FootnoteReference"/>
          <w:rFonts w:ascii="Palatino Linotype" w:hAnsi="Palatino Linotype" w:cs="Times New Roman"/>
          <w:sz w:val="20"/>
          <w:szCs w:val="20"/>
        </w:rPr>
        <w:footnoteRef/>
      </w:r>
      <w:r w:rsidRPr="00F40346">
        <w:rPr>
          <w:rFonts w:ascii="Palatino Linotype" w:hAnsi="Palatino Linotype" w:cs="Times New Roman"/>
          <w:sz w:val="20"/>
          <w:szCs w:val="20"/>
        </w:rPr>
        <w:t xml:space="preserve"> </w:t>
      </w:r>
      <w:r w:rsidRPr="00F40346">
        <w:rPr>
          <w:rFonts w:ascii="Palatino Linotype" w:hAnsi="Palatino Linotype" w:cs="Times New Roman"/>
          <w:color w:val="222222"/>
          <w:sz w:val="20"/>
          <w:szCs w:val="20"/>
          <w:shd w:val="clear" w:color="auto" w:fill="FFFFFF"/>
          <w:lang w:val="en-AU"/>
        </w:rPr>
        <w:t>Nick James, </w:t>
      </w:r>
      <w:r w:rsidRPr="00F40346">
        <w:rPr>
          <w:rFonts w:ascii="Palatino Linotype" w:hAnsi="Palatino Linotype" w:cs="Times New Roman"/>
          <w:i/>
          <w:iCs/>
          <w:color w:val="222222"/>
          <w:sz w:val="20"/>
          <w:szCs w:val="20"/>
          <w:shd w:val="clear" w:color="auto" w:fill="FFFFFF"/>
          <w:lang w:val="en-AU"/>
        </w:rPr>
        <w:t>‘How Dare You Tell Me How to Teach’: Resistance to Educationalism within Australian Law Schools</w:t>
      </w:r>
      <w:r w:rsidRPr="00F40346">
        <w:rPr>
          <w:rFonts w:ascii="Palatino Linotype" w:hAnsi="Palatino Linotype" w:cs="Times New Roman"/>
          <w:color w:val="222222"/>
          <w:sz w:val="20"/>
          <w:szCs w:val="20"/>
          <w:shd w:val="clear" w:color="auto" w:fill="FFFFFF"/>
        </w:rPr>
        <w:t>, 36 U.N.S.W.L.J. 779 (2013). </w:t>
      </w:r>
    </w:p>
  </w:footnote>
  <w:footnote w:id="17">
    <w:p w14:paraId="6EFFCB06" w14:textId="4A3C3CB3" w:rsidR="00196588" w:rsidRPr="00F40346" w:rsidRDefault="00196588" w:rsidP="0021624C">
      <w:pPr>
        <w:rPr>
          <w:rFonts w:ascii="Palatino Linotype" w:hAnsi="Palatino Linotype"/>
          <w:sz w:val="20"/>
          <w:szCs w:val="20"/>
        </w:rPr>
      </w:pPr>
      <w:r w:rsidRPr="00F40346">
        <w:rPr>
          <w:rStyle w:val="FootnoteReference"/>
          <w:rFonts w:ascii="Palatino Linotype" w:hAnsi="Palatino Linotype" w:cs="Times New Roman"/>
          <w:sz w:val="20"/>
          <w:szCs w:val="20"/>
        </w:rPr>
        <w:footnoteRef/>
      </w:r>
      <w:r w:rsidRPr="00F40346">
        <w:rPr>
          <w:rFonts w:ascii="Palatino Linotype" w:hAnsi="Palatino Linotype" w:cs="Times New Roman"/>
          <w:sz w:val="20"/>
          <w:szCs w:val="20"/>
        </w:rPr>
        <w:t xml:space="preserve"> </w:t>
      </w:r>
      <w:r w:rsidRPr="00F40346">
        <w:rPr>
          <w:rFonts w:ascii="Palatino Linotype" w:hAnsi="Palatino Linotype" w:cs="Times New Roman"/>
          <w:i/>
          <w:sz w:val="20"/>
          <w:szCs w:val="20"/>
        </w:rPr>
        <w:t>Id</w:t>
      </w:r>
      <w:r w:rsidRPr="00F40346">
        <w:rPr>
          <w:rFonts w:ascii="Palatino Linotype" w:hAnsi="Palatino Linotype" w:cs="Times New Roman"/>
          <w:sz w:val="20"/>
          <w:szCs w:val="20"/>
        </w:rPr>
        <w:t xml:space="preserve">. at 779, 784, 789-798. </w:t>
      </w:r>
    </w:p>
  </w:footnote>
  <w:footnote w:id="18">
    <w:p w14:paraId="065E0AFA" w14:textId="7804FC24" w:rsidR="00196588" w:rsidRPr="00F40346" w:rsidRDefault="00196588">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rPr>
        <w:t>The MacQuarie Concise Dictionary</w:t>
      </w:r>
      <w:r w:rsidRPr="00F40346">
        <w:rPr>
          <w:rFonts w:ascii="Palatino Linotype" w:hAnsi="Palatino Linotype" w:cs="Times New Roman"/>
        </w:rPr>
        <w:t xml:space="preserve"> 1086 (3</w:t>
      </w:r>
      <w:r w:rsidRPr="00F40346">
        <w:rPr>
          <w:rFonts w:ascii="Palatino Linotype" w:hAnsi="Palatino Linotype" w:cs="Times New Roman"/>
          <w:vertAlign w:val="superscript"/>
        </w:rPr>
        <w:t>rd</w:t>
      </w:r>
      <w:r w:rsidRPr="00F40346">
        <w:rPr>
          <w:rFonts w:ascii="Palatino Linotype" w:hAnsi="Palatino Linotype" w:cs="Times New Roman"/>
        </w:rPr>
        <w:t xml:space="preserve"> ed. 2003). </w:t>
      </w:r>
    </w:p>
  </w:footnote>
  <w:footnote w:id="19">
    <w:p w14:paraId="72AE770F" w14:textId="77777777" w:rsidR="00196588" w:rsidRPr="00F40346" w:rsidRDefault="00196588" w:rsidP="00F439C3">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Marjorie M. Schultz &amp; Sheldon Zedeck, </w:t>
      </w:r>
      <w:r w:rsidRPr="00F40346">
        <w:rPr>
          <w:rFonts w:ascii="Palatino Linotype" w:hAnsi="Palatino Linotype" w:cs="Times New Roman"/>
          <w:i/>
        </w:rPr>
        <w:t>Predicting Lawyer Effectiveness: Broadening the Basis for Law School Admission Decisions,</w:t>
      </w:r>
      <w:r w:rsidRPr="00F40346">
        <w:rPr>
          <w:rFonts w:ascii="Palatino Linotype" w:hAnsi="Palatino Linotype" w:cs="Times New Roman"/>
        </w:rPr>
        <w:t xml:space="preserve"> 36 </w:t>
      </w:r>
      <w:r w:rsidRPr="00F40346">
        <w:rPr>
          <w:rFonts w:ascii="Palatino Linotype" w:hAnsi="Palatino Linotype" w:cs="Times New Roman"/>
          <w:smallCaps/>
        </w:rPr>
        <w:t>Law &amp; Soc. Inquiry</w:t>
      </w:r>
      <w:r w:rsidRPr="00F40346">
        <w:rPr>
          <w:rFonts w:ascii="Palatino Linotype" w:hAnsi="Palatino Linotype" w:cs="Times New Roman"/>
        </w:rPr>
        <w:t xml:space="preserve"> 620 (2011). </w:t>
      </w:r>
    </w:p>
  </w:footnote>
  <w:footnote w:id="20">
    <w:p w14:paraId="4AA20B10" w14:textId="396DDF16" w:rsidR="00196588" w:rsidRPr="00F40346" w:rsidRDefault="00196588" w:rsidP="0021624C">
      <w:pPr>
        <w:rPr>
          <w:rFonts w:ascii="Palatino Linotype" w:hAnsi="Palatino Linotype" w:cs="Times New Roman"/>
          <w:sz w:val="20"/>
          <w:szCs w:val="20"/>
        </w:rPr>
      </w:pPr>
      <w:r w:rsidRPr="00F40346">
        <w:rPr>
          <w:rStyle w:val="FootnoteReference"/>
          <w:rFonts w:ascii="Palatino Linotype" w:hAnsi="Palatino Linotype" w:cs="Times New Roman"/>
          <w:sz w:val="20"/>
          <w:szCs w:val="20"/>
        </w:rPr>
        <w:footnoteRef/>
      </w:r>
      <w:r w:rsidRPr="00F40346">
        <w:rPr>
          <w:rFonts w:ascii="Palatino Linotype" w:hAnsi="Palatino Linotype" w:cs="Times New Roman"/>
          <w:sz w:val="20"/>
          <w:szCs w:val="20"/>
        </w:rPr>
        <w:t xml:space="preserve"> </w:t>
      </w:r>
      <w:bookmarkStart w:id="1" w:name="_Hlk488231973"/>
      <w:r w:rsidRPr="00F40346">
        <w:rPr>
          <w:rFonts w:ascii="Palatino Linotype" w:eastAsia="Times New Roman" w:hAnsi="Palatino Linotype" w:cs="Times New Roman"/>
          <w:sz w:val="20"/>
          <w:szCs w:val="20"/>
        </w:rPr>
        <w:t>Am. Bar Ass'n, ABA Standards and Rules of Procedure for Approval of Law Schools 2016-2017 303(a)(3) (2016), </w:t>
      </w:r>
      <w:hyperlink r:id="rId2" w:tgtFrame="_blank" w:history="1">
        <w:r w:rsidRPr="00F40346">
          <w:rPr>
            <w:rFonts w:ascii="Palatino Linotype" w:eastAsia="Times New Roman" w:hAnsi="Palatino Linotype" w:cs="Times New Roman"/>
            <w:sz w:val="20"/>
            <w:szCs w:val="20"/>
            <w:u w:val="single"/>
          </w:rPr>
          <w:t>https://www.americanbar.org/content/dam/aba/publications/misc/legal_education/Standards/2016_2017_aba_standards_and_rules_of_procedure.authcheckdam.pdf</w:t>
        </w:r>
      </w:hyperlink>
      <w:r w:rsidRPr="00F40346">
        <w:rPr>
          <w:rFonts w:ascii="Palatino Linotype" w:eastAsia="Times New Roman" w:hAnsi="Palatino Linotype" w:cs="Times New Roman"/>
          <w:sz w:val="20"/>
          <w:szCs w:val="20"/>
        </w:rPr>
        <w:t>.  </w:t>
      </w:r>
      <w:bookmarkEnd w:id="1"/>
      <w:r w:rsidRPr="00F40346">
        <w:rPr>
          <w:rFonts w:ascii="Palatino Linotype" w:hAnsi="Palatino Linotype" w:cs="Times New Roman"/>
          <w:sz w:val="20"/>
          <w:szCs w:val="20"/>
        </w:rPr>
        <w:t xml:space="preserve">The New York Court of Appeals has gone one step further and now requires 15 credits of experiential learning, or an alternative certification of competence by the law school.  22 NYCRR 520.  Order available at: </w:t>
      </w:r>
      <w:hyperlink r:id="rId3" w:history="1">
        <w:r w:rsidRPr="00F40346">
          <w:rPr>
            <w:rStyle w:val="Hyperlink"/>
            <w:rFonts w:ascii="Palatino Linotype" w:hAnsi="Palatino Linotype" w:cs="Times New Roman"/>
            <w:sz w:val="20"/>
            <w:szCs w:val="20"/>
          </w:rPr>
          <w:t>http://www.nycourts.gov/rules/Part520-Rule-Change-Final-121015.pdf</w:t>
        </w:r>
      </w:hyperlink>
      <w:r w:rsidRPr="00F40346">
        <w:rPr>
          <w:rFonts w:ascii="Palatino Linotype" w:hAnsi="Palatino Linotype" w:cs="Times New Roman"/>
          <w:sz w:val="20"/>
          <w:szCs w:val="20"/>
        </w:rPr>
        <w:t xml:space="preserve">  A 2013 California Task Force similarly recommended 15 credits of experiential courses or the equivalent.   http://www.calbar.ca.gov/About-Us/Our-Mission/Protecting-the-Public/Public-Comment/Public-Comment-Archives/2013-Public-Comment/2013-07.</w:t>
      </w:r>
      <w:r w:rsidRPr="00F40346" w:rsidDel="000246EE">
        <w:rPr>
          <w:rFonts w:ascii="Palatino Linotype" w:hAnsi="Palatino Linotype" w:cs="Times New Roman"/>
          <w:sz w:val="20"/>
          <w:szCs w:val="20"/>
        </w:rPr>
        <w:t xml:space="preserve"> </w:t>
      </w:r>
    </w:p>
  </w:footnote>
  <w:footnote w:id="21">
    <w:p w14:paraId="1EE82BD9" w14:textId="66AAA6A5" w:rsidR="00196588" w:rsidRPr="00F40346" w:rsidRDefault="00196588" w:rsidP="009A0983">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Standard 302, </w:t>
      </w:r>
      <w:r w:rsidRPr="00F40346">
        <w:rPr>
          <w:rFonts w:ascii="Palatino Linotype" w:hAnsi="Palatino Linotype" w:cs="Times New Roman"/>
          <w:smallCaps/>
          <w:lang w:val="en-US"/>
        </w:rPr>
        <w:t>ABA Standards,</w:t>
      </w:r>
      <w:r w:rsidRPr="00F40346">
        <w:rPr>
          <w:rFonts w:ascii="Palatino Linotype" w:hAnsi="Palatino Linotype" w:cs="Times New Roman"/>
          <w:lang w:val="en-US"/>
        </w:rPr>
        <w:t xml:space="preserve"> </w:t>
      </w:r>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 16.</w:t>
      </w:r>
    </w:p>
  </w:footnote>
  <w:footnote w:id="22">
    <w:p w14:paraId="3D63115D" w14:textId="3BC7E3F4" w:rsidR="00196588" w:rsidRPr="00F40346" w:rsidRDefault="00196588">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Interpretation 302-1, Standard 302, </w:t>
      </w:r>
      <w:bookmarkStart w:id="2" w:name="_Hlk488426838"/>
      <w:r w:rsidRPr="00F40346">
        <w:rPr>
          <w:rFonts w:ascii="Palatino Linotype" w:hAnsi="Palatino Linotype" w:cs="Times New Roman"/>
          <w:smallCaps/>
          <w:lang w:val="en-US"/>
        </w:rPr>
        <w:t>ABA Standards,</w:t>
      </w:r>
      <w:r w:rsidRPr="00F40346">
        <w:rPr>
          <w:rFonts w:ascii="Palatino Linotype" w:hAnsi="Palatino Linotype" w:cs="Times New Roman"/>
          <w:lang w:val="en-US"/>
        </w:rPr>
        <w:t xml:space="preserve"> </w:t>
      </w:r>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 16.</w:t>
      </w:r>
      <w:bookmarkEnd w:id="2"/>
    </w:p>
  </w:footnote>
  <w:footnote w:id="23">
    <w:p w14:paraId="458F514F" w14:textId="77777777" w:rsidR="00196588" w:rsidRPr="00F40346" w:rsidRDefault="00196588" w:rsidP="00FC2FE2">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rPr>
        <w:t>Id.</w:t>
      </w:r>
    </w:p>
  </w:footnote>
  <w:footnote w:id="24">
    <w:p w14:paraId="262F1E24" w14:textId="77777777" w:rsidR="00196588" w:rsidRPr="00F40346" w:rsidRDefault="00196588" w:rsidP="00FC2FE2">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rPr>
        <w:t xml:space="preserve">Id. </w:t>
      </w:r>
    </w:p>
  </w:footnote>
  <w:footnote w:id="25">
    <w:p w14:paraId="78A407C4" w14:textId="7E80E393" w:rsidR="00196588" w:rsidRPr="00F40346" w:rsidRDefault="00196588" w:rsidP="00FC2FE2">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bookmarkStart w:id="3" w:name="_Hlk488232526"/>
      <w:r w:rsidRPr="00F40346">
        <w:rPr>
          <w:rFonts w:ascii="Palatino Linotype" w:hAnsi="Palatino Linotype" w:cs="Times New Roman"/>
        </w:rPr>
        <w:t xml:space="preserve">Standard 304 (b)(i) and (ii) regarding law clinics, </w:t>
      </w:r>
      <w:r w:rsidRPr="00F40346">
        <w:rPr>
          <w:rFonts w:ascii="Palatino Linotype" w:hAnsi="Palatino Linotype" w:cs="Times New Roman"/>
          <w:smallCaps/>
          <w:lang w:val="en-US"/>
        </w:rPr>
        <w:t>ABA Standards,</w:t>
      </w:r>
      <w:r w:rsidRPr="00F40346">
        <w:rPr>
          <w:rFonts w:ascii="Palatino Linotype" w:hAnsi="Palatino Linotype" w:cs="Times New Roman"/>
          <w:lang w:val="en-US"/>
        </w:rPr>
        <w:t xml:space="preserve"> </w:t>
      </w:r>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 16.</w:t>
      </w:r>
      <w:r w:rsidRPr="00F40346">
        <w:rPr>
          <w:rFonts w:ascii="Palatino Linotype" w:hAnsi="Palatino Linotype" w:cs="Times New Roman"/>
        </w:rPr>
        <w:t xml:space="preserve">  The language regarding simulation courses is almost identical at Standard 304 (a)(i) and (ii). </w:t>
      </w:r>
      <w:bookmarkEnd w:id="3"/>
    </w:p>
  </w:footnote>
  <w:footnote w:id="26">
    <w:p w14:paraId="47CAEF5A" w14:textId="31A779BC" w:rsidR="00196588" w:rsidRPr="00F40346" w:rsidRDefault="00196588" w:rsidP="00FC2FE2">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Standard 304(c), </w:t>
      </w:r>
      <w:r w:rsidRPr="00F40346">
        <w:rPr>
          <w:rFonts w:ascii="Palatino Linotype" w:hAnsi="Palatino Linotype" w:cs="Times New Roman"/>
          <w:smallCaps/>
          <w:lang w:val="en-US"/>
        </w:rPr>
        <w:t>ABA Standards,</w:t>
      </w:r>
      <w:r w:rsidRPr="00F40346">
        <w:rPr>
          <w:rFonts w:ascii="Palatino Linotype" w:hAnsi="Palatino Linotype" w:cs="Times New Roman"/>
          <w:lang w:val="en-US"/>
        </w:rPr>
        <w:t xml:space="preserve"> </w:t>
      </w:r>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 16.</w:t>
      </w:r>
    </w:p>
  </w:footnote>
  <w:footnote w:id="27">
    <w:p w14:paraId="4F4D20FE" w14:textId="4BDFA76E" w:rsidR="00196588" w:rsidRPr="00F40346" w:rsidRDefault="00196588" w:rsidP="00FC2FE2">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Id</w:t>
      </w:r>
      <w:r w:rsidRPr="00F40346">
        <w:rPr>
          <w:rFonts w:ascii="Palatino Linotype" w:hAnsi="Palatino Linotype" w:cs="Times New Roman"/>
          <w:lang w:val="en-US"/>
        </w:rPr>
        <w:t>. (emphasis added).</w:t>
      </w:r>
    </w:p>
  </w:footnote>
  <w:footnote w:id="28">
    <w:p w14:paraId="5CF78D2F" w14:textId="00F5FA8A" w:rsidR="00196588" w:rsidRPr="00F40346" w:rsidRDefault="00196588" w:rsidP="00FC2FE2">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See </w:t>
      </w:r>
      <w:hyperlink r:id="rId4" w:history="1">
        <w:r w:rsidRPr="00F40346">
          <w:rPr>
            <w:rStyle w:val="Hyperlink"/>
            <w:rFonts w:ascii="Palatino Linotype" w:hAnsi="Palatino Linotype" w:cs="Times New Roman"/>
          </w:rPr>
          <w:t>https://perma.cc/X93F-GHM5</w:t>
        </w:r>
      </w:hyperlink>
      <w:r w:rsidRPr="00F40346">
        <w:rPr>
          <w:rFonts w:ascii="Palatino Linotype" w:hAnsi="Palatino Linotype" w:cs="Times New Roman"/>
        </w:rPr>
        <w:t xml:space="preserve"> and </w:t>
      </w:r>
      <w:hyperlink r:id="rId5" w:history="1">
        <w:r w:rsidRPr="00F40346">
          <w:rPr>
            <w:rStyle w:val="Hyperlink"/>
            <w:rFonts w:ascii="Palatino Linotype" w:hAnsi="Palatino Linotype" w:cs="Times New Roman"/>
          </w:rPr>
          <w:t>https://perma.cc/KD4J-VQXF</w:t>
        </w:r>
      </w:hyperlink>
      <w:r w:rsidRPr="00F40346">
        <w:rPr>
          <w:rFonts w:ascii="Palatino Linotype" w:hAnsi="Palatino Linotype" w:cs="Times New Roman"/>
        </w:rPr>
        <w:t xml:space="preserve">. See also Anna Huggins, </w:t>
      </w:r>
      <w:r w:rsidRPr="00F40346">
        <w:rPr>
          <w:rFonts w:ascii="Palatino Linotype" w:hAnsi="Palatino Linotype" w:cs="Times New Roman"/>
          <w:i/>
        </w:rPr>
        <w:t>supra</w:t>
      </w:r>
      <w:r w:rsidRPr="00F40346">
        <w:rPr>
          <w:rFonts w:ascii="Palatino Linotype" w:hAnsi="Palatino Linotype" w:cs="Times New Roman"/>
        </w:rPr>
        <w:t xml:space="preserve"> note 5. </w:t>
      </w:r>
    </w:p>
  </w:footnote>
  <w:footnote w:id="29">
    <w:p w14:paraId="78A62E03" w14:textId="260E3BCE" w:rsidR="00196588" w:rsidRPr="00F40346" w:rsidRDefault="00196588" w:rsidP="0021624C">
      <w:pPr>
        <w:rPr>
          <w:rFonts w:ascii="Palatino Linotype" w:hAnsi="Palatino Linotype" w:cs="Times New Roman"/>
          <w:sz w:val="20"/>
          <w:szCs w:val="20"/>
        </w:rPr>
      </w:pPr>
      <w:bookmarkStart w:id="6" w:name="_Hlk488498286"/>
      <w:r w:rsidRPr="00F40346">
        <w:rPr>
          <w:rStyle w:val="FootnoteReference"/>
          <w:rFonts w:ascii="Palatino Linotype" w:hAnsi="Palatino Linotype" w:cs="Times New Roman"/>
          <w:sz w:val="20"/>
          <w:szCs w:val="20"/>
        </w:rPr>
        <w:footnoteRef/>
      </w:r>
      <w:r w:rsidRPr="00F40346">
        <w:rPr>
          <w:rFonts w:ascii="Palatino Linotype" w:hAnsi="Palatino Linotype" w:cs="Times New Roman"/>
          <w:sz w:val="20"/>
          <w:szCs w:val="20"/>
        </w:rPr>
        <w:t xml:space="preserve"> </w:t>
      </w:r>
      <w:bookmarkEnd w:id="6"/>
      <w:r w:rsidRPr="00F40346">
        <w:rPr>
          <w:rFonts w:ascii="Palatino Linotype" w:eastAsia="Times New Roman" w:hAnsi="Palatino Linotype" w:cs="Times New Roman"/>
          <w:sz w:val="20"/>
          <w:szCs w:val="20"/>
        </w:rPr>
        <w:t xml:space="preserve"> </w:t>
      </w:r>
      <w:r w:rsidRPr="00F40346">
        <w:rPr>
          <w:rFonts w:ascii="Palatino Linotype" w:eastAsia="Times New Roman" w:hAnsi="Palatino Linotype" w:cs="Times New Roman"/>
          <w:smallCaps/>
          <w:sz w:val="20"/>
          <w:szCs w:val="20"/>
        </w:rPr>
        <w:t>Adrian Evans et al., Best Practices Australian Clinical Legal Education: The Final Report of the Project </w:t>
      </w:r>
      <w:r w:rsidRPr="00F40346">
        <w:rPr>
          <w:rFonts w:ascii="Palatino Linotype" w:eastAsia="Times New Roman" w:hAnsi="Palatino Linotype" w:cs="Times New Roman"/>
          <w:i/>
          <w:iCs/>
          <w:smallCaps/>
          <w:sz w:val="20"/>
          <w:szCs w:val="20"/>
        </w:rPr>
        <w:t>Strengthening Australian Legal Education by Integrating Clinical Experiences: Identifying and Supporting Effective Practices</w:t>
      </w:r>
      <w:r w:rsidRPr="00F40346">
        <w:rPr>
          <w:rFonts w:ascii="Palatino Linotype" w:eastAsia="Times New Roman" w:hAnsi="Palatino Linotype" w:cs="Times New Roman"/>
          <w:sz w:val="20"/>
          <w:szCs w:val="20"/>
        </w:rPr>
        <w:t> (2013), file:///C:/Users/youngs/Downloads/PP10_1603_Monash_Evans_Report_2013.pdf.</w:t>
      </w:r>
    </w:p>
  </w:footnote>
  <w:footnote w:id="30">
    <w:p w14:paraId="5B115C29" w14:textId="1449BBC0" w:rsidR="00196588" w:rsidRPr="00F40346" w:rsidRDefault="00196588" w:rsidP="0021624C">
      <w:pPr>
        <w:rPr>
          <w:rFonts w:ascii="Palatino Linotype" w:hAnsi="Palatino Linotype" w:cs="Times New Roman"/>
          <w:sz w:val="20"/>
          <w:szCs w:val="20"/>
        </w:rPr>
      </w:pPr>
      <w:bookmarkStart w:id="7" w:name="_Hlk488233188"/>
      <w:r w:rsidRPr="00F40346">
        <w:rPr>
          <w:rStyle w:val="FootnoteReference"/>
          <w:rFonts w:ascii="Palatino Linotype" w:hAnsi="Palatino Linotype" w:cs="Times New Roman"/>
          <w:sz w:val="20"/>
          <w:szCs w:val="20"/>
        </w:rPr>
        <w:footnoteRef/>
      </w:r>
      <w:r w:rsidRPr="00F40346">
        <w:rPr>
          <w:rFonts w:ascii="Palatino Linotype" w:hAnsi="Palatino Linotype" w:cs="Times New Roman"/>
          <w:sz w:val="20"/>
          <w:szCs w:val="20"/>
        </w:rPr>
        <w:t xml:space="preserve"> The Practical Legal Training Competency Standards for Entry-Level Lawyers are contained in Schedule 2 of the Uniform Admission Rules 2015. See Law Admissions Consultative Committee, Practical Legal Training Competency Standards for Entry-Level Lawyers (2015), Standard 3.1 available at </w:t>
      </w:r>
      <w:bookmarkEnd w:id="7"/>
      <w:r w:rsidRPr="00F40346">
        <w:rPr>
          <w:rFonts w:ascii="Palatino Linotype" w:eastAsia="Times New Roman" w:hAnsi="Palatino Linotype" w:cs="Times New Roman"/>
          <w:smallCaps/>
          <w:sz w:val="20"/>
          <w:szCs w:val="20"/>
        </w:rPr>
        <w:t xml:space="preserve">Legal Profession Uniform Admission Rules Sched. 2 (Legal Services Council </w:t>
      </w:r>
      <w:r w:rsidRPr="00F40346">
        <w:rPr>
          <w:rFonts w:ascii="Palatino Linotype" w:eastAsia="Times New Roman" w:hAnsi="Palatino Linotype" w:cs="Times New Roman"/>
          <w:sz w:val="20"/>
          <w:szCs w:val="20"/>
        </w:rPr>
        <w:t>2015), </w:t>
      </w:r>
      <w:hyperlink r:id="rId6" w:tgtFrame="_blank" w:history="1">
        <w:r w:rsidRPr="00F40346">
          <w:rPr>
            <w:rFonts w:ascii="Palatino Linotype" w:eastAsia="Times New Roman" w:hAnsi="Palatino Linotype" w:cs="Times New Roman"/>
            <w:color w:val="1155CC"/>
            <w:sz w:val="20"/>
            <w:szCs w:val="20"/>
            <w:u w:val="single"/>
          </w:rPr>
          <w:t>https://www.legislation.nsw.gov.au/regulations/2015-240.pdf</w:t>
        </w:r>
      </w:hyperlink>
      <w:r w:rsidRPr="00F40346">
        <w:rPr>
          <w:rFonts w:ascii="Palatino Linotype" w:eastAsia="Times New Roman" w:hAnsi="Palatino Linotype" w:cs="Times New Roman"/>
          <w:sz w:val="20"/>
          <w:szCs w:val="20"/>
        </w:rPr>
        <w:t>.</w:t>
      </w:r>
    </w:p>
  </w:footnote>
  <w:footnote w:id="31">
    <w:p w14:paraId="44096E7B" w14:textId="5A17D153" w:rsidR="00196588" w:rsidRPr="00F40346" w:rsidRDefault="00196588" w:rsidP="00FC2FE2">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rPr>
        <w:t>Id</w:t>
      </w:r>
      <w:r w:rsidRPr="00F40346">
        <w:rPr>
          <w:rFonts w:ascii="Palatino Linotype" w:hAnsi="Palatino Linotype" w:cs="Times New Roman"/>
        </w:rPr>
        <w:t xml:space="preserve">, Standard 4.1, </w:t>
      </w:r>
      <w:r w:rsidRPr="00F40346">
        <w:rPr>
          <w:rFonts w:ascii="Palatino Linotype" w:hAnsi="Palatino Linotype" w:cs="Times New Roman"/>
          <w:i/>
        </w:rPr>
        <w:t xml:space="preserve">cf. </w:t>
      </w:r>
      <w:r w:rsidRPr="00F40346">
        <w:rPr>
          <w:rFonts w:ascii="Palatino Linotype" w:hAnsi="Palatino Linotype" w:cs="Times New Roman"/>
        </w:rPr>
        <w:t>Standards 5.10. 5.12, 5.14 &amp; 5.16 in relation to Skills requirements.</w:t>
      </w:r>
    </w:p>
  </w:footnote>
  <w:footnote w:id="32">
    <w:p w14:paraId="5FF0EAC3" w14:textId="37CE8EDF" w:rsidR="00196588" w:rsidRPr="00F40346" w:rsidRDefault="00196588" w:rsidP="0021624C">
      <w:pPr>
        <w:rPr>
          <w:rFonts w:ascii="Palatino Linotype" w:hAnsi="Palatino Linotype" w:cs="Times New Roman"/>
          <w:sz w:val="20"/>
          <w:szCs w:val="20"/>
        </w:rPr>
      </w:pPr>
      <w:r w:rsidRPr="00F40346">
        <w:rPr>
          <w:rStyle w:val="FootnoteReference"/>
          <w:rFonts w:ascii="Palatino Linotype" w:hAnsi="Palatino Linotype" w:cs="Times New Roman"/>
          <w:sz w:val="20"/>
          <w:szCs w:val="20"/>
        </w:rPr>
        <w:footnoteRef/>
      </w:r>
      <w:r w:rsidRPr="00F40346">
        <w:rPr>
          <w:rFonts w:ascii="Palatino Linotype" w:hAnsi="Palatino Linotype" w:cs="Times New Roman"/>
          <w:sz w:val="20"/>
          <w:szCs w:val="20"/>
        </w:rPr>
        <w:t xml:space="preserve"> </w:t>
      </w:r>
      <w:r w:rsidRPr="00F40346">
        <w:rPr>
          <w:rFonts w:ascii="Palatino Linotype" w:eastAsia="Times New Roman" w:hAnsi="Palatino Linotype" w:cs="Times New Roman"/>
          <w:smallCaps/>
          <w:sz w:val="20"/>
          <w:szCs w:val="20"/>
        </w:rPr>
        <w:t>Standards for PLT Workplace Experience (Law Admissions Consultative Committee</w:t>
      </w:r>
      <w:r w:rsidRPr="00F40346">
        <w:rPr>
          <w:rFonts w:ascii="Palatino Linotype" w:eastAsia="Times New Roman" w:hAnsi="Palatino Linotype" w:cs="Times New Roman"/>
          <w:sz w:val="20"/>
          <w:szCs w:val="20"/>
        </w:rPr>
        <w:t> 2017), </w:t>
      </w:r>
      <w:hyperlink r:id="rId7" w:tgtFrame="_blank" w:history="1">
        <w:r w:rsidRPr="00F40346">
          <w:rPr>
            <w:rFonts w:ascii="Palatino Linotype" w:eastAsia="Times New Roman" w:hAnsi="Palatino Linotype" w:cs="Times New Roman"/>
            <w:color w:val="1155CC"/>
            <w:sz w:val="20"/>
            <w:szCs w:val="20"/>
            <w:u w:val="single"/>
          </w:rPr>
          <w:t>https://www.lawcouncil.asn.au/files/web-pdf/LACC%20docs/240769433_8_Standards_for_PLT_Workplace_Experience.pdf</w:t>
        </w:r>
      </w:hyperlink>
      <w:r w:rsidRPr="00F40346">
        <w:rPr>
          <w:rFonts w:ascii="Palatino Linotype" w:eastAsia="Times New Roman" w:hAnsi="Palatino Linotype" w:cs="Times New Roman"/>
          <w:sz w:val="20"/>
          <w:szCs w:val="20"/>
        </w:rPr>
        <w:t>.</w:t>
      </w:r>
    </w:p>
  </w:footnote>
  <w:footnote w:id="33">
    <w:p w14:paraId="38E03981" w14:textId="3D79C391" w:rsidR="00196588" w:rsidRPr="00F40346" w:rsidRDefault="00196588" w:rsidP="00FC2FE2">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Jeff Giddings, </w:t>
      </w:r>
      <w:r w:rsidRPr="00F40346">
        <w:rPr>
          <w:rFonts w:ascii="Palatino Linotype" w:hAnsi="Palatino Linotype" w:cs="Times New Roman"/>
          <w:bCs/>
          <w:i/>
          <w:lang w:val="en-US"/>
        </w:rPr>
        <w:t>The Assumption of Responsibility: Supervision Practices in Experiential Legal Education,</w:t>
      </w:r>
      <w:r w:rsidRPr="00F40346">
        <w:rPr>
          <w:rFonts w:ascii="Palatino Linotype" w:hAnsi="Palatino Linotype" w:cs="Times New Roman"/>
          <w:bCs/>
          <w:lang w:val="en-US"/>
        </w:rPr>
        <w:t xml:space="preserve"> </w:t>
      </w:r>
      <w:r w:rsidRPr="00F40346">
        <w:rPr>
          <w:rFonts w:ascii="Palatino Linotype" w:hAnsi="Palatino Linotype" w:cs="Times New Roman"/>
          <w:bCs/>
          <w:i/>
          <w:lang w:val="en-US"/>
        </w:rPr>
        <w:t>in</w:t>
      </w:r>
      <w:r w:rsidRPr="00F40346">
        <w:rPr>
          <w:rFonts w:ascii="Palatino Linotype" w:hAnsi="Palatino Linotype" w:cs="Times New Roman"/>
          <w:bCs/>
          <w:lang w:val="en-US"/>
        </w:rPr>
        <w:t xml:space="preserve"> </w:t>
      </w:r>
      <w:r w:rsidRPr="00F40346">
        <w:rPr>
          <w:rFonts w:ascii="Palatino Linotype" w:hAnsi="Palatino Linotype" w:cs="Times New Roman"/>
          <w:bCs/>
          <w:smallCaps/>
          <w:lang w:val="en-US"/>
        </w:rPr>
        <w:t>Global Legal Education Approaches: Special Reference to the Middle East 29-52</w:t>
      </w:r>
      <w:r w:rsidRPr="00F40346">
        <w:rPr>
          <w:rFonts w:ascii="Palatino Linotype" w:hAnsi="Palatino Linotype" w:cs="Times New Roman"/>
          <w:bCs/>
          <w:lang w:val="en-US"/>
        </w:rPr>
        <w:t xml:space="preserve">, Mutaz Qafisheh &amp; Stephen Rosenbaum (eds. 2016); Jeff Giddings &amp; Michael McNamara, </w:t>
      </w:r>
      <w:r w:rsidRPr="00F40346">
        <w:rPr>
          <w:rFonts w:ascii="Palatino Linotype" w:hAnsi="Palatino Linotype" w:cs="Times New Roman"/>
          <w:bCs/>
          <w:i/>
          <w:lang w:val="en-US"/>
        </w:rPr>
        <w:t>Preparing Generations of Future Lawyers for Legal Practice: What’s Supervision Got to Do with It?</w:t>
      </w:r>
      <w:r w:rsidRPr="00F40346">
        <w:rPr>
          <w:rFonts w:ascii="Palatino Linotype" w:hAnsi="Palatino Linotype" w:cs="Times New Roman"/>
          <w:bCs/>
          <w:lang w:val="en-US"/>
        </w:rPr>
        <w:t xml:space="preserve"> 37 </w:t>
      </w:r>
      <w:bookmarkStart w:id="8" w:name="_Hlk488429905"/>
      <w:r w:rsidRPr="00F40346">
        <w:rPr>
          <w:rFonts w:ascii="Palatino Linotype" w:hAnsi="Palatino Linotype" w:cs="Times New Roman"/>
          <w:bCs/>
          <w:lang w:val="en-US"/>
        </w:rPr>
        <w:t xml:space="preserve">U.N.S.W.L.J. </w:t>
      </w:r>
      <w:bookmarkEnd w:id="8"/>
      <w:r w:rsidRPr="00F40346">
        <w:rPr>
          <w:rFonts w:ascii="Palatino Linotype" w:hAnsi="Palatino Linotype" w:cs="Times New Roman"/>
          <w:bCs/>
          <w:lang w:val="en-US"/>
        </w:rPr>
        <w:t>1226 (2014).</w:t>
      </w:r>
    </w:p>
  </w:footnote>
  <w:footnote w:id="34">
    <w:p w14:paraId="0D0AD505" w14:textId="636B827E" w:rsidR="00196588" w:rsidRPr="00F40346" w:rsidRDefault="00196588" w:rsidP="00FC2FE2">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bookmarkStart w:id="9" w:name="_Hlk488830328"/>
      <w:r w:rsidRPr="00F40346">
        <w:rPr>
          <w:rFonts w:ascii="Palatino Linotype" w:hAnsi="Palatino Linotype" w:cs="Times New Roman"/>
          <w:color w:val="222222"/>
        </w:rPr>
        <w:t xml:space="preserve">This summary of the Joint Statement requirements is taken from </w:t>
      </w:r>
      <w:r w:rsidRPr="00F40346">
        <w:rPr>
          <w:rFonts w:ascii="Palatino Linotype" w:hAnsi="Palatino Linotype" w:cs="Times New Roman"/>
          <w:smallCaps/>
          <w:color w:val="222222"/>
        </w:rPr>
        <w:t>Legal Education and Training Review Final Report, </w:t>
      </w:r>
      <w:r w:rsidRPr="00F40346">
        <w:rPr>
          <w:rFonts w:ascii="Palatino Linotype" w:hAnsi="Palatino Linotype" w:cs="Times New Roman"/>
          <w:iCs/>
          <w:smallCaps/>
          <w:color w:val="222222"/>
        </w:rPr>
        <w:t>Setting Standards: The Future of Legal Services Education and Training Regulation in England and Wales</w:t>
      </w:r>
      <w:r w:rsidRPr="00F40346">
        <w:rPr>
          <w:rFonts w:ascii="Palatino Linotype" w:hAnsi="Palatino Linotype" w:cs="Times New Roman"/>
          <w:smallCaps/>
          <w:color w:val="222222"/>
        </w:rPr>
        <w:t> </w:t>
      </w:r>
      <w:r w:rsidRPr="00F40346">
        <w:rPr>
          <w:rFonts w:ascii="Palatino Linotype" w:hAnsi="Palatino Linotype" w:cs="Times New Roman"/>
          <w:color w:val="222222"/>
        </w:rPr>
        <w:t xml:space="preserve">Ch. 2, Annex 1 (June 2013), </w:t>
      </w:r>
      <w:hyperlink r:id="rId8" w:history="1">
        <w:r w:rsidR="00E73E1E" w:rsidRPr="00F40346">
          <w:rPr>
            <w:rStyle w:val="Hyperlink"/>
            <w:rFonts w:ascii="Palatino Linotype" w:hAnsi="Palatino Linotype" w:cs="Times New Roman"/>
          </w:rPr>
          <w:t>http://www.letr.org.uk/wp-content/uploads/LETR-Report.pdf</w:t>
        </w:r>
      </w:hyperlink>
      <w:r w:rsidRPr="00F40346">
        <w:rPr>
          <w:rFonts w:ascii="Palatino Linotype" w:hAnsi="Palatino Linotype" w:cs="Times New Roman"/>
          <w:color w:val="222222"/>
        </w:rPr>
        <w:t>.</w:t>
      </w:r>
      <w:bookmarkEnd w:id="9"/>
      <w:r w:rsidR="00E73E1E" w:rsidRPr="00F40346">
        <w:rPr>
          <w:rFonts w:ascii="Palatino Linotype" w:hAnsi="Palatino Linotype" w:cs="Times New Roman"/>
          <w:color w:val="222222"/>
        </w:rPr>
        <w:t xml:space="preserve"> </w:t>
      </w:r>
    </w:p>
  </w:footnote>
  <w:footnote w:id="35">
    <w:p w14:paraId="739ADB68" w14:textId="4115312A" w:rsidR="00196588" w:rsidRPr="00F40346" w:rsidRDefault="00196588" w:rsidP="00FC2FE2">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rPr>
        <w:t xml:space="preserve">Id. </w:t>
      </w:r>
    </w:p>
  </w:footnote>
  <w:footnote w:id="36">
    <w:p w14:paraId="27BC4BD4" w14:textId="578087BF" w:rsidR="00196588" w:rsidRPr="00F40346" w:rsidRDefault="00196588">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rPr>
        <w:t xml:space="preserve">Legal Education and Training Review, Setting Standards: The Future of Legal Services Education and Training Regulation in England and Wales </w:t>
      </w:r>
      <w:r w:rsidRPr="00F40346">
        <w:rPr>
          <w:rFonts w:ascii="Palatino Linotype" w:hAnsi="Palatino Linotype" w:cs="Times New Roman"/>
        </w:rPr>
        <w:t>140 (2013), </w:t>
      </w:r>
      <w:hyperlink r:id="rId9" w:tgtFrame="_blank" w:history="1">
        <w:r w:rsidRPr="00F40346">
          <w:rPr>
            <w:rFonts w:ascii="Palatino Linotype" w:hAnsi="Palatino Linotype" w:cs="Times New Roman"/>
            <w:color w:val="1155CC"/>
            <w:u w:val="single"/>
          </w:rPr>
          <w:t>http://www.letr.org.uk/wp-content/uploads/LETR-Report.pdf</w:t>
        </w:r>
      </w:hyperlink>
      <w:r w:rsidRPr="00F40346">
        <w:rPr>
          <w:rFonts w:ascii="Palatino Linotype" w:hAnsi="Palatino Linotype" w:cs="Times New Roman"/>
        </w:rPr>
        <w:t>.</w:t>
      </w:r>
    </w:p>
  </w:footnote>
  <w:footnote w:id="37">
    <w:p w14:paraId="16E026A3" w14:textId="22C8EEAC" w:rsidR="00196588" w:rsidRPr="00F40346" w:rsidRDefault="00196588" w:rsidP="0021624C">
      <w:pPr>
        <w:rPr>
          <w:rFonts w:ascii="Palatino Linotype" w:hAnsi="Palatino Linotype" w:cs="Times New Roman"/>
          <w:sz w:val="20"/>
          <w:szCs w:val="20"/>
        </w:rPr>
      </w:pPr>
      <w:r w:rsidRPr="00F40346">
        <w:rPr>
          <w:rStyle w:val="FootnoteReference"/>
          <w:rFonts w:ascii="Palatino Linotype" w:hAnsi="Palatino Linotype" w:cs="Times New Roman"/>
          <w:sz w:val="20"/>
          <w:szCs w:val="20"/>
        </w:rPr>
        <w:footnoteRef/>
      </w:r>
      <w:r w:rsidRPr="00F40346">
        <w:rPr>
          <w:rFonts w:ascii="Palatino Linotype" w:hAnsi="Palatino Linotype" w:cs="Times New Roman"/>
          <w:sz w:val="20"/>
          <w:szCs w:val="20"/>
        </w:rPr>
        <w:t xml:space="preserve"> </w:t>
      </w:r>
      <w:r w:rsidRPr="00F40346">
        <w:rPr>
          <w:rFonts w:ascii="Palatino Linotype" w:eastAsia="Times New Roman" w:hAnsi="Palatino Linotype" w:cs="Times New Roman"/>
          <w:smallCaps/>
          <w:sz w:val="20"/>
          <w:szCs w:val="20"/>
        </w:rPr>
        <w:t>Model Standards for Live Client Clinics</w:t>
      </w:r>
      <w:r w:rsidRPr="00F40346">
        <w:rPr>
          <w:rFonts w:ascii="Palatino Linotype" w:eastAsia="Times New Roman" w:hAnsi="Palatino Linotype" w:cs="Times New Roman"/>
          <w:i/>
          <w:iCs/>
          <w:smallCaps/>
          <w:sz w:val="20"/>
          <w:szCs w:val="20"/>
        </w:rPr>
        <w:t> </w:t>
      </w:r>
      <w:r w:rsidRPr="00F40346">
        <w:rPr>
          <w:rFonts w:ascii="Palatino Linotype" w:eastAsia="Times New Roman" w:hAnsi="Palatino Linotype" w:cs="Times New Roman"/>
          <w:smallCaps/>
          <w:sz w:val="20"/>
          <w:szCs w:val="20"/>
        </w:rPr>
        <w:t>(Clinical Legal Education Organisation</w:t>
      </w:r>
      <w:r w:rsidRPr="00F40346">
        <w:rPr>
          <w:rFonts w:ascii="Palatino Linotype" w:eastAsia="Times New Roman" w:hAnsi="Palatino Linotype" w:cs="Times New Roman"/>
          <w:sz w:val="20"/>
          <w:szCs w:val="20"/>
        </w:rPr>
        <w:t> 2007), </w:t>
      </w:r>
      <w:hyperlink r:id="rId10" w:tgtFrame="_blank" w:history="1">
        <w:r w:rsidRPr="00F40346">
          <w:rPr>
            <w:rFonts w:ascii="Palatino Linotype" w:eastAsia="Times New Roman" w:hAnsi="Palatino Linotype" w:cs="Times New Roman"/>
            <w:color w:val="1155CC"/>
            <w:sz w:val="20"/>
            <w:szCs w:val="20"/>
            <w:u w:val="single"/>
          </w:rPr>
          <w:t>https://perma.cc/HR7Y-HSY5</w:t>
        </w:r>
      </w:hyperlink>
      <w:r w:rsidRPr="00F40346">
        <w:rPr>
          <w:rFonts w:ascii="Palatino Linotype" w:eastAsia="Times New Roman" w:hAnsi="Palatino Linotype" w:cs="Times New Roman"/>
          <w:sz w:val="20"/>
          <w:szCs w:val="20"/>
        </w:rPr>
        <w:t>.</w:t>
      </w:r>
    </w:p>
  </w:footnote>
  <w:footnote w:id="38">
    <w:p w14:paraId="3036E673" w14:textId="65608515" w:rsidR="00196588" w:rsidRPr="00F40346" w:rsidRDefault="00196588" w:rsidP="00FC2FE2">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hyperlink r:id="rId11" w:history="1">
        <w:r w:rsidR="00E73E1E" w:rsidRPr="00F40346">
          <w:rPr>
            <w:rStyle w:val="Hyperlink"/>
            <w:rFonts w:ascii="Palatino Linotype" w:hAnsi="Palatino Linotype" w:cs="Times New Roman"/>
          </w:rPr>
          <w:t>http://docs.flsc.ca/NCANatReqNov2015.pdf</w:t>
        </w:r>
      </w:hyperlink>
      <w:r w:rsidR="00E73E1E" w:rsidRPr="00F40346">
        <w:rPr>
          <w:rFonts w:ascii="Palatino Linotype" w:hAnsi="Palatino Linotype" w:cs="Times New Roman"/>
        </w:rPr>
        <w:t xml:space="preserve"> </w:t>
      </w:r>
    </w:p>
  </w:footnote>
  <w:footnote w:id="39">
    <w:p w14:paraId="45339C33" w14:textId="46540B6E" w:rsidR="00196588" w:rsidRPr="00F40346" w:rsidRDefault="00196588" w:rsidP="0021624C">
      <w:pPr>
        <w:pStyle w:val="FootnoteText"/>
        <w:jc w:val="both"/>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Email from Gemma Smyth to Jeff Giddings, (August 25, 2016) (on file with the author).</w:t>
      </w:r>
    </w:p>
  </w:footnote>
  <w:footnote w:id="40">
    <w:p w14:paraId="4ED2B6C1" w14:textId="5A843604" w:rsidR="00196588" w:rsidRPr="00F40346" w:rsidRDefault="00196588" w:rsidP="0021624C">
      <w:pPr>
        <w:widowControl w:val="0"/>
        <w:autoSpaceDE w:val="0"/>
        <w:autoSpaceDN w:val="0"/>
        <w:adjustRightInd w:val="0"/>
        <w:rPr>
          <w:rFonts w:ascii="Palatino Linotype" w:hAnsi="Palatino Linotype" w:cs="Times New Roman"/>
          <w:sz w:val="20"/>
          <w:szCs w:val="20"/>
        </w:rPr>
      </w:pPr>
      <w:bookmarkStart w:id="10" w:name="_Hlk488830412"/>
      <w:r w:rsidRPr="00F40346">
        <w:rPr>
          <w:rStyle w:val="FootnoteReference"/>
          <w:rFonts w:ascii="Palatino Linotype" w:hAnsi="Palatino Linotype" w:cs="Times New Roman"/>
          <w:sz w:val="20"/>
          <w:szCs w:val="20"/>
        </w:rPr>
        <w:footnoteRef/>
      </w:r>
      <w:r w:rsidRPr="00F40346">
        <w:rPr>
          <w:rFonts w:ascii="Palatino Linotype" w:hAnsi="Palatino Linotype" w:cs="Times New Roman"/>
          <w:sz w:val="20"/>
          <w:szCs w:val="20"/>
        </w:rPr>
        <w:t xml:space="preserve"> </w:t>
      </w:r>
      <w:r w:rsidRPr="00F40346">
        <w:rPr>
          <w:rFonts w:ascii="Palatino Linotype" w:eastAsia="Times New Roman" w:hAnsi="Palatino Linotype" w:cs="Times New Roman"/>
          <w:smallCaps/>
          <w:color w:val="000000"/>
          <w:sz w:val="20"/>
          <w:szCs w:val="20"/>
        </w:rPr>
        <w:t>Am. Bar Ass’n, Legal Education and Professional Development-An Educational Continuum, Report of the Task Force on Law Schools and the Profession: Narrowing the Gap</w:t>
      </w:r>
      <w:r w:rsidRPr="00F40346">
        <w:rPr>
          <w:rFonts w:ascii="Palatino Linotype" w:eastAsia="Times New Roman" w:hAnsi="Palatino Linotype" w:cs="Times New Roman"/>
          <w:color w:val="000000"/>
          <w:sz w:val="20"/>
          <w:szCs w:val="20"/>
        </w:rPr>
        <w:t xml:space="preserve"> (1992), https://www.americanbar.org/content/dam/aba/publications/misc/legal_education/2013_legal_education_and_professional_development_maccrate_report).authcheckdam.pdf. [hereinafter MacCrate Report].</w:t>
      </w:r>
      <w:bookmarkEnd w:id="10"/>
    </w:p>
  </w:footnote>
  <w:footnote w:id="41">
    <w:p w14:paraId="04B9D99E" w14:textId="1D192C92" w:rsidR="00196588" w:rsidRPr="00F40346" w:rsidRDefault="00196588" w:rsidP="00FC2FE2">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Id.</w:t>
      </w:r>
      <w:r w:rsidRPr="00F40346">
        <w:rPr>
          <w:rFonts w:ascii="Palatino Linotype" w:hAnsi="Palatino Linotype" w:cs="Times New Roman"/>
          <w:lang w:val="en-US"/>
        </w:rPr>
        <w:t xml:space="preserve"> at 138</w:t>
      </w:r>
      <w:r w:rsidRPr="00F40346">
        <w:rPr>
          <w:rFonts w:ascii="Palatino Linotype" w:hAnsi="Palatino Linotype" w:cs="Times New Roman"/>
        </w:rPr>
        <w:t>–</w:t>
      </w:r>
      <w:r w:rsidRPr="00F40346">
        <w:rPr>
          <w:rFonts w:ascii="Palatino Linotype" w:hAnsi="Palatino Linotype" w:cs="Times New Roman"/>
          <w:lang w:val="en-US"/>
        </w:rPr>
        <w:t xml:space="preserve">40. </w:t>
      </w:r>
    </w:p>
  </w:footnote>
  <w:footnote w:id="42">
    <w:p w14:paraId="2E2A968B" w14:textId="10587957" w:rsidR="00196588" w:rsidRPr="00F40346" w:rsidRDefault="00196588" w:rsidP="00FC2FE2">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lang w:val="en-US"/>
        </w:rPr>
        <w:t xml:space="preserve">Stuckey et. al.,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4, at 65</w:t>
      </w:r>
      <w:r w:rsidRPr="00F40346">
        <w:rPr>
          <w:rFonts w:ascii="Palatino Linotype" w:hAnsi="Palatino Linotype" w:cs="Times New Roman"/>
        </w:rPr>
        <w:t>–</w:t>
      </w:r>
      <w:r w:rsidRPr="00F40346">
        <w:rPr>
          <w:rFonts w:ascii="Palatino Linotype" w:hAnsi="Palatino Linotype" w:cs="Times New Roman"/>
          <w:lang w:val="en-US"/>
        </w:rPr>
        <w:t xml:space="preserve">79 (2007). </w:t>
      </w:r>
    </w:p>
  </w:footnote>
  <w:footnote w:id="43">
    <w:p w14:paraId="32DE1363" w14:textId="77777777" w:rsidR="00196588" w:rsidRPr="00F40346" w:rsidRDefault="00196588" w:rsidP="00FC2FE2">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Id.</w:t>
      </w:r>
      <w:r w:rsidRPr="00F40346">
        <w:rPr>
          <w:rFonts w:ascii="Palatino Linotype" w:hAnsi="Palatino Linotype" w:cs="Times New Roman"/>
          <w:lang w:val="en-US"/>
        </w:rPr>
        <w:t xml:space="preserve"> at 77.</w:t>
      </w:r>
    </w:p>
  </w:footnote>
  <w:footnote w:id="44">
    <w:p w14:paraId="3F09AA6A" w14:textId="139C9BE4" w:rsidR="00196588" w:rsidRPr="00F40346" w:rsidRDefault="00196588" w:rsidP="00BC6688">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Schultz &amp; Zedeck, </w:t>
      </w:r>
      <w:r w:rsidRPr="00F40346">
        <w:rPr>
          <w:rFonts w:ascii="Palatino Linotype" w:hAnsi="Palatino Linotype" w:cs="Times New Roman"/>
          <w:i/>
        </w:rPr>
        <w:t xml:space="preserve">supra </w:t>
      </w:r>
      <w:r w:rsidRPr="00F40346">
        <w:rPr>
          <w:rFonts w:ascii="Palatino Linotype" w:hAnsi="Palatino Linotype" w:cs="Times New Roman"/>
        </w:rPr>
        <w:t xml:space="preserve">note 15; </w:t>
      </w:r>
      <w:r w:rsidRPr="00F40346">
        <w:rPr>
          <w:rFonts w:ascii="Palatino Linotype" w:hAnsi="Palatino Linotype" w:cs="Times New Roman"/>
          <w:lang w:val="en-US"/>
        </w:rPr>
        <w:t xml:space="preserve">Kristen Holmquist, Marjorie Shultz, Sheldon Zedeck and David Oppenheimer, </w:t>
      </w:r>
      <w:r w:rsidRPr="00F40346">
        <w:rPr>
          <w:rFonts w:ascii="Palatino Linotype" w:hAnsi="Palatino Linotype" w:cs="Times New Roman"/>
          <w:i/>
          <w:lang w:val="en-US"/>
        </w:rPr>
        <w:t>Measuring Merit: The Shultz-Zedeck Research on Law School Admissions</w:t>
      </w:r>
      <w:r w:rsidRPr="00F40346">
        <w:rPr>
          <w:rFonts w:ascii="Palatino Linotype" w:hAnsi="Palatino Linotype" w:cs="Times New Roman"/>
          <w:lang w:val="en-US"/>
        </w:rPr>
        <w:t xml:space="preserve">, 63 </w:t>
      </w:r>
      <w:r w:rsidRPr="00F40346">
        <w:rPr>
          <w:rFonts w:ascii="Palatino Linotype" w:hAnsi="Palatino Linotype" w:cs="Times New Roman"/>
          <w:smallCaps/>
          <w:lang w:val="en-US"/>
        </w:rPr>
        <w:t>J. Legal Educ</w:t>
      </w:r>
      <w:r w:rsidRPr="00F40346">
        <w:rPr>
          <w:rFonts w:ascii="Palatino Linotype" w:hAnsi="Palatino Linotype" w:cs="Times New Roman"/>
          <w:lang w:val="en-US"/>
        </w:rPr>
        <w:t>. 565, 577</w:t>
      </w:r>
      <w:r w:rsidRPr="00F40346">
        <w:rPr>
          <w:rFonts w:ascii="Palatino Linotype" w:hAnsi="Palatino Linotype" w:cs="Times New Roman"/>
        </w:rPr>
        <w:t>–</w:t>
      </w:r>
      <w:r w:rsidRPr="00F40346">
        <w:rPr>
          <w:rFonts w:ascii="Palatino Linotype" w:hAnsi="Palatino Linotype" w:cs="Times New Roman"/>
          <w:lang w:val="en-US"/>
        </w:rPr>
        <w:t xml:space="preserve">787, n. 45 (2014).  </w:t>
      </w:r>
    </w:p>
  </w:footnote>
  <w:footnote w:id="45">
    <w:p w14:paraId="1D931CCF" w14:textId="52C7016B" w:rsidR="00196588" w:rsidRPr="00F40346" w:rsidRDefault="00196588" w:rsidP="00FC2FE2">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Carolyn Wilkes Kass with Batt, Bauman &amp; Schaffzin, </w:t>
      </w:r>
      <w:r w:rsidRPr="00F40346">
        <w:rPr>
          <w:rFonts w:ascii="Palatino Linotype" w:hAnsi="Palatino Linotype" w:cs="Times New Roman"/>
          <w:i/>
        </w:rPr>
        <w:t>Experiential Education: Delivering Effective Education in Externship Programs,</w:t>
      </w:r>
      <w:r w:rsidRPr="00F40346">
        <w:rPr>
          <w:rFonts w:ascii="Palatino Linotype" w:hAnsi="Palatino Linotype" w:cs="Times New Roman"/>
        </w:rPr>
        <w:t xml:space="preserve"> </w:t>
      </w:r>
      <w:r w:rsidRPr="00F40346">
        <w:rPr>
          <w:rFonts w:ascii="Palatino Linotype" w:hAnsi="Palatino Linotype" w:cs="Times New Roman"/>
          <w:i/>
        </w:rPr>
        <w:t>in</w:t>
      </w:r>
      <w:r w:rsidRPr="00F40346">
        <w:rPr>
          <w:rFonts w:ascii="Palatino Linotype" w:hAnsi="Palatino Linotype" w:cs="Times New Roman"/>
        </w:rPr>
        <w:t xml:space="preserve"> </w:t>
      </w:r>
      <w:r w:rsidRPr="00F40346">
        <w:rPr>
          <w:rFonts w:ascii="Palatino Linotype" w:hAnsi="Palatino Linotype" w:cs="Times New Roman"/>
          <w:smallCaps/>
          <w:lang w:val="en-US"/>
        </w:rPr>
        <w:t>Building on Best Practices:  Transforming LEGAL EDUCATION in a Changing World</w:t>
      </w:r>
      <w:r w:rsidRPr="00F40346">
        <w:rPr>
          <w:rFonts w:ascii="Palatino Linotype" w:hAnsi="Palatino Linotype" w:cs="Times New Roman"/>
          <w:lang w:val="en-US"/>
        </w:rPr>
        <w:t xml:space="preserve"> 216 (Maranville, Bliss, Kaas &amp; Sedillo López, eds. 2016). </w:t>
      </w:r>
    </w:p>
  </w:footnote>
  <w:footnote w:id="46">
    <w:p w14:paraId="2FC4F5C3" w14:textId="04DF0526" w:rsidR="00196588" w:rsidRPr="00F40346" w:rsidRDefault="00196588" w:rsidP="00FC2FE2">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 xml:space="preserve">Id. </w:t>
      </w:r>
      <w:r w:rsidRPr="00F40346">
        <w:rPr>
          <w:rFonts w:ascii="Palatino Linotype" w:hAnsi="Palatino Linotype" w:cs="Times New Roman"/>
          <w:lang w:val="en-US"/>
        </w:rPr>
        <w:t>at 216</w:t>
      </w:r>
      <w:r w:rsidRPr="00F40346">
        <w:rPr>
          <w:rFonts w:ascii="Palatino Linotype" w:hAnsi="Palatino Linotype" w:cs="Times New Roman"/>
        </w:rPr>
        <w:t>–</w:t>
      </w:r>
      <w:r w:rsidRPr="00F40346">
        <w:rPr>
          <w:rFonts w:ascii="Palatino Linotype" w:hAnsi="Palatino Linotype" w:cs="Times New Roman"/>
          <w:lang w:val="en-US"/>
        </w:rPr>
        <w:t>17.</w:t>
      </w:r>
    </w:p>
  </w:footnote>
  <w:footnote w:id="47">
    <w:p w14:paraId="3705C9CE" w14:textId="442D5583" w:rsidR="00196588" w:rsidRPr="00F40346" w:rsidRDefault="00196588">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rPr>
        <w:t xml:space="preserve">Adrian Evans, Anna Cody, Anna Copeland, Jeff Giddings, Peter Joy, Mary Anne Noone, &amp; Simon Rice, Australian Clinical Legal Education: Designing and Operating a Best Practice Clinical Program in an Australian Law School (2017) </w:t>
      </w:r>
      <w:r w:rsidRPr="00F40346">
        <w:rPr>
          <w:rFonts w:ascii="Palatino Linotype" w:hAnsi="Palatino Linotype" w:cs="Times New Roman"/>
          <w:i/>
        </w:rPr>
        <w:t xml:space="preserve">available at </w:t>
      </w:r>
      <w:hyperlink r:id="rId12" w:history="1">
        <w:r w:rsidR="00E73E1E" w:rsidRPr="00F40346">
          <w:rPr>
            <w:rStyle w:val="Hyperlink"/>
            <w:rFonts w:ascii="Palatino Linotype" w:hAnsi="Palatino Linotype" w:cs="Times New Roman"/>
          </w:rPr>
          <w:t>http://press.anu.edu.au/publications/australian-clinical-legal-education</w:t>
        </w:r>
      </w:hyperlink>
      <w:r w:rsidRPr="00F40346">
        <w:rPr>
          <w:rFonts w:ascii="Palatino Linotype" w:hAnsi="Palatino Linotype" w:cs="Times New Roman"/>
        </w:rPr>
        <w:t>.</w:t>
      </w:r>
      <w:r w:rsidR="00E73E1E" w:rsidRPr="00F40346">
        <w:rPr>
          <w:rFonts w:ascii="Palatino Linotype" w:hAnsi="Palatino Linotype" w:cs="Times New Roman"/>
        </w:rPr>
        <w:t xml:space="preserve"> </w:t>
      </w:r>
    </w:p>
  </w:footnote>
  <w:footnote w:id="48">
    <w:p w14:paraId="3AEED298" w14:textId="7C1DC401" w:rsidR="00196588" w:rsidRPr="00F40346" w:rsidRDefault="00196588">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 xml:space="preserve">Id. </w:t>
      </w:r>
      <w:r w:rsidRPr="00F40346">
        <w:rPr>
          <w:rFonts w:ascii="Palatino Linotype" w:hAnsi="Palatino Linotype" w:cs="Times New Roman"/>
          <w:lang w:val="en-US"/>
        </w:rPr>
        <w:t>at 73.</w:t>
      </w:r>
    </w:p>
  </w:footnote>
  <w:footnote w:id="49">
    <w:p w14:paraId="75065167" w14:textId="1CF5448A" w:rsidR="00196588" w:rsidRPr="00F40346" w:rsidRDefault="00196588">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 xml:space="preserve">Id. </w:t>
      </w:r>
      <w:r w:rsidRPr="00F40346">
        <w:rPr>
          <w:rFonts w:ascii="Palatino Linotype" w:hAnsi="Palatino Linotype" w:cs="Times New Roman"/>
          <w:lang w:val="en-US"/>
        </w:rPr>
        <w:t>at 91.</w:t>
      </w:r>
    </w:p>
  </w:footnote>
  <w:footnote w:id="50">
    <w:p w14:paraId="3F2A727E" w14:textId="60B49D58" w:rsidR="00196588" w:rsidRPr="00F40346" w:rsidRDefault="00196588" w:rsidP="000B125B">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rPr>
        <w:t>See</w:t>
      </w:r>
      <w:r w:rsidRPr="00F40346">
        <w:rPr>
          <w:rFonts w:ascii="Palatino Linotype" w:hAnsi="Palatino Linotype" w:cs="Times New Roman"/>
        </w:rPr>
        <w:t xml:space="preserve">:  Liz Ryan Cole, </w:t>
      </w:r>
      <w:r w:rsidRPr="00F40346">
        <w:rPr>
          <w:rFonts w:ascii="Palatino Linotype" w:hAnsi="Palatino Linotype" w:cs="Times New Roman"/>
          <w:i/>
        </w:rPr>
        <w:t>Lessons from a Semester in Practice</w:t>
      </w:r>
      <w:r w:rsidRPr="00F40346">
        <w:rPr>
          <w:rFonts w:ascii="Palatino Linotype" w:hAnsi="Palatino Linotype" w:cs="Times New Roman"/>
        </w:rPr>
        <w:t>, 1</w:t>
      </w:r>
      <w:r w:rsidRPr="00F40346">
        <w:rPr>
          <w:rFonts w:ascii="Palatino Linotype" w:hAnsi="Palatino Linotype" w:cs="Times New Roman"/>
          <w:smallCaps/>
        </w:rPr>
        <w:t xml:space="preserve"> Clinical L. Rev</w:t>
      </w:r>
      <w:r w:rsidRPr="00F40346">
        <w:rPr>
          <w:rFonts w:ascii="Palatino Linotype" w:hAnsi="Palatino Linotype" w:cs="Times New Roman"/>
        </w:rPr>
        <w:t xml:space="preserve">. 173, 175 (1994) and Laurie Barron &amp; Nancy M. Stuart, </w:t>
      </w:r>
      <w:r w:rsidRPr="00F40346">
        <w:rPr>
          <w:rFonts w:ascii="Palatino Linotype" w:hAnsi="Palatino Linotype" w:cs="Times New Roman"/>
          <w:i/>
        </w:rPr>
        <w:t>Charting Your Path to Success</w:t>
      </w:r>
      <w:r w:rsidRPr="00F40346">
        <w:rPr>
          <w:rFonts w:ascii="Palatino Linotype" w:hAnsi="Palatino Linotype"/>
        </w:rPr>
        <w:t>—</w:t>
      </w:r>
      <w:r w:rsidRPr="00F40346">
        <w:rPr>
          <w:rFonts w:ascii="Palatino Linotype" w:hAnsi="Palatino Linotype" w:cs="Times New Roman"/>
          <w:i/>
        </w:rPr>
        <w:t>Professional Development Planning</w:t>
      </w:r>
      <w:r w:rsidRPr="00F40346">
        <w:rPr>
          <w:rFonts w:ascii="Palatino Linotype" w:hAnsi="Palatino Linotype" w:cs="Times New Roman"/>
        </w:rPr>
        <w:t>,</w:t>
      </w:r>
      <w:r w:rsidRPr="00F40346">
        <w:rPr>
          <w:rFonts w:ascii="Palatino Linotype" w:hAnsi="Palatino Linotype" w:cs="Times New Roman"/>
          <w:i/>
        </w:rPr>
        <w:t xml:space="preserve"> in</w:t>
      </w:r>
      <w:r w:rsidRPr="00F40346">
        <w:rPr>
          <w:rFonts w:ascii="Palatino Linotype" w:hAnsi="Palatino Linotype" w:cs="Times New Roman"/>
        </w:rPr>
        <w:t xml:space="preserve"> </w:t>
      </w:r>
      <w:r w:rsidRPr="00F40346">
        <w:rPr>
          <w:rFonts w:ascii="Palatino Linotype" w:hAnsi="Palatino Linotype" w:cs="Times New Roman"/>
          <w:smallCaps/>
        </w:rPr>
        <w:t xml:space="preserve">LFP, </w:t>
      </w:r>
      <w:r w:rsidRPr="00F40346">
        <w:rPr>
          <w:rFonts w:ascii="Palatino Linotype" w:hAnsi="Palatino Linotype" w:cs="Times New Roman"/>
          <w:i/>
        </w:rPr>
        <w:t xml:space="preserve">supra </w:t>
      </w:r>
      <w:r w:rsidRPr="00F40346">
        <w:rPr>
          <w:rFonts w:ascii="Palatino Linotype" w:hAnsi="Palatino Linotype" w:cs="Times New Roman"/>
        </w:rPr>
        <w:t>note 2 at 15.</w:t>
      </w:r>
    </w:p>
  </w:footnote>
  <w:footnote w:id="51">
    <w:p w14:paraId="5A77107B" w14:textId="66434564" w:rsidR="00196588" w:rsidRPr="00F40346" w:rsidRDefault="00196588" w:rsidP="000B125B">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See </w:t>
      </w:r>
      <w:r w:rsidRPr="00F40346">
        <w:rPr>
          <w:rFonts w:ascii="Palatino Linotype" w:hAnsi="Palatino Linotype" w:cs="Times New Roman"/>
          <w:smallCaps/>
          <w:lang w:val="en-US"/>
        </w:rPr>
        <w:t>Learning from Practice,</w:t>
      </w:r>
      <w:r w:rsidRPr="00F40346">
        <w:rPr>
          <w:rFonts w:ascii="Palatino Linotype" w:hAnsi="Palatino Linotype" w:cs="Times New Roman"/>
          <w:lang w:val="en-US"/>
        </w:rPr>
        <w:t xml:space="preserve">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2, for a comprehensive set of possible learning goals. The Best Practices Australian Clinical Legal Education contain a similar list of potential learning outcomes.</w:t>
      </w:r>
    </w:p>
  </w:footnote>
  <w:footnote w:id="52">
    <w:p w14:paraId="24C02E2E" w14:textId="3DCA05BD" w:rsidR="00196588" w:rsidRPr="00F40346" w:rsidRDefault="00196588" w:rsidP="000B125B">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 xml:space="preserve">See </w:t>
      </w:r>
      <w:r w:rsidRPr="00F40346">
        <w:rPr>
          <w:rFonts w:ascii="Palatino Linotype" w:hAnsi="Palatino Linotype" w:cs="Times New Roman"/>
          <w:lang w:val="en-US"/>
        </w:rPr>
        <w:t xml:space="preserve">ABA Standard 304, </w:t>
      </w:r>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 16. </w:t>
      </w:r>
    </w:p>
  </w:footnote>
  <w:footnote w:id="53">
    <w:p w14:paraId="7BB858F9" w14:textId="55CA9F32" w:rsidR="00196588" w:rsidRPr="00F40346" w:rsidRDefault="00196588" w:rsidP="000B125B">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Erica Eisinger, </w:t>
      </w:r>
      <w:r w:rsidRPr="00F40346">
        <w:rPr>
          <w:rFonts w:ascii="Palatino Linotype" w:hAnsi="Palatino Linotype" w:cs="Times New Roman"/>
          <w:i/>
          <w:lang w:val="en-US"/>
        </w:rPr>
        <w:t>The Externship Class Requirement:  An Idea Whose Time Has Passed</w:t>
      </w:r>
      <w:r w:rsidRPr="00F40346">
        <w:rPr>
          <w:rFonts w:ascii="Palatino Linotype" w:hAnsi="Palatino Linotype" w:cs="Times New Roman"/>
          <w:lang w:val="en-US"/>
        </w:rPr>
        <w:t xml:space="preserve">, 10 </w:t>
      </w:r>
      <w:r w:rsidRPr="00F40346">
        <w:rPr>
          <w:rFonts w:ascii="Palatino Linotype" w:hAnsi="Palatino Linotype" w:cs="Times New Roman"/>
          <w:smallCaps/>
          <w:lang w:val="en-US"/>
        </w:rPr>
        <w:t>Clinical L. Rev</w:t>
      </w:r>
      <w:r w:rsidRPr="00F40346">
        <w:rPr>
          <w:rFonts w:ascii="Palatino Linotype" w:hAnsi="Palatino Linotype" w:cs="Times New Roman"/>
          <w:lang w:val="en-US"/>
        </w:rPr>
        <w:t xml:space="preserve">. 659 (2004).  </w:t>
      </w:r>
      <w:r w:rsidRPr="00F40346">
        <w:rPr>
          <w:rFonts w:ascii="Palatino Linotype" w:hAnsi="Palatino Linotype" w:cs="Times New Roman"/>
          <w:i/>
          <w:lang w:val="en-US"/>
        </w:rPr>
        <w:t>See also</w:t>
      </w:r>
      <w:r w:rsidRPr="00F40346">
        <w:rPr>
          <w:rFonts w:ascii="Palatino Linotype" w:hAnsi="Palatino Linotype" w:cs="Times New Roman"/>
          <w:lang w:val="en-US"/>
        </w:rPr>
        <w:t xml:space="preserve"> </w:t>
      </w:r>
      <w:bookmarkStart w:id="11" w:name="_Hlk488493578"/>
      <w:r w:rsidRPr="00F40346">
        <w:rPr>
          <w:rFonts w:ascii="Palatino Linotype" w:hAnsi="Palatino Linotype" w:cs="Times New Roman"/>
          <w:lang w:val="en-US"/>
        </w:rPr>
        <w:t xml:space="preserve">Harriet N. Katz, </w:t>
      </w:r>
      <w:r w:rsidRPr="00F40346">
        <w:rPr>
          <w:rFonts w:ascii="Palatino Linotype" w:hAnsi="Palatino Linotype" w:cs="Times New Roman"/>
          <w:i/>
          <w:lang w:val="en-US"/>
        </w:rPr>
        <w:t>Using Faculty Tutorials to Foster Externship Students’ Critical Reflection</w:t>
      </w:r>
      <w:bookmarkEnd w:id="11"/>
      <w:r w:rsidRPr="00F40346">
        <w:rPr>
          <w:rFonts w:ascii="Palatino Linotype" w:hAnsi="Palatino Linotype" w:cs="Times New Roman"/>
          <w:lang w:val="en-US"/>
        </w:rPr>
        <w:t xml:space="preserve">, 5 </w:t>
      </w:r>
      <w:r w:rsidRPr="00F40346">
        <w:rPr>
          <w:rFonts w:ascii="Palatino Linotype" w:hAnsi="Palatino Linotype" w:cs="Times New Roman"/>
          <w:smallCaps/>
          <w:lang w:val="en-US"/>
        </w:rPr>
        <w:t>Clinical L. Rev</w:t>
      </w:r>
      <w:r w:rsidRPr="00F40346">
        <w:rPr>
          <w:rFonts w:ascii="Palatino Linotype" w:hAnsi="Palatino Linotype" w:cs="Times New Roman"/>
          <w:lang w:val="en-US"/>
        </w:rPr>
        <w:t>. 437 (1999).</w:t>
      </w:r>
    </w:p>
  </w:footnote>
  <w:footnote w:id="54">
    <w:p w14:paraId="6A3A467C" w14:textId="0F2816EE" w:rsidR="00196588" w:rsidRPr="00F40346" w:rsidRDefault="00196588" w:rsidP="000B125B">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See Linda F. Smith, </w:t>
      </w:r>
      <w:r w:rsidRPr="00F40346">
        <w:rPr>
          <w:rFonts w:ascii="Palatino Linotype" w:hAnsi="Palatino Linotype" w:cs="Times New Roman"/>
          <w:i/>
          <w:lang w:val="en-US"/>
        </w:rPr>
        <w:t>Designing an Extern Clinical Program: Or as You Sow, So Shall You Reap</w:t>
      </w:r>
      <w:r w:rsidRPr="00F40346">
        <w:rPr>
          <w:rFonts w:ascii="Palatino Linotype" w:hAnsi="Palatino Linotype" w:cs="Times New Roman"/>
          <w:lang w:val="en-US"/>
        </w:rPr>
        <w:t xml:space="preserve">, 5 </w:t>
      </w:r>
      <w:r w:rsidRPr="00F40346">
        <w:rPr>
          <w:rFonts w:ascii="Palatino Linotype" w:hAnsi="Palatino Linotype" w:cs="Times New Roman"/>
          <w:smallCaps/>
          <w:lang w:val="en-US"/>
        </w:rPr>
        <w:t>Clinical L. Rev</w:t>
      </w:r>
      <w:r w:rsidRPr="00F40346">
        <w:rPr>
          <w:rFonts w:ascii="Palatino Linotype" w:hAnsi="Palatino Linotype" w:cs="Times New Roman"/>
          <w:lang w:val="en-US"/>
        </w:rPr>
        <w:t xml:space="preserve">. 527, 539 (1999). </w:t>
      </w:r>
    </w:p>
  </w:footnote>
  <w:footnote w:id="55">
    <w:p w14:paraId="58AEF0F7" w14:textId="77777777" w:rsidR="00196588" w:rsidRPr="00F40346" w:rsidRDefault="00196588" w:rsidP="000B125B">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See</w:t>
      </w:r>
      <w:r w:rsidRPr="00F40346">
        <w:rPr>
          <w:rFonts w:ascii="Palatino Linotype" w:hAnsi="Palatino Linotype" w:cs="Times New Roman"/>
          <w:lang w:val="en-US"/>
        </w:rPr>
        <w:t xml:space="preserve"> Linda F. Smith, </w:t>
      </w:r>
      <w:r w:rsidRPr="00F40346">
        <w:rPr>
          <w:rFonts w:ascii="Palatino Linotype" w:hAnsi="Palatino Linotype" w:cs="Times New Roman"/>
          <w:i/>
          <w:lang w:val="en-US"/>
        </w:rPr>
        <w:t>Benefits of an Integrated (Prosecution &amp; Defense) Criminal Clinic</w:t>
      </w:r>
      <w:r w:rsidRPr="00F40346">
        <w:rPr>
          <w:rFonts w:ascii="Palatino Linotype" w:hAnsi="Palatino Linotype" w:cs="Times New Roman"/>
          <w:lang w:val="en-US"/>
        </w:rPr>
        <w:t xml:space="preserve">, 74 </w:t>
      </w:r>
      <w:r w:rsidRPr="00F40346">
        <w:rPr>
          <w:rFonts w:ascii="Palatino Linotype" w:hAnsi="Palatino Linotype" w:cs="Times New Roman"/>
          <w:smallCaps/>
          <w:lang w:val="en-US"/>
        </w:rPr>
        <w:t>Miss. L. J.</w:t>
      </w:r>
      <w:r w:rsidRPr="00F40346">
        <w:rPr>
          <w:rFonts w:ascii="Palatino Linotype" w:hAnsi="Palatino Linotype" w:cs="Times New Roman"/>
          <w:lang w:val="en-US"/>
        </w:rPr>
        <w:t xml:space="preserve"> 1239 (2005).</w:t>
      </w:r>
    </w:p>
  </w:footnote>
  <w:footnote w:id="56">
    <w:p w14:paraId="0670D8FA" w14:textId="16E2EC48" w:rsidR="00196588" w:rsidRPr="00F40346" w:rsidRDefault="00196588" w:rsidP="00C65FD6">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See</w:t>
      </w:r>
      <w:r w:rsidRPr="00F40346">
        <w:rPr>
          <w:rFonts w:ascii="Palatino Linotype" w:hAnsi="Palatino Linotype" w:cs="Times New Roman"/>
          <w:lang w:val="en-US"/>
        </w:rPr>
        <w:t xml:space="preserve"> ABA Standards 304, </w:t>
      </w:r>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 16.</w:t>
      </w:r>
    </w:p>
  </w:footnote>
  <w:footnote w:id="57">
    <w:p w14:paraId="3E476CCD" w14:textId="710AB6C7" w:rsidR="00196588" w:rsidRPr="00F40346" w:rsidRDefault="00196588" w:rsidP="000B125B">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Robert Condlin, </w:t>
      </w:r>
      <w:r w:rsidRPr="00F40346">
        <w:rPr>
          <w:rFonts w:ascii="Palatino Linotype" w:hAnsi="Palatino Linotype" w:cs="Times New Roman"/>
          <w:i/>
          <w:lang w:val="en-US"/>
        </w:rPr>
        <w:t>Learning from Colleagues:  A Case Study in the Relationship Between “Academic” and “Ecological” Clinical Legal Education</w:t>
      </w:r>
      <w:r w:rsidRPr="00F40346">
        <w:rPr>
          <w:rFonts w:ascii="Palatino Linotype" w:hAnsi="Palatino Linotype" w:cs="Times New Roman"/>
          <w:lang w:val="en-US"/>
        </w:rPr>
        <w:t xml:space="preserve">, 3 </w:t>
      </w:r>
      <w:r w:rsidRPr="00F40346">
        <w:rPr>
          <w:rFonts w:ascii="Palatino Linotype" w:hAnsi="Palatino Linotype" w:cs="Times New Roman"/>
          <w:smallCaps/>
          <w:lang w:val="en-US"/>
        </w:rPr>
        <w:t>Clinical L. Rev</w:t>
      </w:r>
      <w:r w:rsidRPr="00F40346">
        <w:rPr>
          <w:rFonts w:ascii="Palatino Linotype" w:hAnsi="Palatino Linotype" w:cs="Times New Roman"/>
          <w:lang w:val="en-US"/>
        </w:rPr>
        <w:t>. 337, 431 (1997).</w:t>
      </w:r>
    </w:p>
  </w:footnote>
  <w:footnote w:id="58">
    <w:p w14:paraId="5525DA60" w14:textId="77777777" w:rsidR="00196588" w:rsidRPr="00F40346" w:rsidRDefault="00196588" w:rsidP="000B125B">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Id</w:t>
      </w:r>
      <w:r w:rsidRPr="00F40346">
        <w:rPr>
          <w:rFonts w:ascii="Palatino Linotype" w:hAnsi="Palatino Linotype" w:cs="Times New Roman"/>
          <w:lang w:val="en-US"/>
        </w:rPr>
        <w:t>. at 432.</w:t>
      </w:r>
    </w:p>
  </w:footnote>
  <w:footnote w:id="59">
    <w:p w14:paraId="09C187A8" w14:textId="15C92A2C" w:rsidR="00196588" w:rsidRPr="00F40346" w:rsidRDefault="00196588" w:rsidP="00276304">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rPr>
        <w:t xml:space="preserve">Sullivan et al., </w:t>
      </w:r>
      <w:r w:rsidRPr="00F40346">
        <w:rPr>
          <w:rFonts w:ascii="Palatino Linotype" w:hAnsi="Palatino Linotype" w:cs="Times New Roman"/>
          <w:i/>
        </w:rPr>
        <w:t>supra</w:t>
      </w:r>
      <w:r w:rsidRPr="00F40346">
        <w:rPr>
          <w:rFonts w:ascii="Palatino Linotype" w:hAnsi="Palatino Linotype" w:cs="Times New Roman"/>
        </w:rPr>
        <w:t xml:space="preserve"> note 62, at</w:t>
      </w:r>
      <w:r w:rsidRPr="00F40346">
        <w:rPr>
          <w:rFonts w:ascii="Palatino Linotype" w:hAnsi="Palatino Linotype" w:cs="Times New Roman"/>
          <w:smallCaps/>
        </w:rPr>
        <w:t xml:space="preserve"> 12-14</w:t>
      </w:r>
    </w:p>
  </w:footnote>
  <w:footnote w:id="60">
    <w:p w14:paraId="607DE9DB" w14:textId="77777777"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Carrie Menkel-Meadow, </w:t>
      </w:r>
      <w:r w:rsidRPr="00F40346">
        <w:rPr>
          <w:rFonts w:ascii="Palatino Linotype" w:hAnsi="Palatino Linotype" w:cs="Times New Roman"/>
          <w:i/>
          <w:lang w:val="en-US"/>
        </w:rPr>
        <w:t>The Legacy of Clinical Legal Education:  Theories About Lawyering</w:t>
      </w:r>
      <w:r w:rsidRPr="00F40346">
        <w:rPr>
          <w:rFonts w:ascii="Palatino Linotype" w:hAnsi="Palatino Linotype" w:cs="Times New Roman"/>
          <w:lang w:val="en-US"/>
        </w:rPr>
        <w:t xml:space="preserve"> 29 </w:t>
      </w:r>
      <w:r w:rsidRPr="00F40346">
        <w:rPr>
          <w:rFonts w:ascii="Palatino Linotype" w:hAnsi="Palatino Linotype" w:cs="Times New Roman"/>
          <w:smallCaps/>
          <w:lang w:val="en-US"/>
        </w:rPr>
        <w:t>Clev. St. L. Rev</w:t>
      </w:r>
      <w:r w:rsidRPr="00F40346">
        <w:rPr>
          <w:rFonts w:ascii="Palatino Linotype" w:hAnsi="Palatino Linotype" w:cs="Times New Roman"/>
          <w:lang w:val="en-US"/>
        </w:rPr>
        <w:t>. 555, 571-72 (1980).</w:t>
      </w:r>
    </w:p>
  </w:footnote>
  <w:footnote w:id="61">
    <w:p w14:paraId="59816EBE" w14:textId="47A6BAA0"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Robert Condlin, </w:t>
      </w:r>
      <w:r w:rsidRPr="00F40346">
        <w:rPr>
          <w:rFonts w:ascii="Palatino Linotype" w:hAnsi="Palatino Linotype" w:cs="Times New Roman"/>
          <w:i/>
          <w:lang w:val="en-US"/>
        </w:rPr>
        <w:t>“Tastes Great Less Filling”: The Law School Clinic and Political Critique,</w:t>
      </w:r>
      <w:r w:rsidRPr="00F40346">
        <w:rPr>
          <w:rFonts w:ascii="Palatino Linotype" w:hAnsi="Palatino Linotype" w:cs="Times New Roman"/>
          <w:lang w:val="en-US"/>
        </w:rPr>
        <w:t xml:space="preserve"> 36 </w:t>
      </w:r>
      <w:r w:rsidRPr="00F40346">
        <w:rPr>
          <w:rFonts w:ascii="Palatino Linotype" w:hAnsi="Palatino Linotype" w:cs="Times New Roman"/>
          <w:smallCaps/>
          <w:lang w:val="en-US"/>
        </w:rPr>
        <w:t>J. Legal Educ</w:t>
      </w:r>
      <w:r w:rsidRPr="00F40346">
        <w:rPr>
          <w:rFonts w:ascii="Palatino Linotype" w:hAnsi="Palatino Linotype" w:cs="Times New Roman"/>
          <w:lang w:val="en-US"/>
        </w:rPr>
        <w:t>. 45, 50-51 (1986).</w:t>
      </w:r>
    </w:p>
  </w:footnote>
  <w:footnote w:id="62">
    <w:p w14:paraId="55825659" w14:textId="77777777"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Id</w:t>
      </w:r>
      <w:r w:rsidRPr="00F40346">
        <w:rPr>
          <w:rFonts w:ascii="Palatino Linotype" w:hAnsi="Palatino Linotype" w:cs="Times New Roman"/>
          <w:lang w:val="en-US"/>
        </w:rPr>
        <w:t>. at 53-55.</w:t>
      </w:r>
    </w:p>
  </w:footnote>
  <w:footnote w:id="63">
    <w:p w14:paraId="36B0AC52" w14:textId="6163945A" w:rsidR="00196588" w:rsidRPr="00F40346" w:rsidRDefault="00196588">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lang w:val="en-US"/>
        </w:rPr>
        <w:t>MacCrate Report</w:t>
      </w:r>
      <w:r w:rsidRPr="00F40346">
        <w:rPr>
          <w:rFonts w:ascii="Palatino Linotype" w:hAnsi="Palatino Linotype" w:cs="Times New Roman"/>
          <w:lang w:val="en-US"/>
        </w:rPr>
        <w:t xml:space="preserve">, </w:t>
      </w:r>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 36.</w:t>
      </w:r>
    </w:p>
  </w:footnote>
  <w:footnote w:id="64">
    <w:p w14:paraId="043780AF" w14:textId="23DF040F" w:rsidR="00196588" w:rsidRPr="00F40346" w:rsidRDefault="00196588" w:rsidP="00416989">
      <w:pPr>
        <w:shd w:val="clear" w:color="auto" w:fill="FFFFFF"/>
        <w:rPr>
          <w:rFonts w:ascii="Palatino Linotype" w:hAnsi="Palatino Linotype" w:cs="Times New Roman"/>
          <w:sz w:val="20"/>
          <w:szCs w:val="20"/>
        </w:rPr>
      </w:pPr>
      <w:r w:rsidRPr="00F40346">
        <w:rPr>
          <w:rStyle w:val="FootnoteReference"/>
          <w:rFonts w:ascii="Palatino Linotype" w:hAnsi="Palatino Linotype" w:cs="Times New Roman"/>
          <w:sz w:val="20"/>
          <w:szCs w:val="20"/>
        </w:rPr>
        <w:footnoteRef/>
      </w:r>
      <w:r w:rsidRPr="00F40346">
        <w:rPr>
          <w:rFonts w:ascii="Palatino Linotype" w:hAnsi="Palatino Linotype" w:cs="Times New Roman"/>
          <w:sz w:val="20"/>
          <w:szCs w:val="20"/>
        </w:rPr>
        <w:t xml:space="preserve"> </w:t>
      </w:r>
      <w:r w:rsidRPr="00F40346">
        <w:rPr>
          <w:rFonts w:ascii="Palatino Linotype" w:eastAsia="Times New Roman" w:hAnsi="Palatino Linotype" w:cs="Times New Roman"/>
          <w:smallCaps/>
          <w:color w:val="222222"/>
          <w:sz w:val="20"/>
          <w:szCs w:val="20"/>
          <w:lang w:val="en-AU"/>
        </w:rPr>
        <w:t>MacCrate Report</w:t>
      </w:r>
      <w:r w:rsidRPr="00F40346">
        <w:rPr>
          <w:rFonts w:ascii="Palatino Linotype" w:eastAsia="Times New Roman" w:hAnsi="Palatino Linotype" w:cs="Times New Roman"/>
          <w:color w:val="222222"/>
          <w:sz w:val="20"/>
          <w:szCs w:val="20"/>
          <w:lang w:val="en-AU"/>
        </w:rPr>
        <w:t xml:space="preserve">, </w:t>
      </w:r>
      <w:r w:rsidRPr="00F40346">
        <w:rPr>
          <w:rFonts w:ascii="Palatino Linotype" w:eastAsia="Times New Roman" w:hAnsi="Palatino Linotype" w:cs="Times New Roman"/>
          <w:i/>
          <w:color w:val="222222"/>
          <w:sz w:val="20"/>
          <w:szCs w:val="20"/>
          <w:lang w:val="en-AU"/>
        </w:rPr>
        <w:t>supra</w:t>
      </w:r>
      <w:r w:rsidRPr="00F40346">
        <w:rPr>
          <w:rFonts w:ascii="Palatino Linotype" w:eastAsia="Times New Roman" w:hAnsi="Palatino Linotype" w:cs="Times New Roman"/>
          <w:color w:val="222222"/>
          <w:sz w:val="20"/>
          <w:szCs w:val="20"/>
          <w:lang w:val="en-AU"/>
        </w:rPr>
        <w:t xml:space="preserve"> note 36, at 135, citing Robert B. McKay, </w:t>
      </w:r>
      <w:r w:rsidRPr="00F40346">
        <w:rPr>
          <w:rFonts w:ascii="Palatino Linotype" w:eastAsia="Times New Roman" w:hAnsi="Palatino Linotype" w:cs="Times New Roman"/>
          <w:i/>
          <w:iCs/>
          <w:color w:val="222222"/>
          <w:sz w:val="20"/>
          <w:szCs w:val="20"/>
          <w:lang w:val="en-AU"/>
        </w:rPr>
        <w:t>What Law Schools Can and Should Do (and Sometimes Do)</w:t>
      </w:r>
      <w:r w:rsidRPr="00F40346">
        <w:rPr>
          <w:rFonts w:ascii="Palatino Linotype" w:eastAsia="Times New Roman" w:hAnsi="Palatino Linotype" w:cs="Times New Roman"/>
          <w:iCs/>
          <w:color w:val="222222"/>
          <w:sz w:val="20"/>
          <w:szCs w:val="20"/>
          <w:lang w:val="en-AU"/>
        </w:rPr>
        <w:t>,</w:t>
      </w:r>
      <w:r w:rsidRPr="00F40346">
        <w:rPr>
          <w:rFonts w:ascii="Palatino Linotype" w:eastAsia="Times New Roman" w:hAnsi="Palatino Linotype" w:cs="Times New Roman"/>
          <w:i/>
          <w:iCs/>
          <w:color w:val="222222"/>
          <w:sz w:val="20"/>
          <w:szCs w:val="20"/>
          <w:lang w:val="en-AU"/>
        </w:rPr>
        <w:t> </w:t>
      </w:r>
      <w:r w:rsidRPr="00F40346">
        <w:rPr>
          <w:rFonts w:ascii="Palatino Linotype" w:eastAsia="Times New Roman" w:hAnsi="Palatino Linotype" w:cs="Times New Roman"/>
          <w:color w:val="222222"/>
          <w:sz w:val="20"/>
          <w:szCs w:val="20"/>
          <w:lang w:val="en-AU"/>
        </w:rPr>
        <w:t xml:space="preserve">30 </w:t>
      </w:r>
      <w:r w:rsidRPr="00F40346">
        <w:rPr>
          <w:rFonts w:ascii="Palatino Linotype" w:eastAsia="Times New Roman" w:hAnsi="Palatino Linotype" w:cs="Times New Roman"/>
          <w:smallCaps/>
          <w:color w:val="222222"/>
          <w:sz w:val="20"/>
          <w:szCs w:val="20"/>
          <w:lang w:val="en-AU"/>
        </w:rPr>
        <w:t>N.Y.L. Sch. L. Rev.</w:t>
      </w:r>
      <w:r w:rsidRPr="00F40346">
        <w:rPr>
          <w:rFonts w:ascii="Palatino Linotype" w:eastAsia="Times New Roman" w:hAnsi="Palatino Linotype" w:cs="Times New Roman"/>
          <w:color w:val="222222"/>
          <w:sz w:val="20"/>
          <w:szCs w:val="20"/>
          <w:lang w:val="en-AU"/>
        </w:rPr>
        <w:t> 491, at 509-10. </w:t>
      </w:r>
    </w:p>
  </w:footnote>
  <w:footnote w:id="65">
    <w:p w14:paraId="60505FB6" w14:textId="77777777"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Id</w:t>
      </w:r>
      <w:r w:rsidRPr="00F40346">
        <w:rPr>
          <w:rFonts w:ascii="Palatino Linotype" w:hAnsi="Palatino Linotype" w:cs="Times New Roman"/>
          <w:lang w:val="en-US"/>
        </w:rPr>
        <w:t>. at 136.</w:t>
      </w:r>
    </w:p>
  </w:footnote>
  <w:footnote w:id="66">
    <w:p w14:paraId="0674B46B" w14:textId="35671F64"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See</w:t>
      </w:r>
      <w:r w:rsidRPr="00F40346">
        <w:rPr>
          <w:rFonts w:ascii="Palatino Linotype" w:hAnsi="Palatino Linotype" w:cs="Times New Roman"/>
          <w:lang w:val="en-US"/>
        </w:rPr>
        <w:t xml:space="preserve"> </w:t>
      </w:r>
      <w:r w:rsidRPr="00F40346">
        <w:rPr>
          <w:rFonts w:ascii="Palatino Linotype" w:hAnsi="Palatino Linotype" w:cs="Times New Roman"/>
          <w:smallCaps/>
          <w:lang w:val="en-US"/>
        </w:rPr>
        <w:t xml:space="preserve">William M. Sullivan, Anne Colby, Judith Welch Wegner, Lloyd Bond, Lee S. Shulman, Educating Lawyers: Preparation for the Practice of Law (2007). </w:t>
      </w:r>
    </w:p>
  </w:footnote>
  <w:footnote w:id="67">
    <w:p w14:paraId="463A248B" w14:textId="77777777"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Professionalism Committee of the American Bar Association’s Section of Legal Education and Admissions to the Bar, Report 1996, at 6.</w:t>
      </w:r>
      <w:r w:rsidRPr="00F40346">
        <w:rPr>
          <w:rFonts w:ascii="Palatino Linotype" w:hAnsi="Palatino Linotype" w:cs="Times New Roman"/>
          <w:lang w:val="en-US"/>
        </w:rPr>
        <w:t xml:space="preserve"> </w:t>
      </w:r>
    </w:p>
  </w:footnote>
  <w:footnote w:id="68">
    <w:p w14:paraId="3F98C0C3" w14:textId="502C05AF"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lang w:val="en-US"/>
        </w:rPr>
        <w:t>Sullivan</w:t>
      </w:r>
      <w:r w:rsidRPr="00F40346">
        <w:rPr>
          <w:rFonts w:ascii="Palatino Linotype" w:hAnsi="Palatino Linotype" w:cs="Times New Roman"/>
          <w:lang w:val="en-US"/>
        </w:rPr>
        <w:t>,</w:t>
      </w:r>
      <w:r w:rsidRPr="00F40346">
        <w:rPr>
          <w:rFonts w:ascii="Palatino Linotype" w:hAnsi="Palatino Linotype" w:cs="Times New Roman"/>
          <w:i/>
          <w:lang w:val="en-US"/>
        </w:rPr>
        <w:t xml:space="preserve"> supra</w:t>
      </w:r>
      <w:r w:rsidRPr="00F40346">
        <w:rPr>
          <w:rFonts w:ascii="Palatino Linotype" w:hAnsi="Palatino Linotype" w:cs="Times New Roman"/>
          <w:lang w:val="en-US"/>
        </w:rPr>
        <w:t xml:space="preserve"> note 62, at 125.</w:t>
      </w:r>
    </w:p>
  </w:footnote>
  <w:footnote w:id="69">
    <w:p w14:paraId="6227D1A1" w14:textId="43E2F9EB"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lang w:val="en-US"/>
        </w:rPr>
        <w:t>Stuckey</w:t>
      </w:r>
      <w:r w:rsidRPr="00F40346">
        <w:rPr>
          <w:rFonts w:ascii="Palatino Linotype" w:hAnsi="Palatino Linotype" w:cs="Times New Roman"/>
          <w:lang w:val="en-US"/>
        </w:rPr>
        <w:t xml:space="preserve">, </w:t>
      </w:r>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 </w:t>
      </w:r>
      <w:r w:rsidRPr="00F40346">
        <w:rPr>
          <w:rFonts w:ascii="Palatino Linotype" w:hAnsi="Palatino Linotype" w:cs="Times New Roman"/>
          <w:lang w:val="en-US"/>
        </w:rPr>
        <w:softHyphen/>
      </w:r>
      <w:r w:rsidRPr="00F40346">
        <w:rPr>
          <w:rFonts w:ascii="Palatino Linotype" w:hAnsi="Palatino Linotype" w:cs="Times New Roman"/>
          <w:lang w:val="en-US"/>
        </w:rPr>
        <w:softHyphen/>
        <w:t>4, at 79</w:t>
      </w:r>
    </w:p>
  </w:footnote>
  <w:footnote w:id="70">
    <w:p w14:paraId="2CA1F0B2" w14:textId="2009F140"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Id</w:t>
      </w:r>
      <w:r w:rsidRPr="00F40346">
        <w:rPr>
          <w:rFonts w:ascii="Palatino Linotype" w:hAnsi="Palatino Linotype" w:cs="Times New Roman"/>
          <w:lang w:val="en-US"/>
        </w:rPr>
        <w:t>. at 84 and 84–91.</w:t>
      </w:r>
    </w:p>
  </w:footnote>
  <w:footnote w:id="71">
    <w:p w14:paraId="5B9BA305" w14:textId="3AE2A2C2" w:rsidR="00196588" w:rsidRPr="00F40346" w:rsidRDefault="00196588" w:rsidP="00416989">
      <w:pPr>
        <w:shd w:val="clear" w:color="auto" w:fill="FFFFFF"/>
        <w:rPr>
          <w:rFonts w:ascii="Palatino Linotype" w:hAnsi="Palatino Linotype" w:cs="Times New Roman"/>
          <w:sz w:val="20"/>
          <w:szCs w:val="20"/>
        </w:rPr>
      </w:pPr>
      <w:r w:rsidRPr="00F40346">
        <w:rPr>
          <w:rStyle w:val="FootnoteReference"/>
          <w:rFonts w:ascii="Palatino Linotype" w:hAnsi="Palatino Linotype" w:cs="Times New Roman"/>
          <w:sz w:val="20"/>
          <w:szCs w:val="20"/>
        </w:rPr>
        <w:footnoteRef/>
      </w:r>
      <w:r w:rsidRPr="00F40346">
        <w:rPr>
          <w:rFonts w:ascii="Palatino Linotype" w:hAnsi="Palatino Linotype" w:cs="Times New Roman"/>
          <w:sz w:val="20"/>
          <w:szCs w:val="20"/>
        </w:rPr>
        <w:t xml:space="preserve"> </w:t>
      </w:r>
      <w:r w:rsidRPr="00F40346">
        <w:rPr>
          <w:rFonts w:ascii="Palatino Linotype" w:eastAsia="Times New Roman" w:hAnsi="Palatino Linotype" w:cs="Times New Roman"/>
          <w:smallCaps/>
          <w:color w:val="222222"/>
          <w:sz w:val="20"/>
          <w:szCs w:val="20"/>
          <w:lang w:val="en-AU"/>
        </w:rPr>
        <w:t>Maranville et al.</w:t>
      </w:r>
      <w:r w:rsidRPr="00F40346">
        <w:rPr>
          <w:rFonts w:ascii="Palatino Linotype" w:eastAsia="Times New Roman" w:hAnsi="Palatino Linotype" w:cs="Times New Roman"/>
          <w:color w:val="222222"/>
          <w:sz w:val="20"/>
          <w:szCs w:val="20"/>
          <w:lang w:val="en-AU"/>
        </w:rPr>
        <w:t>, </w:t>
      </w:r>
      <w:r w:rsidRPr="00F40346">
        <w:rPr>
          <w:rFonts w:ascii="Palatino Linotype" w:eastAsia="Times New Roman" w:hAnsi="Palatino Linotype" w:cs="Times New Roman"/>
          <w:i/>
          <w:iCs/>
          <w:color w:val="222222"/>
          <w:sz w:val="20"/>
          <w:szCs w:val="20"/>
          <w:lang w:val="en-AU"/>
        </w:rPr>
        <w:t>supra</w:t>
      </w:r>
      <w:r w:rsidRPr="00F40346">
        <w:rPr>
          <w:rFonts w:ascii="Palatino Linotype" w:eastAsia="Times New Roman" w:hAnsi="Palatino Linotype" w:cs="Times New Roman"/>
          <w:color w:val="222222"/>
          <w:sz w:val="20"/>
          <w:szCs w:val="20"/>
          <w:lang w:val="en-AU"/>
        </w:rPr>
        <w:t xml:space="preserve"> note 39, at 226-27 </w:t>
      </w:r>
    </w:p>
  </w:footnote>
  <w:footnote w:id="72">
    <w:p w14:paraId="7CC9E628" w14:textId="77777777"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Id.</w:t>
      </w:r>
    </w:p>
  </w:footnote>
  <w:footnote w:id="73">
    <w:p w14:paraId="688F8996" w14:textId="2FF9F895"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rPr>
        <w:t>Evans et. al</w:t>
      </w:r>
      <w:r w:rsidRPr="00F40346">
        <w:rPr>
          <w:rFonts w:ascii="Palatino Linotype" w:hAnsi="Palatino Linotype" w:cs="Times New Roman"/>
        </w:rPr>
        <w:t xml:space="preserve">, </w:t>
      </w:r>
      <w:bookmarkStart w:id="12" w:name="_Hlk490770154"/>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 </w:t>
      </w:r>
      <w:r w:rsidRPr="00F40346">
        <w:rPr>
          <w:rFonts w:ascii="Palatino Linotype" w:hAnsi="Palatino Linotype" w:cs="Times New Roman"/>
          <w:lang w:val="en-US"/>
        </w:rPr>
        <w:softHyphen/>
      </w:r>
      <w:r w:rsidRPr="00F40346">
        <w:rPr>
          <w:rFonts w:ascii="Palatino Linotype" w:hAnsi="Palatino Linotype" w:cs="Times New Roman"/>
          <w:lang w:val="en-US"/>
        </w:rPr>
        <w:softHyphen/>
      </w:r>
      <w:bookmarkEnd w:id="12"/>
      <w:r w:rsidRPr="00F40346">
        <w:rPr>
          <w:rFonts w:ascii="Palatino Linotype" w:hAnsi="Palatino Linotype" w:cs="Times New Roman"/>
          <w:lang w:val="en-US"/>
        </w:rPr>
        <w:t xml:space="preserve">25, at 11. </w:t>
      </w:r>
    </w:p>
  </w:footnote>
  <w:footnote w:id="74">
    <w:p w14:paraId="659E1F79" w14:textId="00A90FAF" w:rsidR="00196588" w:rsidRPr="00F40346" w:rsidRDefault="00196588" w:rsidP="00276304">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bookmarkStart w:id="13" w:name="_Hlk488495093"/>
      <w:r w:rsidRPr="00F40346">
        <w:rPr>
          <w:rFonts w:ascii="Palatino Linotype" w:hAnsi="Palatino Linotype" w:cs="Times New Roman"/>
          <w:smallCaps/>
        </w:rPr>
        <w:t>Model Rules of Prof’l Conduct Preamble [1] (Am. Bar Ass’n</w:t>
      </w:r>
      <w:r w:rsidRPr="00F40346">
        <w:rPr>
          <w:rFonts w:ascii="Palatino Linotype" w:hAnsi="Palatino Linotype" w:cs="Times New Roman"/>
        </w:rPr>
        <w:t> 1983) (emphasis added).</w:t>
      </w:r>
      <w:bookmarkEnd w:id="13"/>
    </w:p>
  </w:footnote>
  <w:footnote w:id="75">
    <w:p w14:paraId="7E2A58F1" w14:textId="1E57384A" w:rsidR="00196588" w:rsidRPr="00F40346" w:rsidRDefault="00196588" w:rsidP="00276304">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bookmarkStart w:id="14" w:name="_Hlk488831257"/>
      <w:r w:rsidRPr="00F40346">
        <w:rPr>
          <w:rFonts w:ascii="Palatino Linotype" w:hAnsi="Palatino Linotype" w:cs="Times New Roman"/>
          <w:smallCaps/>
          <w:color w:val="222222"/>
        </w:rPr>
        <w:t>Australian Solicitors Conduct Rules</w:t>
      </w:r>
      <w:r w:rsidRPr="00F40346">
        <w:rPr>
          <w:rFonts w:ascii="Palatino Linotype" w:hAnsi="Palatino Linotype" w:cs="Times New Roman"/>
          <w:color w:val="222222"/>
        </w:rPr>
        <w:t xml:space="preserve"> r.3 (</w:t>
      </w:r>
      <w:r w:rsidRPr="00F40346">
        <w:rPr>
          <w:rFonts w:ascii="Palatino Linotype" w:hAnsi="Palatino Linotype" w:cs="Times New Roman"/>
          <w:smallCaps/>
          <w:color w:val="222222"/>
        </w:rPr>
        <w:t>Law Council of Australia 2015</w:t>
      </w:r>
      <w:r w:rsidRPr="00F40346">
        <w:rPr>
          <w:rFonts w:ascii="Palatino Linotype" w:hAnsi="Palatino Linotype" w:cs="Times New Roman"/>
          <w:color w:val="222222"/>
        </w:rPr>
        <w:t>), https://www.lawcouncil.asn.au/files/web-pdf/Aus_Solicitors_Conduct_Rules.pdf.</w:t>
      </w:r>
      <w:bookmarkEnd w:id="14"/>
    </w:p>
  </w:footnote>
  <w:footnote w:id="76">
    <w:p w14:paraId="39A31CA6" w14:textId="33F67757" w:rsidR="00196588" w:rsidRPr="00F40346" w:rsidRDefault="00196588" w:rsidP="00276304">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00E73E1E" w:rsidRPr="00F40346">
        <w:rPr>
          <w:rFonts w:ascii="Palatino Linotype" w:hAnsi="Palatino Linotype" w:cs="Times New Roman"/>
          <w:smallCaps/>
        </w:rPr>
        <w:t>Model Rules of Prof’l Conduct Preamble [6] (Am. Bar Ass’n</w:t>
      </w:r>
      <w:r w:rsidR="00E73E1E" w:rsidRPr="00F40346">
        <w:rPr>
          <w:rFonts w:ascii="Palatino Linotype" w:hAnsi="Palatino Linotype" w:cs="Times New Roman"/>
        </w:rPr>
        <w:t xml:space="preserve"> 1983) </w:t>
      </w:r>
      <w:r w:rsidRPr="00F40346">
        <w:rPr>
          <w:rFonts w:ascii="Palatino Linotype" w:hAnsi="Palatino Linotype" w:cs="Times New Roman"/>
          <w:i/>
        </w:rPr>
        <w:t xml:space="preserve"> </w:t>
      </w:r>
    </w:p>
  </w:footnote>
  <w:footnote w:id="77">
    <w:p w14:paraId="418ED2F6" w14:textId="77777777" w:rsidR="00196588" w:rsidRPr="00F40346" w:rsidRDefault="00196588" w:rsidP="00276304">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rPr>
        <w:t>Id.</w:t>
      </w:r>
    </w:p>
  </w:footnote>
  <w:footnote w:id="78">
    <w:p w14:paraId="1F400C39" w14:textId="77777777" w:rsidR="00196588" w:rsidRPr="00F40346" w:rsidRDefault="00196588" w:rsidP="00276304">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rPr>
        <w:t>Id.</w:t>
      </w:r>
      <w:r w:rsidRPr="00F40346">
        <w:rPr>
          <w:rFonts w:ascii="Palatino Linotype" w:hAnsi="Palatino Linotype" w:cs="Times New Roman"/>
        </w:rPr>
        <w:t xml:space="preserve"> </w:t>
      </w:r>
    </w:p>
  </w:footnote>
  <w:footnote w:id="79">
    <w:p w14:paraId="7721ACE9" w14:textId="77777777" w:rsidR="00196588" w:rsidRPr="00F40346" w:rsidRDefault="00196588" w:rsidP="00276304">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rPr>
        <w:t xml:space="preserve">Id. </w:t>
      </w:r>
    </w:p>
  </w:footnote>
  <w:footnote w:id="80">
    <w:p w14:paraId="61F36E6A" w14:textId="62F04ECC" w:rsidR="00196588" w:rsidRPr="00F40346" w:rsidRDefault="00196588" w:rsidP="00276304">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rPr>
        <w:t xml:space="preserve">See </w:t>
      </w:r>
      <w:r w:rsidRPr="00F40346">
        <w:rPr>
          <w:rFonts w:ascii="Palatino Linotype" w:hAnsi="Palatino Linotype" w:cs="Times New Roman"/>
        </w:rPr>
        <w:t xml:space="preserve">Rule 6.1, that states “Every lawyer has a professional responsibility to provide legal services to those unable to pay.” </w:t>
      </w:r>
      <w:r w:rsidR="00E73E1E" w:rsidRPr="00F40346">
        <w:rPr>
          <w:rFonts w:ascii="Palatino Linotype" w:hAnsi="Palatino Linotype" w:cs="Times New Roman"/>
          <w:smallCaps/>
        </w:rPr>
        <w:t>Model Rules of Prof’l Conduct  (Am. Bar Ass’n</w:t>
      </w:r>
      <w:r w:rsidR="00E73E1E" w:rsidRPr="00F40346">
        <w:rPr>
          <w:rFonts w:ascii="Palatino Linotype" w:hAnsi="Palatino Linotype" w:cs="Times New Roman"/>
        </w:rPr>
        <w:t> 1983)</w:t>
      </w:r>
    </w:p>
  </w:footnote>
  <w:footnote w:id="81">
    <w:p w14:paraId="52DFB771" w14:textId="77777777" w:rsidR="00196588" w:rsidRPr="00F40346" w:rsidRDefault="00196588" w:rsidP="00276304">
      <w:pPr>
        <w:pStyle w:val="FootnoteText"/>
        <w:rPr>
          <w:rFonts w:ascii="Palatino Linotype" w:hAnsi="Palatino Linotype" w:cs="Times New Roman"/>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rPr>
        <w:t>Id.</w:t>
      </w:r>
      <w:r w:rsidRPr="00F40346">
        <w:rPr>
          <w:rFonts w:ascii="Palatino Linotype" w:hAnsi="Palatino Linotype" w:cs="Times New Roman"/>
        </w:rPr>
        <w:t xml:space="preserve"> Preamble [9].</w:t>
      </w:r>
    </w:p>
  </w:footnote>
  <w:footnote w:id="82">
    <w:p w14:paraId="6B8D4935" w14:textId="1BDDD250"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lang w:val="en-US"/>
        </w:rPr>
        <w:t>Stuckey</w:t>
      </w:r>
      <w:r w:rsidRPr="00F40346">
        <w:rPr>
          <w:rFonts w:ascii="Palatino Linotype" w:hAnsi="Palatino Linotype" w:cs="Times New Roman"/>
          <w:lang w:val="en-US"/>
        </w:rPr>
        <w:t xml:space="preserve">, </w:t>
      </w:r>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 4, at 198.</w:t>
      </w:r>
    </w:p>
  </w:footnote>
  <w:footnote w:id="83">
    <w:p w14:paraId="18904CAA" w14:textId="114D0C2A" w:rsidR="00196588" w:rsidRPr="00F40346" w:rsidRDefault="00196588" w:rsidP="009D7EEB">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bookmarkStart w:id="15" w:name="_Hlk488495491"/>
      <w:r w:rsidRPr="00F40346">
        <w:rPr>
          <w:rFonts w:ascii="Palatino Linotype" w:hAnsi="Palatino Linotype" w:cs="Times New Roman"/>
          <w:lang w:val="en-US"/>
        </w:rPr>
        <w:t xml:space="preserve">Daisy Hurst Floyd &amp; Timothy W. Floyd, </w:t>
      </w:r>
      <w:r w:rsidRPr="00F40346">
        <w:rPr>
          <w:rFonts w:ascii="Palatino Linotype" w:hAnsi="Palatino Linotype" w:cs="Times New Roman"/>
          <w:i/>
          <w:lang w:val="en-US"/>
        </w:rPr>
        <w:t>Professional Identity Formation</w:t>
      </w:r>
      <w:r w:rsidRPr="00F40346">
        <w:rPr>
          <w:rFonts w:ascii="Palatino Linotype" w:hAnsi="Palatino Linotype" w:cs="Times New Roman"/>
          <w:lang w:val="en-US"/>
        </w:rPr>
        <w:t xml:space="preserve">, </w:t>
      </w:r>
      <w:r w:rsidRPr="00F40346">
        <w:rPr>
          <w:rFonts w:ascii="Palatino Linotype" w:hAnsi="Palatino Linotype" w:cs="Times New Roman"/>
          <w:i/>
          <w:lang w:val="en-US"/>
        </w:rPr>
        <w:t xml:space="preserve">in </w:t>
      </w:r>
      <w:r w:rsidRPr="00F40346">
        <w:rPr>
          <w:rFonts w:ascii="Palatino Linotype" w:hAnsi="Palatino Linotype" w:cs="Times New Roman"/>
          <w:smallCaps/>
          <w:lang w:val="en-US"/>
        </w:rPr>
        <w:t xml:space="preserve">LFP,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 xml:space="preserve">note2, at 685.  </w:t>
      </w:r>
      <w:bookmarkEnd w:id="15"/>
    </w:p>
  </w:footnote>
  <w:footnote w:id="84">
    <w:p w14:paraId="43818D34" w14:textId="238AB0AA"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Laurie Barron &amp; Nancy M. Stewart, </w:t>
      </w:r>
      <w:r w:rsidRPr="00F40346">
        <w:rPr>
          <w:rFonts w:ascii="Palatino Linotype" w:hAnsi="Palatino Linotype" w:cs="Times New Roman"/>
          <w:i/>
          <w:lang w:val="en-US"/>
        </w:rPr>
        <w:t>Charting Your Path to Success—Professional Development Planning, in</w:t>
      </w:r>
      <w:r w:rsidRPr="00F40346">
        <w:rPr>
          <w:rFonts w:ascii="Palatino Linotype" w:hAnsi="Palatino Linotype" w:cs="Times New Roman"/>
          <w:lang w:val="en-US"/>
        </w:rPr>
        <w:t xml:space="preserve"> LFP,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2,</w:t>
      </w:r>
      <w:r w:rsidRPr="00F40346">
        <w:rPr>
          <w:rFonts w:ascii="Palatino Linotype" w:hAnsi="Palatino Linotype" w:cs="Times New Roman"/>
          <w:i/>
          <w:lang w:val="en-US"/>
        </w:rPr>
        <w:t xml:space="preserve"> </w:t>
      </w:r>
      <w:r w:rsidRPr="00F40346">
        <w:rPr>
          <w:rFonts w:ascii="Palatino Linotype" w:hAnsi="Palatino Linotype" w:cs="Times New Roman"/>
          <w:lang w:val="en-US"/>
        </w:rPr>
        <w:t>at 15.</w:t>
      </w:r>
    </w:p>
  </w:footnote>
  <w:footnote w:id="85">
    <w:p w14:paraId="5C12CD52" w14:textId="1AA8287A"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Avis L. Sanders, </w:t>
      </w:r>
      <w:r w:rsidRPr="00F40346">
        <w:rPr>
          <w:rFonts w:ascii="Palatino Linotype" w:hAnsi="Palatino Linotype" w:cs="Times New Roman"/>
          <w:i/>
          <w:lang w:val="en-US"/>
        </w:rPr>
        <w:t>Externships and Career Development, in</w:t>
      </w:r>
      <w:r w:rsidRPr="00F40346">
        <w:rPr>
          <w:rFonts w:ascii="Palatino Linotype" w:hAnsi="Palatino Linotype" w:cs="Times New Roman"/>
          <w:lang w:val="en-US"/>
        </w:rPr>
        <w:t xml:space="preserve"> </w:t>
      </w:r>
      <w:r w:rsidRPr="00F40346">
        <w:rPr>
          <w:rFonts w:ascii="Palatino Linotype" w:hAnsi="Palatino Linotype" w:cs="Times New Roman"/>
          <w:smallCaps/>
          <w:lang w:val="en-US"/>
        </w:rPr>
        <w:t>LFP</w:t>
      </w:r>
      <w:r w:rsidRPr="00F40346">
        <w:rPr>
          <w:rFonts w:ascii="Palatino Linotype" w:hAnsi="Palatino Linotype" w:cs="Times New Roman"/>
          <w:lang w:val="en-US"/>
        </w:rPr>
        <w:t xml:space="preserve">,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2,</w:t>
      </w:r>
      <w:r w:rsidRPr="00F40346">
        <w:rPr>
          <w:rFonts w:ascii="Palatino Linotype" w:hAnsi="Palatino Linotype" w:cs="Times New Roman"/>
          <w:i/>
          <w:lang w:val="en-US"/>
        </w:rPr>
        <w:t xml:space="preserve"> </w:t>
      </w:r>
      <w:r w:rsidRPr="00F40346">
        <w:rPr>
          <w:rFonts w:ascii="Palatino Linotype" w:hAnsi="Palatino Linotype" w:cs="Times New Roman"/>
          <w:lang w:val="en-US"/>
        </w:rPr>
        <w:t>at 725.</w:t>
      </w:r>
    </w:p>
  </w:footnote>
  <w:footnote w:id="86">
    <w:p w14:paraId="585B9CED" w14:textId="40258512"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Susan L. Brooks &amp; Alexander Scherr, </w:t>
      </w:r>
      <w:r w:rsidRPr="00F40346">
        <w:rPr>
          <w:rFonts w:ascii="Palatino Linotype" w:hAnsi="Palatino Linotype" w:cs="Times New Roman"/>
          <w:i/>
          <w:lang w:val="en-US"/>
        </w:rPr>
        <w:t>On Finishing Strong: Looking Back and Looking Forward, in</w:t>
      </w:r>
      <w:r w:rsidRPr="00F40346">
        <w:rPr>
          <w:rFonts w:ascii="Palatino Linotype" w:hAnsi="Palatino Linotype" w:cs="Times New Roman"/>
          <w:lang w:val="en-US"/>
        </w:rPr>
        <w:t xml:space="preserve"> LFP,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2,</w:t>
      </w:r>
      <w:r w:rsidRPr="00F40346">
        <w:rPr>
          <w:rFonts w:ascii="Palatino Linotype" w:hAnsi="Palatino Linotype" w:cs="Times New Roman"/>
          <w:i/>
          <w:lang w:val="en-US"/>
        </w:rPr>
        <w:t xml:space="preserve"> </w:t>
      </w:r>
      <w:r w:rsidRPr="00F40346">
        <w:rPr>
          <w:rFonts w:ascii="Palatino Linotype" w:hAnsi="Palatino Linotype" w:cs="Times New Roman"/>
          <w:lang w:val="en-US"/>
        </w:rPr>
        <w:t>at 799.</w:t>
      </w:r>
    </w:p>
  </w:footnote>
  <w:footnote w:id="87">
    <w:p w14:paraId="4DA01DA4" w14:textId="0977AC31"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Nancy Maurer, </w:t>
      </w:r>
      <w:r w:rsidRPr="00F40346">
        <w:rPr>
          <w:rFonts w:ascii="Palatino Linotype" w:hAnsi="Palatino Linotype" w:cs="Times New Roman"/>
          <w:i/>
          <w:lang w:val="en-US"/>
        </w:rPr>
        <w:t>Professionalism, in</w:t>
      </w:r>
      <w:r w:rsidRPr="00F40346">
        <w:rPr>
          <w:rFonts w:ascii="Palatino Linotype" w:hAnsi="Palatino Linotype" w:cs="Times New Roman"/>
          <w:lang w:val="en-US"/>
        </w:rPr>
        <w:t xml:space="preserve"> LFP,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2,</w:t>
      </w:r>
      <w:r w:rsidRPr="00F40346">
        <w:rPr>
          <w:rFonts w:ascii="Palatino Linotype" w:hAnsi="Palatino Linotype" w:cs="Times New Roman"/>
          <w:i/>
          <w:lang w:val="en-US"/>
        </w:rPr>
        <w:t xml:space="preserve"> </w:t>
      </w:r>
      <w:r w:rsidRPr="00F40346">
        <w:rPr>
          <w:rFonts w:ascii="Palatino Linotype" w:hAnsi="Palatino Linotype" w:cs="Times New Roman"/>
          <w:lang w:val="en-US"/>
        </w:rPr>
        <w:t>at 237.</w:t>
      </w:r>
    </w:p>
  </w:footnote>
  <w:footnote w:id="88">
    <w:p w14:paraId="129E0BDA" w14:textId="07300943"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Lisa G. Lerman &amp; Lisa V. Martin, </w:t>
      </w:r>
      <w:r w:rsidRPr="00F40346">
        <w:rPr>
          <w:rFonts w:ascii="Palatino Linotype" w:hAnsi="Palatino Linotype" w:cs="Times New Roman"/>
          <w:i/>
          <w:lang w:val="en-US"/>
        </w:rPr>
        <w:t>Ethical Issues in Externships: An Introduction in</w:t>
      </w:r>
      <w:r w:rsidRPr="00F40346">
        <w:rPr>
          <w:rFonts w:ascii="Palatino Linotype" w:hAnsi="Palatino Linotype" w:cs="Times New Roman"/>
          <w:lang w:val="en-US"/>
        </w:rPr>
        <w:t xml:space="preserve"> LFP,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2, at 261.</w:t>
      </w:r>
    </w:p>
  </w:footnote>
  <w:footnote w:id="89">
    <w:p w14:paraId="5439538E" w14:textId="26880A33"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Alexis Anderson, </w:t>
      </w:r>
      <w:r w:rsidRPr="00F40346">
        <w:rPr>
          <w:rFonts w:ascii="Palatino Linotype" w:hAnsi="Palatino Linotype" w:cs="Times New Roman"/>
          <w:i/>
          <w:lang w:val="en-US"/>
        </w:rPr>
        <w:t>Ethical Issues in Externships: Confidentiality in</w:t>
      </w:r>
      <w:r w:rsidRPr="00F40346">
        <w:rPr>
          <w:rFonts w:ascii="Palatino Linotype" w:hAnsi="Palatino Linotype" w:cs="Times New Roman"/>
          <w:lang w:val="en-US"/>
        </w:rPr>
        <w:t xml:space="preserve"> LFP,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2, at 279.</w:t>
      </w:r>
    </w:p>
  </w:footnote>
  <w:footnote w:id="90">
    <w:p w14:paraId="3647529E" w14:textId="21BA9019"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Cindy R. Slade, </w:t>
      </w:r>
      <w:r w:rsidRPr="00F40346">
        <w:rPr>
          <w:rFonts w:ascii="Palatino Linotype" w:hAnsi="Palatino Linotype" w:cs="Times New Roman"/>
          <w:i/>
          <w:lang w:val="en-US"/>
        </w:rPr>
        <w:t>Ethical Issues in Externships: Conflicts of Interest in</w:t>
      </w:r>
      <w:r w:rsidRPr="00F40346">
        <w:rPr>
          <w:rFonts w:ascii="Palatino Linotype" w:hAnsi="Palatino Linotype" w:cs="Times New Roman"/>
          <w:lang w:val="en-US"/>
        </w:rPr>
        <w:t xml:space="preserve"> LFP,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2, at 295.</w:t>
      </w:r>
    </w:p>
  </w:footnote>
  <w:footnote w:id="91">
    <w:p w14:paraId="69393DAE" w14:textId="0DC94076"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Lisa G. Lerman &amp; Lisa V. Martin, </w:t>
      </w:r>
      <w:r w:rsidRPr="00F40346">
        <w:rPr>
          <w:rFonts w:ascii="Palatino Linotype" w:hAnsi="Palatino Linotype" w:cs="Times New Roman"/>
          <w:i/>
          <w:lang w:val="en-US"/>
        </w:rPr>
        <w:t>Ethical Issues in Externships: Duties to Tribunals and Third Parties, in</w:t>
      </w:r>
      <w:r w:rsidRPr="00F40346">
        <w:rPr>
          <w:rFonts w:ascii="Palatino Linotype" w:hAnsi="Palatino Linotype" w:cs="Times New Roman"/>
          <w:lang w:val="en-US"/>
        </w:rPr>
        <w:t xml:space="preserve"> LFP,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2, at 335.</w:t>
      </w:r>
    </w:p>
  </w:footnote>
  <w:footnote w:id="92">
    <w:p w14:paraId="54002496" w14:textId="040139BD"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Mariana Hogan &amp; Michael H. Roffer, </w:t>
      </w:r>
      <w:r w:rsidRPr="00F40346">
        <w:rPr>
          <w:rFonts w:ascii="Palatino Linotype" w:hAnsi="Palatino Linotype" w:cs="Times New Roman"/>
          <w:i/>
          <w:lang w:val="en-US"/>
        </w:rPr>
        <w:t xml:space="preserve">Judicial Externships, in </w:t>
      </w:r>
      <w:r w:rsidRPr="00F40346">
        <w:rPr>
          <w:rFonts w:ascii="Palatino Linotype" w:hAnsi="Palatino Linotype" w:cs="Times New Roman"/>
          <w:lang w:val="en-US"/>
        </w:rPr>
        <w:t xml:space="preserve">LFP, </w:t>
      </w:r>
      <w:r w:rsidRPr="00F40346">
        <w:rPr>
          <w:rFonts w:ascii="Palatino Linotype" w:hAnsi="Palatino Linotype" w:cs="Times New Roman"/>
          <w:i/>
          <w:lang w:val="en-US"/>
        </w:rPr>
        <w:t xml:space="preserve">id. </w:t>
      </w:r>
      <w:r w:rsidRPr="00F40346">
        <w:rPr>
          <w:rFonts w:ascii="Palatino Linotype" w:hAnsi="Palatino Linotype" w:cs="Times New Roman"/>
          <w:lang w:val="en-US"/>
        </w:rPr>
        <w:t xml:space="preserve">at 489; Russell Gabriel &amp; Hans P. Sinha, </w:t>
      </w:r>
      <w:r w:rsidRPr="00F40346">
        <w:rPr>
          <w:rFonts w:ascii="Palatino Linotype" w:hAnsi="Palatino Linotype" w:cs="Times New Roman"/>
          <w:i/>
          <w:lang w:val="en-US"/>
        </w:rPr>
        <w:t xml:space="preserve">Criminal Justice Law Placements, in </w:t>
      </w:r>
      <w:r w:rsidRPr="00F40346">
        <w:rPr>
          <w:rFonts w:ascii="Palatino Linotype" w:hAnsi="Palatino Linotype" w:cs="Times New Roman"/>
          <w:lang w:val="en-US"/>
        </w:rPr>
        <w:t xml:space="preserve">LFP,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 xml:space="preserve">note 2, at 559; Susan B. Schechter &amp; Jeffrey R. Baker, </w:t>
      </w:r>
      <w:r w:rsidRPr="00F40346">
        <w:rPr>
          <w:rFonts w:ascii="Palatino Linotype" w:hAnsi="Palatino Linotype" w:cs="Times New Roman"/>
          <w:i/>
          <w:lang w:val="en-US"/>
        </w:rPr>
        <w:t>Public Interest Lawyering,</w:t>
      </w:r>
      <w:r w:rsidRPr="00F40346">
        <w:rPr>
          <w:rFonts w:ascii="Palatino Linotype" w:hAnsi="Palatino Linotype" w:cs="Times New Roman"/>
          <w:lang w:val="en-US"/>
        </w:rPr>
        <w:t xml:space="preserve"> LFP,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2,</w:t>
      </w:r>
      <w:r w:rsidRPr="00F40346">
        <w:rPr>
          <w:rFonts w:ascii="Palatino Linotype" w:hAnsi="Palatino Linotype" w:cs="Times New Roman"/>
          <w:i/>
          <w:lang w:val="en-US"/>
        </w:rPr>
        <w:t xml:space="preserve"> </w:t>
      </w:r>
      <w:r w:rsidRPr="00F40346">
        <w:rPr>
          <w:rFonts w:ascii="Palatino Linotype" w:hAnsi="Palatino Linotype" w:cs="Times New Roman"/>
          <w:lang w:val="en-US"/>
        </w:rPr>
        <w:t xml:space="preserve">at 605; Jeffrey R. Baker &amp; Susan B. Schechter, </w:t>
      </w:r>
      <w:r w:rsidRPr="00F40346">
        <w:rPr>
          <w:rFonts w:ascii="Palatino Linotype" w:hAnsi="Palatino Linotype" w:cs="Times New Roman"/>
          <w:i/>
          <w:lang w:val="en-US"/>
        </w:rPr>
        <w:t xml:space="preserve">Public Service Lawyering, in </w:t>
      </w:r>
      <w:r w:rsidRPr="00F40346">
        <w:rPr>
          <w:rFonts w:ascii="Palatino Linotype" w:hAnsi="Palatino Linotype" w:cs="Times New Roman"/>
          <w:lang w:val="en-US"/>
        </w:rPr>
        <w:t xml:space="preserve">LFP,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2,</w:t>
      </w:r>
      <w:r w:rsidRPr="00F40346">
        <w:rPr>
          <w:rFonts w:ascii="Palatino Linotype" w:hAnsi="Palatino Linotype" w:cs="Times New Roman"/>
          <w:i/>
          <w:lang w:val="en-US"/>
        </w:rPr>
        <w:t xml:space="preserve"> </w:t>
      </w:r>
      <w:r w:rsidRPr="00F40346">
        <w:rPr>
          <w:rFonts w:ascii="Palatino Linotype" w:hAnsi="Palatino Linotype" w:cs="Times New Roman"/>
          <w:lang w:val="en-US"/>
        </w:rPr>
        <w:t xml:space="preserve">at 627; Ann Vessels, Stacey Bowers, &amp; Mark Popielarski, </w:t>
      </w:r>
      <w:r w:rsidRPr="00F40346">
        <w:rPr>
          <w:rFonts w:ascii="Palatino Linotype" w:hAnsi="Palatino Linotype" w:cs="Times New Roman"/>
          <w:i/>
          <w:lang w:val="en-US"/>
        </w:rPr>
        <w:t xml:space="preserve">Transactional Lawyering in </w:t>
      </w:r>
      <w:r w:rsidRPr="00F40346">
        <w:rPr>
          <w:rFonts w:ascii="Palatino Linotype" w:hAnsi="Palatino Linotype" w:cs="Times New Roman"/>
          <w:lang w:val="en-US"/>
        </w:rPr>
        <w:t xml:space="preserve">LFP, </w:t>
      </w:r>
      <w:r w:rsidRPr="00F40346">
        <w:rPr>
          <w:rFonts w:ascii="Palatino Linotype" w:hAnsi="Palatino Linotype" w:cs="Times New Roman"/>
          <w:i/>
          <w:lang w:val="en-US"/>
        </w:rPr>
        <w:t xml:space="preserve">supra </w:t>
      </w:r>
      <w:r w:rsidRPr="00F40346">
        <w:rPr>
          <w:rFonts w:ascii="Palatino Linotype" w:hAnsi="Palatino Linotype" w:cs="Times New Roman"/>
          <w:lang w:val="en-US"/>
        </w:rPr>
        <w:t>note 2,at 645.</w:t>
      </w:r>
    </w:p>
  </w:footnote>
  <w:footnote w:id="93">
    <w:p w14:paraId="2488694F" w14:textId="69CF93FA"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 xml:space="preserve">Smith, </w:t>
      </w:r>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w:t>
      </w:r>
      <w:r w:rsidR="009E1585" w:rsidRPr="00F40346">
        <w:rPr>
          <w:rFonts w:ascii="Palatino Linotype" w:hAnsi="Palatino Linotype" w:cs="Times New Roman"/>
          <w:lang w:val="en-US"/>
        </w:rPr>
        <w:t xml:space="preserve"> 51</w:t>
      </w:r>
      <w:r w:rsidRPr="00F40346">
        <w:rPr>
          <w:rFonts w:ascii="Palatino Linotype" w:hAnsi="Palatino Linotype" w:cs="Times New Roman"/>
          <w:lang w:val="en-US"/>
        </w:rPr>
        <w:t xml:space="preserve"> at 1256. </w:t>
      </w:r>
      <w:r w:rsidRPr="00F40346">
        <w:rPr>
          <w:rFonts w:ascii="Palatino Linotype" w:hAnsi="Palatino Linotype" w:cs="Times New Roman"/>
          <w:i/>
          <w:lang w:val="en-US"/>
        </w:rPr>
        <w:t>See also</w:t>
      </w:r>
      <w:r w:rsidRPr="00F40346">
        <w:rPr>
          <w:rFonts w:ascii="Palatino Linotype" w:hAnsi="Palatino Linotype" w:cs="Times New Roman"/>
          <w:lang w:val="en-US"/>
        </w:rPr>
        <w:t xml:space="preserve"> Russell Gabriel &amp; Hans P. Sinha, </w:t>
      </w:r>
      <w:r w:rsidRPr="00F40346">
        <w:rPr>
          <w:rFonts w:ascii="Palatino Linotype" w:hAnsi="Palatino Linotype" w:cs="Times New Roman"/>
          <w:i/>
          <w:lang w:val="en-US"/>
        </w:rPr>
        <w:t xml:space="preserve">Criminal Justice Law Placements, in </w:t>
      </w:r>
      <w:r w:rsidRPr="00F40346">
        <w:rPr>
          <w:rFonts w:ascii="Palatino Linotype" w:hAnsi="Palatino Linotype" w:cs="Times New Roman"/>
          <w:lang w:val="en-US"/>
        </w:rPr>
        <w:t xml:space="preserve">LFP, </w:t>
      </w:r>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w:t>
      </w:r>
      <w:r w:rsidR="009E1585" w:rsidRPr="00F40346">
        <w:rPr>
          <w:rFonts w:ascii="Palatino Linotype" w:hAnsi="Palatino Linotype" w:cs="Times New Roman"/>
          <w:lang w:val="en-US"/>
        </w:rPr>
        <w:t xml:space="preserve"> 88</w:t>
      </w:r>
      <w:r w:rsidRPr="00F40346">
        <w:rPr>
          <w:rFonts w:ascii="Palatino Linotype" w:hAnsi="Palatino Linotype" w:cs="Times New Roman"/>
          <w:lang w:val="en-US"/>
        </w:rPr>
        <w:t xml:space="preserve"> at 559; and the accompanying Teacher’s Manual chapter, both co-written by clinical teachers from prosecution and defense backgrounds, </w:t>
      </w:r>
      <w:r w:rsidRPr="00F40346">
        <w:rPr>
          <w:rFonts w:ascii="Palatino Linotype" w:hAnsi="Palatino Linotype" w:cs="Times New Roman"/>
          <w:smallCaps/>
        </w:rPr>
        <w:t>Teacher’s Manual to Learning from Practice:  A Text for Experiential Legal Education</w:t>
      </w:r>
      <w:r w:rsidRPr="00F40346">
        <w:rPr>
          <w:rFonts w:ascii="Palatino Linotype" w:hAnsi="Palatino Linotype" w:cs="Times New Roman"/>
        </w:rPr>
        <w:t> 685 (Leah Wortham et al. eds., 3d ed., 2016), </w:t>
      </w:r>
      <w:hyperlink r:id="rId13" w:tgtFrame="_blank" w:history="1">
        <w:r w:rsidRPr="00F40346">
          <w:rPr>
            <w:rFonts w:ascii="Palatino Linotype" w:hAnsi="Palatino Linotype" w:cs="Times New Roman"/>
            <w:color w:val="1155CC"/>
            <w:u w:val="single"/>
          </w:rPr>
          <w:t>https://www.dropbox.com/s/5ruigomhtpguugf/Learning%20from%20Practice%2C%20Teacher%27s%20Manual%20-%203rd%20Edition.pdf?dl=0</w:t>
        </w:r>
      </w:hyperlink>
      <w:r w:rsidRPr="00F40346">
        <w:rPr>
          <w:rFonts w:ascii="Palatino Linotype" w:hAnsi="Palatino Linotype" w:cs="Times New Roman"/>
        </w:rPr>
        <w:t>.</w:t>
      </w:r>
    </w:p>
  </w:footnote>
  <w:footnote w:id="94">
    <w:p w14:paraId="203CB4DF" w14:textId="25800184"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Smith, </w:t>
      </w:r>
      <w:r w:rsidRPr="00F40346">
        <w:rPr>
          <w:rFonts w:ascii="Palatino Linotype" w:hAnsi="Palatino Linotype" w:cs="Times New Roman"/>
          <w:i/>
        </w:rPr>
        <w:t>supra</w:t>
      </w:r>
      <w:r w:rsidRPr="00F40346">
        <w:rPr>
          <w:rFonts w:ascii="Palatino Linotype" w:hAnsi="Palatino Linotype" w:cs="Times New Roman"/>
        </w:rPr>
        <w:t xml:space="preserve"> note 51, at 1256.</w:t>
      </w:r>
    </w:p>
  </w:footnote>
  <w:footnote w:id="95">
    <w:p w14:paraId="53F39931" w14:textId="77777777"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Id</w:t>
      </w:r>
      <w:r w:rsidRPr="00F40346">
        <w:rPr>
          <w:rFonts w:ascii="Palatino Linotype" w:hAnsi="Palatino Linotype" w:cs="Times New Roman"/>
          <w:lang w:val="en-US"/>
        </w:rPr>
        <w:t>. at 1256-57.</w:t>
      </w:r>
    </w:p>
  </w:footnote>
  <w:footnote w:id="96">
    <w:p w14:paraId="4348BFE5" w14:textId="77777777"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Id</w:t>
      </w:r>
      <w:r w:rsidRPr="00F40346">
        <w:rPr>
          <w:rFonts w:ascii="Palatino Linotype" w:hAnsi="Palatino Linotype" w:cs="Times New Roman"/>
          <w:lang w:val="en-US"/>
        </w:rPr>
        <w:t>. at 1257.</w:t>
      </w:r>
    </w:p>
  </w:footnote>
  <w:footnote w:id="97">
    <w:p w14:paraId="58F69EE3" w14:textId="77777777"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lang w:val="en-US"/>
        </w:rPr>
        <w:t>Thanks for these ideas and for the “Placement Audit” exercise are due to Inga Laurent.</w:t>
      </w:r>
    </w:p>
  </w:footnote>
  <w:footnote w:id="98">
    <w:p w14:paraId="083A5D7C" w14:textId="77777777"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Id.</w:t>
      </w:r>
    </w:p>
  </w:footnote>
  <w:footnote w:id="99">
    <w:p w14:paraId="42210A8E" w14:textId="291CB91B"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lang w:val="en-US"/>
        </w:rPr>
        <w:t>Mary C. Gentile, Giving Voice to Values: How to Speak Your Mind When You Know What’s Right</w:t>
      </w:r>
      <w:r w:rsidRPr="00F40346">
        <w:rPr>
          <w:rFonts w:ascii="Palatino Linotype" w:hAnsi="Palatino Linotype" w:cs="Times New Roman"/>
          <w:lang w:val="en-US"/>
        </w:rPr>
        <w:t xml:space="preserve"> (2010).</w:t>
      </w:r>
    </w:p>
  </w:footnote>
  <w:footnote w:id="100">
    <w:p w14:paraId="089EBF62" w14:textId="752FA68F"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bookmarkStart w:id="16" w:name="_Hlk488831401"/>
      <w:r w:rsidRPr="00F40346">
        <w:rPr>
          <w:rFonts w:ascii="Palatino Linotype" w:hAnsi="Palatino Linotype" w:cs="Times New Roman"/>
          <w:lang w:val="en-US"/>
        </w:rPr>
        <w:t xml:space="preserve">Vivien Holmes, </w:t>
      </w:r>
      <w:r w:rsidRPr="00F40346">
        <w:rPr>
          <w:rFonts w:ascii="Palatino Linotype" w:hAnsi="Palatino Linotype" w:cs="Times New Roman"/>
          <w:i/>
          <w:lang w:val="en-US"/>
        </w:rPr>
        <w:t xml:space="preserve">‘Giving Voice to Values’: enhancing students’ capacity to cope with ethical challenges in legal practice, </w:t>
      </w:r>
      <w:r w:rsidRPr="00F40346">
        <w:rPr>
          <w:rFonts w:ascii="Palatino Linotype" w:hAnsi="Palatino Linotype" w:cs="Times New Roman"/>
          <w:lang w:val="en-US"/>
        </w:rPr>
        <w:t xml:space="preserve">18 </w:t>
      </w:r>
      <w:r w:rsidRPr="00F40346">
        <w:rPr>
          <w:rFonts w:ascii="Palatino Linotype" w:hAnsi="Palatino Linotype" w:cs="Times New Roman"/>
          <w:smallCaps/>
          <w:lang w:val="en-US"/>
        </w:rPr>
        <w:t>Legal Ethics</w:t>
      </w:r>
      <w:r w:rsidRPr="00F40346">
        <w:rPr>
          <w:rFonts w:ascii="Palatino Linotype" w:hAnsi="Palatino Linotype" w:cs="Times New Roman"/>
          <w:lang w:val="en-US"/>
        </w:rPr>
        <w:t xml:space="preserve"> 115, 129 (2015).</w:t>
      </w:r>
      <w:bookmarkEnd w:id="16"/>
    </w:p>
  </w:footnote>
  <w:footnote w:id="101">
    <w:p w14:paraId="4D20C541" w14:textId="77777777"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Id</w:t>
      </w:r>
      <w:r w:rsidRPr="00F40346">
        <w:rPr>
          <w:rFonts w:ascii="Palatino Linotype" w:hAnsi="Palatino Linotype" w:cs="Times New Roman"/>
          <w:lang w:val="en-US"/>
        </w:rPr>
        <w:t>. at 133-36.</w:t>
      </w:r>
    </w:p>
  </w:footnote>
  <w:footnote w:id="102">
    <w:p w14:paraId="7D3C205B" w14:textId="510AC716"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bookmarkStart w:id="17" w:name="_Hlk488831471"/>
      <w:r w:rsidRPr="00F40346">
        <w:rPr>
          <w:rFonts w:ascii="Palatino Linotype" w:hAnsi="Palatino Linotype" w:cs="Times New Roman"/>
          <w:i/>
          <w:lang w:val="en-US"/>
        </w:rPr>
        <w:t>See</w:t>
      </w:r>
      <w:r w:rsidRPr="00F40346">
        <w:rPr>
          <w:rFonts w:ascii="Palatino Linotype" w:hAnsi="Palatino Linotype" w:cs="Times New Roman"/>
          <w:lang w:val="en-US"/>
        </w:rPr>
        <w:t xml:space="preserve">, </w:t>
      </w:r>
      <w:r w:rsidRPr="00F40346">
        <w:rPr>
          <w:rFonts w:ascii="Palatino Linotype" w:hAnsi="Palatino Linotype" w:cs="Times New Roman"/>
          <w:i/>
          <w:lang w:val="en-US"/>
        </w:rPr>
        <w:t>e.g.</w:t>
      </w:r>
      <w:r w:rsidRPr="00F40346">
        <w:rPr>
          <w:rFonts w:ascii="Palatino Linotype" w:hAnsi="Palatino Linotype" w:cs="Times New Roman"/>
          <w:lang w:val="en-US"/>
        </w:rPr>
        <w:t xml:space="preserve">, Dianne Molvi, </w:t>
      </w:r>
      <w:r w:rsidRPr="00F40346">
        <w:rPr>
          <w:rFonts w:ascii="Palatino Linotype" w:hAnsi="Palatino Linotype" w:cs="Times New Roman"/>
          <w:i/>
          <w:lang w:val="en-US"/>
        </w:rPr>
        <w:t>The Toll of Trauma</w:t>
      </w:r>
      <w:r w:rsidRPr="00F40346">
        <w:rPr>
          <w:rFonts w:ascii="Palatino Linotype" w:hAnsi="Palatino Linotype" w:cs="Times New Roman"/>
          <w:lang w:val="en-US"/>
        </w:rPr>
        <w:t xml:space="preserve"> 84 </w:t>
      </w:r>
      <w:r w:rsidRPr="00F40346">
        <w:rPr>
          <w:rFonts w:ascii="Palatino Linotype" w:hAnsi="Palatino Linotype" w:cs="Times New Roman"/>
          <w:smallCaps/>
          <w:lang w:val="en-US"/>
        </w:rPr>
        <w:t>Wis. Law, D</w:t>
      </w:r>
      <w:r w:rsidRPr="00F40346">
        <w:rPr>
          <w:rFonts w:ascii="Palatino Linotype" w:hAnsi="Palatino Linotype" w:cs="Times New Roman"/>
          <w:lang w:val="en-US"/>
        </w:rPr>
        <w:t xml:space="preserve">ec. 2011, at 4,   </w:t>
      </w:r>
      <w:r w:rsidRPr="00F40346">
        <w:rPr>
          <w:rFonts w:ascii="Palatino Linotype" w:hAnsi="Palatino Linotype" w:cs="Times New Roman"/>
          <w:color w:val="222222"/>
        </w:rPr>
        <w:t>http://www.wisbar.org/NewsPublications/WisconsinLawyer/Pages/Article.aspx?Volume=84&amp;Issue=12&amp;ArticleID=2356 (exploring a study of public defenders and “compassion fatigue”).</w:t>
      </w:r>
      <w:r w:rsidRPr="00F40346">
        <w:rPr>
          <w:rFonts w:ascii="Palatino Linotype" w:hAnsi="Palatino Linotype" w:cs="Times New Roman"/>
          <w:lang w:val="en-US"/>
        </w:rPr>
        <w:t xml:space="preserve">  </w:t>
      </w:r>
      <w:bookmarkEnd w:id="17"/>
    </w:p>
  </w:footnote>
  <w:footnote w:id="103">
    <w:p w14:paraId="06B249C9" w14:textId="660B9625"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003C6431" w:rsidRPr="00F40346">
        <w:rPr>
          <w:rFonts w:ascii="Palatino Linotype" w:hAnsi="Palatino Linotype" w:cs="Times New Roman"/>
          <w:i/>
        </w:rPr>
        <w:t>S</w:t>
      </w:r>
      <w:r w:rsidRPr="00F40346">
        <w:rPr>
          <w:rFonts w:ascii="Palatino Linotype" w:hAnsi="Palatino Linotype" w:cs="Times New Roman"/>
          <w:i/>
        </w:rPr>
        <w:t>ee</w:t>
      </w:r>
      <w:r w:rsidR="003C6431" w:rsidRPr="00F40346">
        <w:rPr>
          <w:rFonts w:ascii="Palatino Linotype" w:hAnsi="Palatino Linotype" w:cs="Times New Roman"/>
          <w:i/>
        </w:rPr>
        <w:t>, e.g.,</w:t>
      </w:r>
      <w:r w:rsidRPr="00F40346">
        <w:rPr>
          <w:rFonts w:ascii="Palatino Linotype" w:hAnsi="Palatino Linotype" w:cs="Times New Roman"/>
        </w:rPr>
        <w:t xml:space="preserve"> </w:t>
      </w:r>
      <w:hyperlink r:id="rId14" w:history="1">
        <w:r w:rsidRPr="00F40346">
          <w:rPr>
            <w:rStyle w:val="Hyperlink"/>
            <w:rFonts w:ascii="Palatino Linotype" w:hAnsi="Palatino Linotype" w:cs="Times New Roman"/>
          </w:rPr>
          <w:t>http://www.nctsn.org/resources/topics/secondary-traumatic-stress</w:t>
        </w:r>
      </w:hyperlink>
      <w:r w:rsidRPr="00F40346">
        <w:rPr>
          <w:rFonts w:ascii="Palatino Linotype" w:hAnsi="Palatino Linotype" w:cs="Times New Roman"/>
        </w:rPr>
        <w:t xml:space="preserve">, and </w:t>
      </w:r>
      <w:hyperlink r:id="rId15" w:history="1">
        <w:r w:rsidR="003C6431" w:rsidRPr="00F40346">
          <w:rPr>
            <w:rStyle w:val="Hyperlink"/>
            <w:rFonts w:ascii="Palatino Linotype" w:hAnsi="Palatino Linotype" w:cs="Times New Roman"/>
          </w:rPr>
          <w:t>http://www.childtraumaacademy.com/surviving_childhood/index.html</w:t>
        </w:r>
      </w:hyperlink>
      <w:r w:rsidR="003C6431" w:rsidRPr="00F40346">
        <w:rPr>
          <w:rFonts w:ascii="Palatino Linotype" w:hAnsi="Palatino Linotype" w:cs="Times New Roman"/>
        </w:rPr>
        <w:t xml:space="preserve"> </w:t>
      </w:r>
    </w:p>
  </w:footnote>
  <w:footnote w:id="104">
    <w:p w14:paraId="00C547EA" w14:textId="3AC6DF19"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smallCaps/>
          <w:lang w:val="en-US"/>
        </w:rPr>
        <w:t>Stuckey</w:t>
      </w:r>
      <w:r w:rsidRPr="00F40346">
        <w:rPr>
          <w:rFonts w:ascii="Palatino Linotype" w:hAnsi="Palatino Linotype" w:cs="Times New Roman"/>
          <w:lang w:val="en-US"/>
        </w:rPr>
        <w:t xml:space="preserve">, </w:t>
      </w:r>
      <w:r w:rsidRPr="00F40346">
        <w:rPr>
          <w:rFonts w:ascii="Palatino Linotype" w:hAnsi="Palatino Linotype" w:cs="Times New Roman"/>
          <w:i/>
          <w:lang w:val="en-US"/>
        </w:rPr>
        <w:t>supra</w:t>
      </w:r>
      <w:r w:rsidRPr="00F40346">
        <w:rPr>
          <w:rFonts w:ascii="Palatino Linotype" w:hAnsi="Palatino Linotype" w:cs="Times New Roman"/>
          <w:lang w:val="en-US"/>
        </w:rPr>
        <w:t xml:space="preserve"> note 4 at 199.</w:t>
      </w:r>
    </w:p>
  </w:footnote>
  <w:footnote w:id="105">
    <w:p w14:paraId="2B648FB6" w14:textId="771BF463"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See</w:t>
      </w:r>
      <w:r w:rsidRPr="00F40346">
        <w:rPr>
          <w:rFonts w:ascii="Palatino Linotype" w:hAnsi="Palatino Linotype" w:cs="Times New Roman"/>
          <w:lang w:val="en-US"/>
        </w:rPr>
        <w:t xml:space="preserve">, </w:t>
      </w:r>
      <w:r w:rsidRPr="00F40346">
        <w:rPr>
          <w:rFonts w:ascii="Palatino Linotype" w:hAnsi="Palatino Linotype" w:cs="Times New Roman"/>
          <w:i/>
          <w:lang w:val="en-US"/>
        </w:rPr>
        <w:t>e.g.</w:t>
      </w:r>
      <w:r w:rsidRPr="00F40346">
        <w:rPr>
          <w:rFonts w:ascii="Palatino Linotype" w:hAnsi="Palatino Linotype" w:cs="Times New Roman"/>
          <w:lang w:val="en-US"/>
        </w:rPr>
        <w:t xml:space="preserve">, Linda F. Smith, </w:t>
      </w:r>
      <w:r w:rsidRPr="00F40346">
        <w:rPr>
          <w:rFonts w:ascii="Palatino Linotype" w:hAnsi="Palatino Linotype" w:cs="Times New Roman"/>
          <w:i/>
          <w:lang w:val="en-US"/>
        </w:rPr>
        <w:t>The Judicial Clinic:  Theory and Method in a Live Laboratory of Law</w:t>
      </w:r>
      <w:r w:rsidRPr="00F40346">
        <w:rPr>
          <w:rFonts w:ascii="Palatino Linotype" w:hAnsi="Palatino Linotype" w:cs="Times New Roman"/>
          <w:lang w:val="en-US"/>
        </w:rPr>
        <w:t xml:space="preserve">, 1993 </w:t>
      </w:r>
      <w:r w:rsidRPr="00F40346">
        <w:rPr>
          <w:rFonts w:ascii="Palatino Linotype" w:hAnsi="Palatino Linotype" w:cs="Times New Roman"/>
          <w:smallCaps/>
          <w:lang w:val="en-US"/>
        </w:rPr>
        <w:t>Utah L. Rev</w:t>
      </w:r>
      <w:r w:rsidRPr="00F40346">
        <w:rPr>
          <w:rFonts w:ascii="Palatino Linotype" w:hAnsi="Palatino Linotype" w:cs="Times New Roman"/>
          <w:lang w:val="en-US"/>
        </w:rPr>
        <w:t>. 429, 464, 468 (1993).</w:t>
      </w:r>
    </w:p>
  </w:footnote>
  <w:footnote w:id="106">
    <w:p w14:paraId="4BE9F955" w14:textId="7A699A1F" w:rsidR="00196588" w:rsidRPr="00F40346" w:rsidRDefault="00196588" w:rsidP="00276304">
      <w:pPr>
        <w:pStyle w:val="FootnoteText"/>
        <w:rPr>
          <w:rFonts w:ascii="Palatino Linotype" w:hAnsi="Palatino Linotype" w:cs="Times New Roman"/>
          <w:lang w:val="en-US"/>
        </w:rPr>
      </w:pPr>
      <w:r w:rsidRPr="00F40346">
        <w:rPr>
          <w:rStyle w:val="FootnoteReference"/>
          <w:rFonts w:ascii="Palatino Linotype" w:hAnsi="Palatino Linotype" w:cs="Times New Roman"/>
        </w:rPr>
        <w:footnoteRef/>
      </w:r>
      <w:r w:rsidRPr="00F40346">
        <w:rPr>
          <w:rFonts w:ascii="Palatino Linotype" w:hAnsi="Palatino Linotype" w:cs="Times New Roman"/>
        </w:rPr>
        <w:t xml:space="preserve"> </w:t>
      </w:r>
      <w:r w:rsidRPr="00F40346">
        <w:rPr>
          <w:rFonts w:ascii="Palatino Linotype" w:hAnsi="Palatino Linotype" w:cs="Times New Roman"/>
          <w:i/>
          <w:lang w:val="en-US"/>
        </w:rPr>
        <w:t>See,</w:t>
      </w:r>
      <w:r w:rsidRPr="00F40346">
        <w:rPr>
          <w:rFonts w:ascii="Palatino Linotype" w:hAnsi="Palatino Linotype" w:cs="Times New Roman"/>
          <w:lang w:val="en-US"/>
        </w:rPr>
        <w:t xml:space="preserve"> </w:t>
      </w:r>
      <w:r w:rsidRPr="00F40346">
        <w:rPr>
          <w:rFonts w:ascii="Palatino Linotype" w:hAnsi="Palatino Linotype" w:cs="Times New Roman"/>
          <w:i/>
          <w:lang w:val="en-US"/>
        </w:rPr>
        <w:t>e.g.</w:t>
      </w:r>
      <w:r w:rsidRPr="00F40346">
        <w:rPr>
          <w:rFonts w:ascii="Palatino Linotype" w:hAnsi="Palatino Linotype" w:cs="Times New Roman"/>
          <w:lang w:val="en-US"/>
        </w:rPr>
        <w:t xml:space="preserve">, Smith, </w:t>
      </w:r>
      <w:r w:rsidRPr="00F40346">
        <w:rPr>
          <w:rFonts w:ascii="Palatino Linotype" w:hAnsi="Palatino Linotype" w:cs="Times New Roman"/>
          <w:i/>
          <w:lang w:val="en-US"/>
        </w:rPr>
        <w:t>Criminal Law Clinic, supra</w:t>
      </w:r>
      <w:r w:rsidRPr="00F40346">
        <w:rPr>
          <w:rFonts w:ascii="Palatino Linotype" w:hAnsi="Palatino Linotype" w:cs="Times New Roman"/>
          <w:lang w:val="en-US"/>
        </w:rPr>
        <w:t xml:space="preserve"> note 51, at 1261-79.</w:t>
      </w:r>
    </w:p>
  </w:footnote>
  <w:footnote w:id="107">
    <w:p w14:paraId="6A0F0A68" w14:textId="0B3CBFF8" w:rsidR="00196588" w:rsidRPr="00F40346" w:rsidRDefault="00196588" w:rsidP="00CA5F56">
      <w:pPr>
        <w:shd w:val="clear" w:color="auto" w:fill="FFFFFF"/>
        <w:rPr>
          <w:rFonts w:ascii="Palatino Linotype" w:hAnsi="Palatino Linotype"/>
          <w:sz w:val="20"/>
          <w:szCs w:val="20"/>
        </w:rPr>
      </w:pPr>
      <w:r w:rsidRPr="00F40346">
        <w:rPr>
          <w:rStyle w:val="FootnoteReference"/>
          <w:rFonts w:ascii="Palatino Linotype" w:hAnsi="Palatino Linotype" w:cs="Times New Roman"/>
          <w:sz w:val="20"/>
          <w:szCs w:val="20"/>
        </w:rPr>
        <w:footnoteRef/>
      </w:r>
      <w:r w:rsidRPr="00F40346">
        <w:rPr>
          <w:rFonts w:ascii="Palatino Linotype" w:hAnsi="Palatino Linotype" w:cs="Times New Roman"/>
          <w:sz w:val="20"/>
          <w:szCs w:val="20"/>
        </w:rPr>
        <w:t xml:space="preserve"> In an empirical study of Australian placement supervisors (both externships and clinics), Giddings identified a small group of supervisors who do not identify and address the social justice issues raised by the matters students work on. </w:t>
      </w:r>
      <w:r w:rsidRPr="00F40346">
        <w:rPr>
          <w:rFonts w:ascii="Palatino Linotype" w:eastAsia="Times New Roman" w:hAnsi="Palatino Linotype" w:cs="Times New Roman"/>
          <w:i/>
          <w:color w:val="222222"/>
          <w:sz w:val="20"/>
          <w:szCs w:val="20"/>
          <w:lang w:val="en-AU"/>
        </w:rPr>
        <w:t xml:space="preserve">See </w:t>
      </w:r>
      <w:r w:rsidRPr="00F40346">
        <w:rPr>
          <w:rFonts w:ascii="Palatino Linotype" w:eastAsia="Times New Roman" w:hAnsi="Palatino Linotype" w:cs="Times New Roman"/>
          <w:color w:val="222222"/>
          <w:sz w:val="20"/>
          <w:szCs w:val="20"/>
          <w:lang w:val="en-AU"/>
        </w:rPr>
        <w:t>Jeff Giddings, </w:t>
      </w:r>
      <w:r w:rsidRPr="00F40346">
        <w:rPr>
          <w:rFonts w:ascii="Palatino Linotype" w:eastAsia="Times New Roman" w:hAnsi="Palatino Linotype" w:cs="Times New Roman"/>
          <w:i/>
          <w:iCs/>
          <w:color w:val="222222"/>
          <w:sz w:val="20"/>
          <w:szCs w:val="20"/>
          <w:lang w:val="en-AU"/>
        </w:rPr>
        <w:t>Supporting Social Justice Through Student Supervision Practices</w:t>
      </w:r>
      <w:r w:rsidRPr="00F40346">
        <w:rPr>
          <w:rFonts w:ascii="Palatino Linotype" w:eastAsia="Times New Roman" w:hAnsi="Palatino Linotype" w:cs="Times New Roman"/>
          <w:iCs/>
          <w:color w:val="222222"/>
          <w:sz w:val="20"/>
          <w:szCs w:val="20"/>
          <w:lang w:val="en-AU"/>
        </w:rPr>
        <w:t>,</w:t>
      </w:r>
      <w:r w:rsidRPr="00F40346">
        <w:rPr>
          <w:rFonts w:ascii="Palatino Linotype" w:eastAsia="Times New Roman" w:hAnsi="Palatino Linotype" w:cs="Times New Roman"/>
          <w:color w:val="222222"/>
          <w:sz w:val="20"/>
          <w:szCs w:val="20"/>
          <w:lang w:val="en-AU"/>
        </w:rPr>
        <w:t> </w:t>
      </w:r>
      <w:r w:rsidRPr="00F40346">
        <w:rPr>
          <w:rFonts w:ascii="Palatino Linotype" w:eastAsia="Times New Roman" w:hAnsi="Palatino Linotype" w:cs="Times New Roman"/>
          <w:i/>
          <w:iCs/>
          <w:color w:val="222222"/>
          <w:sz w:val="20"/>
          <w:szCs w:val="20"/>
          <w:lang w:val="en-AU"/>
        </w:rPr>
        <w:t>in</w:t>
      </w:r>
      <w:r w:rsidRPr="00F40346">
        <w:rPr>
          <w:rFonts w:ascii="Palatino Linotype" w:eastAsia="Times New Roman" w:hAnsi="Palatino Linotype" w:cs="Times New Roman"/>
          <w:color w:val="222222"/>
          <w:sz w:val="20"/>
          <w:szCs w:val="20"/>
          <w:lang w:val="en-AU"/>
        </w:rPr>
        <w:t> </w:t>
      </w:r>
      <w:r w:rsidRPr="00F40346">
        <w:rPr>
          <w:rFonts w:ascii="Palatino Linotype" w:eastAsia="Times New Roman" w:hAnsi="Palatino Linotype" w:cs="Times New Roman"/>
          <w:smallCaps/>
          <w:color w:val="222222"/>
          <w:sz w:val="20"/>
          <w:szCs w:val="20"/>
          <w:lang w:val="en-AU"/>
        </w:rPr>
        <w:t>Social Justice and Legal Education,</w:t>
      </w:r>
      <w:r w:rsidRPr="00F40346">
        <w:rPr>
          <w:rFonts w:ascii="Palatino Linotype" w:eastAsia="Times New Roman" w:hAnsi="Palatino Linotype" w:cs="Times New Roman"/>
          <w:color w:val="222222"/>
          <w:sz w:val="20"/>
          <w:szCs w:val="20"/>
          <w:lang w:val="en-AU"/>
        </w:rPr>
        <w:t xml:space="preserve"> (Chris Ashford &amp; Paul McKeown, eds.,</w:t>
      </w:r>
      <w:r w:rsidR="00CA5F56" w:rsidRPr="00F40346">
        <w:rPr>
          <w:rFonts w:ascii="Palatino Linotype" w:eastAsia="Times New Roman" w:hAnsi="Palatino Linotype" w:cs="Times New Roman"/>
          <w:color w:val="222222"/>
          <w:sz w:val="20"/>
          <w:szCs w:val="20"/>
          <w:lang w:val="en-AU"/>
        </w:rPr>
        <w:t xml:space="preserve"> </w:t>
      </w:r>
      <w:r w:rsidRPr="00F40346">
        <w:rPr>
          <w:rFonts w:ascii="Palatino Linotype" w:eastAsia="Times New Roman" w:hAnsi="Palatino Linotype" w:cs="Times New Roman"/>
          <w:color w:val="222222"/>
          <w:sz w:val="20"/>
          <w:szCs w:val="20"/>
          <w:lang w:val="en-AU"/>
        </w:rPr>
        <w:t xml:space="preserve">forthcoming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BBEC8" w14:textId="6DCF89E8" w:rsidR="00F40346" w:rsidRDefault="00F40346">
    <w:pPr>
      <w:pStyle w:val="Header"/>
    </w:pPr>
    <w:r w:rsidRPr="00F40346">
      <w:rPr>
        <w:rFonts w:ascii="Palatino Linotype" w:hAnsi="Palatino Linotype"/>
        <w:i/>
      </w:rPr>
      <w:t>Reviewed Article – Teaching and Learning in Clinic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C2B3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B505A9"/>
    <w:multiLevelType w:val="hybridMultilevel"/>
    <w:tmpl w:val="AF1EA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C6422"/>
    <w:multiLevelType w:val="hybridMultilevel"/>
    <w:tmpl w:val="8016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A205D"/>
    <w:multiLevelType w:val="hybridMultilevel"/>
    <w:tmpl w:val="8998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C69EA"/>
    <w:multiLevelType w:val="hybridMultilevel"/>
    <w:tmpl w:val="16C4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24582"/>
    <w:multiLevelType w:val="hybridMultilevel"/>
    <w:tmpl w:val="8A74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E69C4"/>
    <w:multiLevelType w:val="hybridMultilevel"/>
    <w:tmpl w:val="83D04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E369E"/>
    <w:multiLevelType w:val="hybridMultilevel"/>
    <w:tmpl w:val="E2B828AE"/>
    <w:lvl w:ilvl="0" w:tplc="C9008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5A241F"/>
    <w:multiLevelType w:val="hybridMultilevel"/>
    <w:tmpl w:val="5B846E98"/>
    <w:lvl w:ilvl="0" w:tplc="1F1E4B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051213"/>
    <w:multiLevelType w:val="hybridMultilevel"/>
    <w:tmpl w:val="7DDA9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D3962"/>
    <w:multiLevelType w:val="hybridMultilevel"/>
    <w:tmpl w:val="1D04877C"/>
    <w:lvl w:ilvl="0" w:tplc="54F81D86">
      <w:start w:val="1"/>
      <w:numFmt w:val="decimal"/>
      <w:lvlText w:val="%1."/>
      <w:lvlJc w:val="lef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11" w15:restartNumberingAfterBreak="0">
    <w:nsid w:val="47E72B3E"/>
    <w:multiLevelType w:val="hybridMultilevel"/>
    <w:tmpl w:val="5A74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73850"/>
    <w:multiLevelType w:val="hybridMultilevel"/>
    <w:tmpl w:val="CCDE07DC"/>
    <w:lvl w:ilvl="0" w:tplc="DF94AA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AD00EE"/>
    <w:multiLevelType w:val="hybridMultilevel"/>
    <w:tmpl w:val="1098DA68"/>
    <w:lvl w:ilvl="0" w:tplc="3BC8B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D225BB"/>
    <w:multiLevelType w:val="hybridMultilevel"/>
    <w:tmpl w:val="563C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96EFA"/>
    <w:multiLevelType w:val="hybridMultilevel"/>
    <w:tmpl w:val="8D7E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6062A"/>
    <w:multiLevelType w:val="hybridMultilevel"/>
    <w:tmpl w:val="6FAA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904A4"/>
    <w:multiLevelType w:val="hybridMultilevel"/>
    <w:tmpl w:val="994EDE8C"/>
    <w:lvl w:ilvl="0" w:tplc="4C92052A">
      <w:start w:val="1"/>
      <w:numFmt w:val="upperLetter"/>
      <w:lvlText w:val="%1."/>
      <w:lvlJc w:val="left"/>
      <w:pPr>
        <w:ind w:left="1107" w:hanging="5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6B921176"/>
    <w:multiLevelType w:val="hybridMultilevel"/>
    <w:tmpl w:val="E56CF848"/>
    <w:lvl w:ilvl="0" w:tplc="36B883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B73434"/>
    <w:multiLevelType w:val="hybridMultilevel"/>
    <w:tmpl w:val="3B5A7EF2"/>
    <w:lvl w:ilvl="0" w:tplc="1E76E9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913E6B"/>
    <w:multiLevelType w:val="hybridMultilevel"/>
    <w:tmpl w:val="BD1A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7E4BAC"/>
    <w:multiLevelType w:val="hybridMultilevel"/>
    <w:tmpl w:val="99E8D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6"/>
  </w:num>
  <w:num w:numId="4">
    <w:abstractNumId w:val="15"/>
  </w:num>
  <w:num w:numId="5">
    <w:abstractNumId w:val="5"/>
  </w:num>
  <w:num w:numId="6">
    <w:abstractNumId w:val="21"/>
  </w:num>
  <w:num w:numId="7">
    <w:abstractNumId w:val="1"/>
  </w:num>
  <w:num w:numId="8">
    <w:abstractNumId w:val="6"/>
  </w:num>
  <w:num w:numId="9">
    <w:abstractNumId w:val="14"/>
  </w:num>
  <w:num w:numId="10">
    <w:abstractNumId w:val="12"/>
  </w:num>
  <w:num w:numId="11">
    <w:abstractNumId w:val="8"/>
  </w:num>
  <w:num w:numId="12">
    <w:abstractNumId w:val="18"/>
  </w:num>
  <w:num w:numId="13">
    <w:abstractNumId w:val="19"/>
  </w:num>
  <w:num w:numId="14">
    <w:abstractNumId w:val="7"/>
  </w:num>
  <w:num w:numId="15">
    <w:abstractNumId w:val="4"/>
  </w:num>
  <w:num w:numId="16">
    <w:abstractNumId w:val="3"/>
  </w:num>
  <w:num w:numId="17">
    <w:abstractNumId w:val="20"/>
  </w:num>
  <w:num w:numId="18">
    <w:abstractNumId w:val="11"/>
  </w:num>
  <w:num w:numId="19">
    <w:abstractNumId w:val="0"/>
  </w:num>
  <w:num w:numId="20">
    <w:abstractNumId w:val="9"/>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E2"/>
    <w:rsid w:val="0000545B"/>
    <w:rsid w:val="00012125"/>
    <w:rsid w:val="000162BC"/>
    <w:rsid w:val="000246EE"/>
    <w:rsid w:val="00032F72"/>
    <w:rsid w:val="00043EF7"/>
    <w:rsid w:val="000512B4"/>
    <w:rsid w:val="0005214A"/>
    <w:rsid w:val="000625A2"/>
    <w:rsid w:val="00063256"/>
    <w:rsid w:val="00076F2B"/>
    <w:rsid w:val="00084E12"/>
    <w:rsid w:val="00093FC9"/>
    <w:rsid w:val="00095C78"/>
    <w:rsid w:val="000A48DE"/>
    <w:rsid w:val="000A4BB7"/>
    <w:rsid w:val="000B0C75"/>
    <w:rsid w:val="000B125B"/>
    <w:rsid w:val="000B5922"/>
    <w:rsid w:val="000C0FE8"/>
    <w:rsid w:val="000C3C60"/>
    <w:rsid w:val="000C7AA7"/>
    <w:rsid w:val="000D3E22"/>
    <w:rsid w:val="000E0141"/>
    <w:rsid w:val="000E491F"/>
    <w:rsid w:val="000E4C69"/>
    <w:rsid w:val="00102B41"/>
    <w:rsid w:val="00103F2D"/>
    <w:rsid w:val="00110380"/>
    <w:rsid w:val="00111731"/>
    <w:rsid w:val="001121AB"/>
    <w:rsid w:val="00116AA8"/>
    <w:rsid w:val="001238B0"/>
    <w:rsid w:val="00125694"/>
    <w:rsid w:val="0013313C"/>
    <w:rsid w:val="00136D0B"/>
    <w:rsid w:val="001375A4"/>
    <w:rsid w:val="001443B5"/>
    <w:rsid w:val="00144A09"/>
    <w:rsid w:val="001557FF"/>
    <w:rsid w:val="00157654"/>
    <w:rsid w:val="001679B3"/>
    <w:rsid w:val="001837B7"/>
    <w:rsid w:val="001848EC"/>
    <w:rsid w:val="00185024"/>
    <w:rsid w:val="00190230"/>
    <w:rsid w:val="00193F68"/>
    <w:rsid w:val="00196588"/>
    <w:rsid w:val="001A08D5"/>
    <w:rsid w:val="001A1A1F"/>
    <w:rsid w:val="001A3802"/>
    <w:rsid w:val="001A3F59"/>
    <w:rsid w:val="001B6603"/>
    <w:rsid w:val="001B71EF"/>
    <w:rsid w:val="001D3A90"/>
    <w:rsid w:val="001D4F15"/>
    <w:rsid w:val="001F2FA9"/>
    <w:rsid w:val="0020012E"/>
    <w:rsid w:val="00201268"/>
    <w:rsid w:val="00204CC2"/>
    <w:rsid w:val="00210E8F"/>
    <w:rsid w:val="0021624C"/>
    <w:rsid w:val="00231D3A"/>
    <w:rsid w:val="00233C22"/>
    <w:rsid w:val="002357E0"/>
    <w:rsid w:val="00236714"/>
    <w:rsid w:val="00244530"/>
    <w:rsid w:val="00276304"/>
    <w:rsid w:val="002765A7"/>
    <w:rsid w:val="00280E65"/>
    <w:rsid w:val="002B33CF"/>
    <w:rsid w:val="002B47E9"/>
    <w:rsid w:val="002B5107"/>
    <w:rsid w:val="002D0066"/>
    <w:rsid w:val="002D04A0"/>
    <w:rsid w:val="002D1293"/>
    <w:rsid w:val="002E144D"/>
    <w:rsid w:val="002E1550"/>
    <w:rsid w:val="002E589C"/>
    <w:rsid w:val="0030121C"/>
    <w:rsid w:val="00307A17"/>
    <w:rsid w:val="003163F2"/>
    <w:rsid w:val="00324646"/>
    <w:rsid w:val="00343561"/>
    <w:rsid w:val="0035166D"/>
    <w:rsid w:val="00352C32"/>
    <w:rsid w:val="00355AFC"/>
    <w:rsid w:val="003607FA"/>
    <w:rsid w:val="003738DA"/>
    <w:rsid w:val="00383988"/>
    <w:rsid w:val="00383FB1"/>
    <w:rsid w:val="00384B9C"/>
    <w:rsid w:val="00387474"/>
    <w:rsid w:val="003906F1"/>
    <w:rsid w:val="00394D47"/>
    <w:rsid w:val="003A35CA"/>
    <w:rsid w:val="003A3683"/>
    <w:rsid w:val="003A747B"/>
    <w:rsid w:val="003B179F"/>
    <w:rsid w:val="003B34A3"/>
    <w:rsid w:val="003B5079"/>
    <w:rsid w:val="003C1A01"/>
    <w:rsid w:val="003C3DFC"/>
    <w:rsid w:val="003C6431"/>
    <w:rsid w:val="003D13D1"/>
    <w:rsid w:val="003D2C5F"/>
    <w:rsid w:val="003D3E7B"/>
    <w:rsid w:val="003D435F"/>
    <w:rsid w:val="003E3748"/>
    <w:rsid w:val="003E56EA"/>
    <w:rsid w:val="003F031C"/>
    <w:rsid w:val="003F2D7E"/>
    <w:rsid w:val="00413858"/>
    <w:rsid w:val="00416989"/>
    <w:rsid w:val="00417388"/>
    <w:rsid w:val="00437259"/>
    <w:rsid w:val="0044415B"/>
    <w:rsid w:val="004442CE"/>
    <w:rsid w:val="00445A30"/>
    <w:rsid w:val="0045027F"/>
    <w:rsid w:val="004541C1"/>
    <w:rsid w:val="004676CF"/>
    <w:rsid w:val="004712EB"/>
    <w:rsid w:val="00473EE7"/>
    <w:rsid w:val="00477D68"/>
    <w:rsid w:val="00487D1B"/>
    <w:rsid w:val="00491543"/>
    <w:rsid w:val="00491ED4"/>
    <w:rsid w:val="00494408"/>
    <w:rsid w:val="004955D1"/>
    <w:rsid w:val="004A1A13"/>
    <w:rsid w:val="004A3E6B"/>
    <w:rsid w:val="004B1C99"/>
    <w:rsid w:val="004C2895"/>
    <w:rsid w:val="004C63D9"/>
    <w:rsid w:val="004D140F"/>
    <w:rsid w:val="004E2453"/>
    <w:rsid w:val="004E362B"/>
    <w:rsid w:val="004E46D2"/>
    <w:rsid w:val="005057F4"/>
    <w:rsid w:val="0051234F"/>
    <w:rsid w:val="00517E79"/>
    <w:rsid w:val="005237C6"/>
    <w:rsid w:val="005300CE"/>
    <w:rsid w:val="0053371E"/>
    <w:rsid w:val="00537FB4"/>
    <w:rsid w:val="00541E43"/>
    <w:rsid w:val="00546D95"/>
    <w:rsid w:val="005724B0"/>
    <w:rsid w:val="00580283"/>
    <w:rsid w:val="00582569"/>
    <w:rsid w:val="00586581"/>
    <w:rsid w:val="00597B8B"/>
    <w:rsid w:val="005B3CA1"/>
    <w:rsid w:val="005C413F"/>
    <w:rsid w:val="005D450E"/>
    <w:rsid w:val="005D7D54"/>
    <w:rsid w:val="005E3EA7"/>
    <w:rsid w:val="005E62C5"/>
    <w:rsid w:val="005F03EE"/>
    <w:rsid w:val="005F1DDC"/>
    <w:rsid w:val="005F799B"/>
    <w:rsid w:val="00607638"/>
    <w:rsid w:val="0061434B"/>
    <w:rsid w:val="0061559F"/>
    <w:rsid w:val="0062436B"/>
    <w:rsid w:val="006244E6"/>
    <w:rsid w:val="00643C61"/>
    <w:rsid w:val="00652508"/>
    <w:rsid w:val="00652657"/>
    <w:rsid w:val="00654A60"/>
    <w:rsid w:val="00657349"/>
    <w:rsid w:val="00666F4A"/>
    <w:rsid w:val="00671EE8"/>
    <w:rsid w:val="006817B6"/>
    <w:rsid w:val="00696581"/>
    <w:rsid w:val="0069747D"/>
    <w:rsid w:val="006A7A18"/>
    <w:rsid w:val="006C4C9E"/>
    <w:rsid w:val="006C4D2D"/>
    <w:rsid w:val="006C6D3D"/>
    <w:rsid w:val="006D476E"/>
    <w:rsid w:val="006E0815"/>
    <w:rsid w:val="006F026C"/>
    <w:rsid w:val="006F4ACF"/>
    <w:rsid w:val="00705914"/>
    <w:rsid w:val="00710EE1"/>
    <w:rsid w:val="007362A3"/>
    <w:rsid w:val="0075552A"/>
    <w:rsid w:val="00756DD5"/>
    <w:rsid w:val="007728F9"/>
    <w:rsid w:val="0077670E"/>
    <w:rsid w:val="00782128"/>
    <w:rsid w:val="00787019"/>
    <w:rsid w:val="0078749F"/>
    <w:rsid w:val="00797CE8"/>
    <w:rsid w:val="007A2242"/>
    <w:rsid w:val="007B680C"/>
    <w:rsid w:val="007C328C"/>
    <w:rsid w:val="007C4F33"/>
    <w:rsid w:val="007C4FCE"/>
    <w:rsid w:val="007D4F9B"/>
    <w:rsid w:val="007D5B51"/>
    <w:rsid w:val="007D64D5"/>
    <w:rsid w:val="007E6070"/>
    <w:rsid w:val="007E7EC5"/>
    <w:rsid w:val="007F0ABF"/>
    <w:rsid w:val="00810FE6"/>
    <w:rsid w:val="0082317E"/>
    <w:rsid w:val="0082437E"/>
    <w:rsid w:val="00826B1F"/>
    <w:rsid w:val="00832206"/>
    <w:rsid w:val="00845DAA"/>
    <w:rsid w:val="008473D0"/>
    <w:rsid w:val="008557AB"/>
    <w:rsid w:val="00857287"/>
    <w:rsid w:val="0086090A"/>
    <w:rsid w:val="00862A2C"/>
    <w:rsid w:val="008646C2"/>
    <w:rsid w:val="00865C59"/>
    <w:rsid w:val="00871A74"/>
    <w:rsid w:val="00875DF2"/>
    <w:rsid w:val="00877991"/>
    <w:rsid w:val="00883244"/>
    <w:rsid w:val="00896DC5"/>
    <w:rsid w:val="00896EB7"/>
    <w:rsid w:val="008A4919"/>
    <w:rsid w:val="008A5FBD"/>
    <w:rsid w:val="008B15CB"/>
    <w:rsid w:val="008B3C5B"/>
    <w:rsid w:val="008C5E32"/>
    <w:rsid w:val="008C6899"/>
    <w:rsid w:val="008C7F2F"/>
    <w:rsid w:val="008D3921"/>
    <w:rsid w:val="008D7967"/>
    <w:rsid w:val="008E032C"/>
    <w:rsid w:val="008E5E2D"/>
    <w:rsid w:val="009004A0"/>
    <w:rsid w:val="00905381"/>
    <w:rsid w:val="00916826"/>
    <w:rsid w:val="00930D03"/>
    <w:rsid w:val="00931768"/>
    <w:rsid w:val="00937652"/>
    <w:rsid w:val="00945C9E"/>
    <w:rsid w:val="00953A67"/>
    <w:rsid w:val="0095424C"/>
    <w:rsid w:val="009550F2"/>
    <w:rsid w:val="00957055"/>
    <w:rsid w:val="00957528"/>
    <w:rsid w:val="00963742"/>
    <w:rsid w:val="00964852"/>
    <w:rsid w:val="00964A31"/>
    <w:rsid w:val="009849EC"/>
    <w:rsid w:val="00987632"/>
    <w:rsid w:val="009A0983"/>
    <w:rsid w:val="009A1559"/>
    <w:rsid w:val="009B1B07"/>
    <w:rsid w:val="009B4C43"/>
    <w:rsid w:val="009B7493"/>
    <w:rsid w:val="009C026B"/>
    <w:rsid w:val="009C67F1"/>
    <w:rsid w:val="009C7C8A"/>
    <w:rsid w:val="009D6796"/>
    <w:rsid w:val="009D7EEB"/>
    <w:rsid w:val="009E1585"/>
    <w:rsid w:val="009F7AD4"/>
    <w:rsid w:val="00A25BE0"/>
    <w:rsid w:val="00A317E2"/>
    <w:rsid w:val="00A51D13"/>
    <w:rsid w:val="00A5616F"/>
    <w:rsid w:val="00A80495"/>
    <w:rsid w:val="00A83B83"/>
    <w:rsid w:val="00A83D51"/>
    <w:rsid w:val="00A90749"/>
    <w:rsid w:val="00AB05EC"/>
    <w:rsid w:val="00AB3B69"/>
    <w:rsid w:val="00AC685B"/>
    <w:rsid w:val="00AE15BB"/>
    <w:rsid w:val="00AE2BF7"/>
    <w:rsid w:val="00AE431A"/>
    <w:rsid w:val="00AE70A5"/>
    <w:rsid w:val="00AF5358"/>
    <w:rsid w:val="00AF6285"/>
    <w:rsid w:val="00B01F2A"/>
    <w:rsid w:val="00B1243A"/>
    <w:rsid w:val="00B22312"/>
    <w:rsid w:val="00B22BAF"/>
    <w:rsid w:val="00B307E9"/>
    <w:rsid w:val="00B35949"/>
    <w:rsid w:val="00B37A38"/>
    <w:rsid w:val="00B472A5"/>
    <w:rsid w:val="00B607C0"/>
    <w:rsid w:val="00B8167E"/>
    <w:rsid w:val="00B841D3"/>
    <w:rsid w:val="00B867E8"/>
    <w:rsid w:val="00B922CF"/>
    <w:rsid w:val="00B92D06"/>
    <w:rsid w:val="00B96CAD"/>
    <w:rsid w:val="00BA2CAC"/>
    <w:rsid w:val="00BA6822"/>
    <w:rsid w:val="00BB0569"/>
    <w:rsid w:val="00BB5909"/>
    <w:rsid w:val="00BB7CA0"/>
    <w:rsid w:val="00BC6688"/>
    <w:rsid w:val="00BC6A12"/>
    <w:rsid w:val="00BD2EFE"/>
    <w:rsid w:val="00BD493A"/>
    <w:rsid w:val="00BF141A"/>
    <w:rsid w:val="00BF29C9"/>
    <w:rsid w:val="00BF6094"/>
    <w:rsid w:val="00C04F4C"/>
    <w:rsid w:val="00C05994"/>
    <w:rsid w:val="00C11ACF"/>
    <w:rsid w:val="00C24649"/>
    <w:rsid w:val="00C24EB3"/>
    <w:rsid w:val="00C301AA"/>
    <w:rsid w:val="00C34C22"/>
    <w:rsid w:val="00C42796"/>
    <w:rsid w:val="00C432AE"/>
    <w:rsid w:val="00C4783D"/>
    <w:rsid w:val="00C50D7D"/>
    <w:rsid w:val="00C54299"/>
    <w:rsid w:val="00C55437"/>
    <w:rsid w:val="00C60F79"/>
    <w:rsid w:val="00C6403E"/>
    <w:rsid w:val="00C65FD6"/>
    <w:rsid w:val="00C67403"/>
    <w:rsid w:val="00C73660"/>
    <w:rsid w:val="00C76FED"/>
    <w:rsid w:val="00C814CC"/>
    <w:rsid w:val="00C863B5"/>
    <w:rsid w:val="00C87774"/>
    <w:rsid w:val="00C9253F"/>
    <w:rsid w:val="00C9285A"/>
    <w:rsid w:val="00C93F17"/>
    <w:rsid w:val="00C954DB"/>
    <w:rsid w:val="00CA31D8"/>
    <w:rsid w:val="00CA4CFC"/>
    <w:rsid w:val="00CA5F56"/>
    <w:rsid w:val="00CB0D88"/>
    <w:rsid w:val="00CB2F28"/>
    <w:rsid w:val="00CB3D27"/>
    <w:rsid w:val="00CC05FC"/>
    <w:rsid w:val="00CC2D6C"/>
    <w:rsid w:val="00CC4F22"/>
    <w:rsid w:val="00CC570E"/>
    <w:rsid w:val="00CF0DB7"/>
    <w:rsid w:val="00CF4914"/>
    <w:rsid w:val="00D062C5"/>
    <w:rsid w:val="00D10F00"/>
    <w:rsid w:val="00D1230B"/>
    <w:rsid w:val="00D149F1"/>
    <w:rsid w:val="00D17703"/>
    <w:rsid w:val="00D206DF"/>
    <w:rsid w:val="00D43986"/>
    <w:rsid w:val="00D56C55"/>
    <w:rsid w:val="00D57672"/>
    <w:rsid w:val="00D707C5"/>
    <w:rsid w:val="00D7793E"/>
    <w:rsid w:val="00D8183D"/>
    <w:rsid w:val="00D9200E"/>
    <w:rsid w:val="00D940C2"/>
    <w:rsid w:val="00D941B8"/>
    <w:rsid w:val="00DA15F7"/>
    <w:rsid w:val="00DA48BE"/>
    <w:rsid w:val="00DB2A4D"/>
    <w:rsid w:val="00DB737B"/>
    <w:rsid w:val="00DC298C"/>
    <w:rsid w:val="00DC29EE"/>
    <w:rsid w:val="00DC6B87"/>
    <w:rsid w:val="00DD15CE"/>
    <w:rsid w:val="00DE20EE"/>
    <w:rsid w:val="00DE7254"/>
    <w:rsid w:val="00DF1F94"/>
    <w:rsid w:val="00DF459E"/>
    <w:rsid w:val="00DF4CC0"/>
    <w:rsid w:val="00DF6D39"/>
    <w:rsid w:val="00E0531F"/>
    <w:rsid w:val="00E05387"/>
    <w:rsid w:val="00E05FE4"/>
    <w:rsid w:val="00E079CC"/>
    <w:rsid w:val="00E157C0"/>
    <w:rsid w:val="00E25112"/>
    <w:rsid w:val="00E271BA"/>
    <w:rsid w:val="00E31B0E"/>
    <w:rsid w:val="00E31E53"/>
    <w:rsid w:val="00E341B4"/>
    <w:rsid w:val="00E409E2"/>
    <w:rsid w:val="00E43D90"/>
    <w:rsid w:val="00E44256"/>
    <w:rsid w:val="00E4526E"/>
    <w:rsid w:val="00E500B6"/>
    <w:rsid w:val="00E51259"/>
    <w:rsid w:val="00E56FEA"/>
    <w:rsid w:val="00E73E1E"/>
    <w:rsid w:val="00E84650"/>
    <w:rsid w:val="00E86CE9"/>
    <w:rsid w:val="00E91BC6"/>
    <w:rsid w:val="00E95FB0"/>
    <w:rsid w:val="00EA2A7D"/>
    <w:rsid w:val="00EA46E4"/>
    <w:rsid w:val="00EB1DD8"/>
    <w:rsid w:val="00EB7A7C"/>
    <w:rsid w:val="00EC6C40"/>
    <w:rsid w:val="00ED1B12"/>
    <w:rsid w:val="00ED5079"/>
    <w:rsid w:val="00ED5B39"/>
    <w:rsid w:val="00EE34FF"/>
    <w:rsid w:val="00EE7E59"/>
    <w:rsid w:val="00EF5FA7"/>
    <w:rsid w:val="00EF6B22"/>
    <w:rsid w:val="00F03647"/>
    <w:rsid w:val="00F04335"/>
    <w:rsid w:val="00F118FE"/>
    <w:rsid w:val="00F15534"/>
    <w:rsid w:val="00F203F6"/>
    <w:rsid w:val="00F23C8B"/>
    <w:rsid w:val="00F3107F"/>
    <w:rsid w:val="00F34D74"/>
    <w:rsid w:val="00F35F18"/>
    <w:rsid w:val="00F36A52"/>
    <w:rsid w:val="00F40346"/>
    <w:rsid w:val="00F41875"/>
    <w:rsid w:val="00F439C3"/>
    <w:rsid w:val="00F5068D"/>
    <w:rsid w:val="00F508CD"/>
    <w:rsid w:val="00F556CB"/>
    <w:rsid w:val="00F61568"/>
    <w:rsid w:val="00F61F2B"/>
    <w:rsid w:val="00F62A6E"/>
    <w:rsid w:val="00F707DA"/>
    <w:rsid w:val="00F72DDF"/>
    <w:rsid w:val="00F7493D"/>
    <w:rsid w:val="00F82A76"/>
    <w:rsid w:val="00F83755"/>
    <w:rsid w:val="00F84250"/>
    <w:rsid w:val="00F85E4E"/>
    <w:rsid w:val="00F86059"/>
    <w:rsid w:val="00F92DC9"/>
    <w:rsid w:val="00F94483"/>
    <w:rsid w:val="00FB1008"/>
    <w:rsid w:val="00FB26A2"/>
    <w:rsid w:val="00FC0D1D"/>
    <w:rsid w:val="00FC2FE2"/>
    <w:rsid w:val="00FC3110"/>
    <w:rsid w:val="00FC74CC"/>
    <w:rsid w:val="00FE7377"/>
    <w:rsid w:val="00FE7E3C"/>
    <w:rsid w:val="00FF3360"/>
    <w:rsid w:val="00FF45A0"/>
    <w:rsid w:val="00FF633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62F9E"/>
  <w15:chartTrackingRefBased/>
  <w15:docId w15:val="{2AD55275-9654-4C0D-840D-1935D3EA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FE2"/>
    <w:pPr>
      <w:spacing w:line="240" w:lineRule="auto"/>
    </w:pPr>
    <w:rPr>
      <w:rFonts w:ascii="Times New Roman" w:hAnsi="Times New Roman" w:cstheme="minorBidi"/>
      <w:sz w:val="24"/>
      <w:lang w:val="en-US"/>
    </w:rPr>
  </w:style>
  <w:style w:type="paragraph" w:styleId="Heading1">
    <w:name w:val="heading 1"/>
    <w:basedOn w:val="Normal"/>
    <w:next w:val="Normal"/>
    <w:link w:val="Heading1Char"/>
    <w:uiPriority w:val="9"/>
    <w:qFormat/>
    <w:rsid w:val="0021624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2FE2"/>
    <w:rPr>
      <w:sz w:val="16"/>
      <w:szCs w:val="16"/>
    </w:rPr>
  </w:style>
  <w:style w:type="paragraph" w:styleId="CommentText">
    <w:name w:val="annotation text"/>
    <w:basedOn w:val="Normal"/>
    <w:link w:val="CommentTextChar"/>
    <w:uiPriority w:val="99"/>
    <w:semiHidden/>
    <w:unhideWhenUsed/>
    <w:rsid w:val="00FC2FE2"/>
    <w:rPr>
      <w:rFonts w:ascii="Tahoma" w:hAnsi="Tahoma" w:cs="Tahoma"/>
      <w:sz w:val="20"/>
      <w:szCs w:val="20"/>
      <w:lang w:val="en-AU"/>
    </w:rPr>
  </w:style>
  <w:style w:type="character" w:customStyle="1" w:styleId="CommentTextChar">
    <w:name w:val="Comment Text Char"/>
    <w:basedOn w:val="DefaultParagraphFont"/>
    <w:link w:val="CommentText"/>
    <w:uiPriority w:val="99"/>
    <w:semiHidden/>
    <w:rsid w:val="00FC2FE2"/>
    <w:rPr>
      <w:sz w:val="20"/>
      <w:szCs w:val="20"/>
    </w:rPr>
  </w:style>
  <w:style w:type="character" w:styleId="FootnoteReference">
    <w:name w:val="footnote reference"/>
    <w:uiPriority w:val="99"/>
    <w:rsid w:val="00FC2FE2"/>
    <w:rPr>
      <w:vertAlign w:val="superscript"/>
    </w:rPr>
  </w:style>
  <w:style w:type="paragraph" w:styleId="FootnoteText">
    <w:name w:val="footnote text"/>
    <w:basedOn w:val="Normal"/>
    <w:link w:val="FootnoteTextChar"/>
    <w:uiPriority w:val="99"/>
    <w:rsid w:val="003D2C5F"/>
    <w:rPr>
      <w:rFonts w:eastAsia="Times New Roman" w:cs="Tahoma"/>
      <w:sz w:val="20"/>
      <w:szCs w:val="20"/>
      <w:lang w:val="en-AU"/>
    </w:rPr>
  </w:style>
  <w:style w:type="character" w:customStyle="1" w:styleId="FootnoteTextChar">
    <w:name w:val="Footnote Text Char"/>
    <w:basedOn w:val="DefaultParagraphFont"/>
    <w:link w:val="FootnoteText"/>
    <w:uiPriority w:val="99"/>
    <w:rsid w:val="003D2C5F"/>
    <w:rPr>
      <w:rFonts w:ascii="Times New Roman" w:eastAsia="Times New Roman" w:hAnsi="Times New Roman"/>
      <w:sz w:val="20"/>
      <w:szCs w:val="20"/>
    </w:rPr>
  </w:style>
  <w:style w:type="paragraph" w:styleId="ListParagraph">
    <w:name w:val="List Paragraph"/>
    <w:basedOn w:val="Normal"/>
    <w:uiPriority w:val="34"/>
    <w:qFormat/>
    <w:rsid w:val="00FC2FE2"/>
    <w:pPr>
      <w:ind w:left="720"/>
      <w:contextualSpacing/>
    </w:pPr>
    <w:rPr>
      <w:rFonts w:ascii="Tahoma" w:hAnsi="Tahoma" w:cs="Tahoma"/>
      <w:sz w:val="22"/>
      <w:lang w:val="en-AU"/>
    </w:rPr>
  </w:style>
  <w:style w:type="character" w:styleId="Hyperlink">
    <w:name w:val="Hyperlink"/>
    <w:basedOn w:val="DefaultParagraphFont"/>
    <w:uiPriority w:val="99"/>
    <w:unhideWhenUsed/>
    <w:rsid w:val="00FC2FE2"/>
    <w:rPr>
      <w:color w:val="0563C1" w:themeColor="hyperlink"/>
      <w:u w:val="single"/>
    </w:rPr>
  </w:style>
  <w:style w:type="paragraph" w:styleId="BalloonText">
    <w:name w:val="Balloon Text"/>
    <w:basedOn w:val="Normal"/>
    <w:link w:val="BalloonTextChar"/>
    <w:uiPriority w:val="99"/>
    <w:semiHidden/>
    <w:unhideWhenUsed/>
    <w:rsid w:val="00FC2F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FE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CC4F22"/>
    <w:rPr>
      <w:rFonts w:ascii="Times New Roman" w:hAnsi="Times New Roman" w:cstheme="minorBidi"/>
      <w:b/>
      <w:bCs/>
      <w:lang w:val="en-US"/>
    </w:rPr>
  </w:style>
  <w:style w:type="character" w:customStyle="1" w:styleId="CommentSubjectChar">
    <w:name w:val="Comment Subject Char"/>
    <w:basedOn w:val="CommentTextChar"/>
    <w:link w:val="CommentSubject"/>
    <w:uiPriority w:val="99"/>
    <w:semiHidden/>
    <w:rsid w:val="00CC4F22"/>
    <w:rPr>
      <w:rFonts w:ascii="Times New Roman" w:hAnsi="Times New Roman" w:cstheme="minorBidi"/>
      <w:b/>
      <w:bCs/>
      <w:sz w:val="20"/>
      <w:szCs w:val="20"/>
      <w:lang w:val="en-US"/>
    </w:rPr>
  </w:style>
  <w:style w:type="paragraph" w:styleId="Revision">
    <w:name w:val="Revision"/>
    <w:hidden/>
    <w:uiPriority w:val="99"/>
    <w:semiHidden/>
    <w:rsid w:val="007728F9"/>
    <w:pPr>
      <w:spacing w:line="240" w:lineRule="auto"/>
    </w:pPr>
    <w:rPr>
      <w:rFonts w:ascii="Times New Roman" w:hAnsi="Times New Roman" w:cstheme="minorBidi"/>
      <w:sz w:val="24"/>
      <w:lang w:val="en-US"/>
    </w:rPr>
  </w:style>
  <w:style w:type="character" w:customStyle="1" w:styleId="UnresolvedMention1">
    <w:name w:val="Unresolved Mention1"/>
    <w:basedOn w:val="DefaultParagraphFont"/>
    <w:uiPriority w:val="99"/>
    <w:semiHidden/>
    <w:unhideWhenUsed/>
    <w:rsid w:val="00597B8B"/>
    <w:rPr>
      <w:color w:val="808080"/>
      <w:shd w:val="clear" w:color="auto" w:fill="E6E6E6"/>
    </w:rPr>
  </w:style>
  <w:style w:type="paragraph" w:styleId="ListBullet">
    <w:name w:val="List Bullet"/>
    <w:basedOn w:val="Normal"/>
    <w:uiPriority w:val="99"/>
    <w:unhideWhenUsed/>
    <w:rsid w:val="00517E79"/>
    <w:pPr>
      <w:numPr>
        <w:numId w:val="19"/>
      </w:numPr>
      <w:contextualSpacing/>
    </w:pPr>
  </w:style>
  <w:style w:type="paragraph" w:styleId="EndnoteText">
    <w:name w:val="endnote text"/>
    <w:basedOn w:val="Normal"/>
    <w:link w:val="EndnoteTextChar"/>
    <w:uiPriority w:val="99"/>
    <w:semiHidden/>
    <w:unhideWhenUsed/>
    <w:rsid w:val="005F03EE"/>
    <w:rPr>
      <w:sz w:val="20"/>
      <w:szCs w:val="20"/>
    </w:rPr>
  </w:style>
  <w:style w:type="character" w:customStyle="1" w:styleId="EndnoteTextChar">
    <w:name w:val="Endnote Text Char"/>
    <w:basedOn w:val="DefaultParagraphFont"/>
    <w:link w:val="EndnoteText"/>
    <w:uiPriority w:val="99"/>
    <w:semiHidden/>
    <w:rsid w:val="005F03EE"/>
    <w:rPr>
      <w:rFonts w:ascii="Times New Roman" w:hAnsi="Times New Roman" w:cstheme="minorBidi"/>
      <w:sz w:val="20"/>
      <w:szCs w:val="20"/>
      <w:lang w:val="en-US"/>
    </w:rPr>
  </w:style>
  <w:style w:type="character" w:styleId="EndnoteReference">
    <w:name w:val="endnote reference"/>
    <w:basedOn w:val="DefaultParagraphFont"/>
    <w:uiPriority w:val="99"/>
    <w:semiHidden/>
    <w:unhideWhenUsed/>
    <w:rsid w:val="005F03EE"/>
    <w:rPr>
      <w:vertAlign w:val="superscript"/>
    </w:rPr>
  </w:style>
  <w:style w:type="paragraph" w:styleId="Header">
    <w:name w:val="header"/>
    <w:basedOn w:val="Normal"/>
    <w:link w:val="HeaderChar"/>
    <w:uiPriority w:val="99"/>
    <w:unhideWhenUsed/>
    <w:rsid w:val="003C1A01"/>
    <w:pPr>
      <w:tabs>
        <w:tab w:val="center" w:pos="4680"/>
        <w:tab w:val="right" w:pos="9360"/>
      </w:tabs>
    </w:pPr>
  </w:style>
  <w:style w:type="character" w:customStyle="1" w:styleId="HeaderChar">
    <w:name w:val="Header Char"/>
    <w:basedOn w:val="DefaultParagraphFont"/>
    <w:link w:val="Header"/>
    <w:uiPriority w:val="99"/>
    <w:rsid w:val="003C1A01"/>
    <w:rPr>
      <w:rFonts w:ascii="Times New Roman" w:hAnsi="Times New Roman" w:cstheme="minorBidi"/>
      <w:sz w:val="24"/>
      <w:lang w:val="en-US"/>
    </w:rPr>
  </w:style>
  <w:style w:type="paragraph" w:styleId="Footer">
    <w:name w:val="footer"/>
    <w:basedOn w:val="Normal"/>
    <w:link w:val="FooterChar"/>
    <w:uiPriority w:val="99"/>
    <w:unhideWhenUsed/>
    <w:rsid w:val="003C1A01"/>
    <w:pPr>
      <w:tabs>
        <w:tab w:val="center" w:pos="4680"/>
        <w:tab w:val="right" w:pos="9360"/>
      </w:tabs>
    </w:pPr>
  </w:style>
  <w:style w:type="character" w:customStyle="1" w:styleId="FooterChar">
    <w:name w:val="Footer Char"/>
    <w:basedOn w:val="DefaultParagraphFont"/>
    <w:link w:val="Footer"/>
    <w:uiPriority w:val="99"/>
    <w:rsid w:val="003C1A01"/>
    <w:rPr>
      <w:rFonts w:ascii="Times New Roman" w:hAnsi="Times New Roman" w:cstheme="minorBidi"/>
      <w:sz w:val="24"/>
      <w:lang w:val="en-US"/>
    </w:rPr>
  </w:style>
  <w:style w:type="character" w:customStyle="1" w:styleId="Heading1Char">
    <w:name w:val="Heading 1 Char"/>
    <w:basedOn w:val="DefaultParagraphFont"/>
    <w:link w:val="Heading1"/>
    <w:uiPriority w:val="9"/>
    <w:rsid w:val="0021624C"/>
    <w:rPr>
      <w:rFonts w:asciiTheme="majorHAnsi" w:eastAsiaTheme="majorEastAsia" w:hAnsiTheme="majorHAnsi" w:cstheme="majorBidi"/>
      <w:color w:val="2E74B5" w:themeColor="accent1" w:themeShade="BF"/>
      <w:sz w:val="32"/>
      <w:szCs w:val="32"/>
      <w:lang w:val="en-US"/>
    </w:rPr>
  </w:style>
  <w:style w:type="character" w:styleId="FollowedHyperlink">
    <w:name w:val="FollowedHyperlink"/>
    <w:basedOn w:val="DefaultParagraphFont"/>
    <w:uiPriority w:val="99"/>
    <w:semiHidden/>
    <w:unhideWhenUsed/>
    <w:rsid w:val="009B1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5488">
      <w:bodyDiv w:val="1"/>
      <w:marLeft w:val="0"/>
      <w:marRight w:val="0"/>
      <w:marTop w:val="0"/>
      <w:marBottom w:val="0"/>
      <w:divBdr>
        <w:top w:val="none" w:sz="0" w:space="0" w:color="auto"/>
        <w:left w:val="none" w:sz="0" w:space="0" w:color="auto"/>
        <w:bottom w:val="none" w:sz="0" w:space="0" w:color="auto"/>
        <w:right w:val="none" w:sz="0" w:space="0" w:color="auto"/>
      </w:divBdr>
      <w:divsChild>
        <w:div w:id="1961763288">
          <w:marLeft w:val="0"/>
          <w:marRight w:val="0"/>
          <w:marTop w:val="0"/>
          <w:marBottom w:val="0"/>
          <w:divBdr>
            <w:top w:val="none" w:sz="0" w:space="0" w:color="auto"/>
            <w:left w:val="none" w:sz="0" w:space="0" w:color="auto"/>
            <w:bottom w:val="none" w:sz="0" w:space="0" w:color="auto"/>
            <w:right w:val="none" w:sz="0" w:space="0" w:color="auto"/>
          </w:divBdr>
        </w:div>
        <w:div w:id="2088188739">
          <w:marLeft w:val="0"/>
          <w:marRight w:val="0"/>
          <w:marTop w:val="0"/>
          <w:marBottom w:val="0"/>
          <w:divBdr>
            <w:top w:val="none" w:sz="0" w:space="0" w:color="auto"/>
            <w:left w:val="none" w:sz="0" w:space="0" w:color="auto"/>
            <w:bottom w:val="none" w:sz="0" w:space="0" w:color="auto"/>
            <w:right w:val="none" w:sz="0" w:space="0" w:color="auto"/>
          </w:divBdr>
        </w:div>
      </w:divsChild>
    </w:div>
    <w:div w:id="667637119">
      <w:bodyDiv w:val="1"/>
      <w:marLeft w:val="0"/>
      <w:marRight w:val="0"/>
      <w:marTop w:val="0"/>
      <w:marBottom w:val="0"/>
      <w:divBdr>
        <w:top w:val="none" w:sz="0" w:space="0" w:color="auto"/>
        <w:left w:val="none" w:sz="0" w:space="0" w:color="auto"/>
        <w:bottom w:val="none" w:sz="0" w:space="0" w:color="auto"/>
        <w:right w:val="none" w:sz="0" w:space="0" w:color="auto"/>
      </w:divBdr>
    </w:div>
    <w:div w:id="1603800007">
      <w:bodyDiv w:val="1"/>
      <w:marLeft w:val="0"/>
      <w:marRight w:val="0"/>
      <w:marTop w:val="0"/>
      <w:marBottom w:val="0"/>
      <w:divBdr>
        <w:top w:val="none" w:sz="0" w:space="0" w:color="auto"/>
        <w:left w:val="none" w:sz="0" w:space="0" w:color="auto"/>
        <w:bottom w:val="none" w:sz="0" w:space="0" w:color="auto"/>
        <w:right w:val="none" w:sz="0" w:space="0" w:color="auto"/>
      </w:divBdr>
    </w:div>
    <w:div w:id="1760370555">
      <w:bodyDiv w:val="1"/>
      <w:marLeft w:val="0"/>
      <w:marRight w:val="0"/>
      <w:marTop w:val="0"/>
      <w:marBottom w:val="0"/>
      <w:divBdr>
        <w:top w:val="none" w:sz="0" w:space="0" w:color="auto"/>
        <w:left w:val="none" w:sz="0" w:space="0" w:color="auto"/>
        <w:bottom w:val="none" w:sz="0" w:space="0" w:color="auto"/>
        <w:right w:val="none" w:sz="0" w:space="0" w:color="auto"/>
      </w:divBdr>
    </w:div>
    <w:div w:id="1998535084">
      <w:bodyDiv w:val="1"/>
      <w:marLeft w:val="0"/>
      <w:marRight w:val="0"/>
      <w:marTop w:val="0"/>
      <w:marBottom w:val="0"/>
      <w:divBdr>
        <w:top w:val="none" w:sz="0" w:space="0" w:color="auto"/>
        <w:left w:val="none" w:sz="0" w:space="0" w:color="auto"/>
        <w:bottom w:val="none" w:sz="0" w:space="0" w:color="auto"/>
        <w:right w:val="none" w:sz="0" w:space="0" w:color="auto"/>
      </w:divBdr>
      <w:divsChild>
        <w:div w:id="1799226616">
          <w:marLeft w:val="0"/>
          <w:marRight w:val="0"/>
          <w:marTop w:val="0"/>
          <w:marBottom w:val="0"/>
          <w:divBdr>
            <w:top w:val="none" w:sz="0" w:space="0" w:color="auto"/>
            <w:left w:val="none" w:sz="0" w:space="0" w:color="auto"/>
            <w:bottom w:val="none" w:sz="0" w:space="0" w:color="auto"/>
            <w:right w:val="none" w:sz="0" w:space="0" w:color="auto"/>
          </w:divBdr>
        </w:div>
        <w:div w:id="781609584">
          <w:marLeft w:val="0"/>
          <w:marRight w:val="0"/>
          <w:marTop w:val="0"/>
          <w:marBottom w:val="0"/>
          <w:divBdr>
            <w:top w:val="none" w:sz="0" w:space="0" w:color="auto"/>
            <w:left w:val="none" w:sz="0" w:space="0" w:color="auto"/>
            <w:bottom w:val="none" w:sz="0" w:space="0" w:color="auto"/>
            <w:right w:val="none" w:sz="0" w:space="0" w:color="auto"/>
          </w:divBdr>
        </w:div>
        <w:div w:id="1602756822">
          <w:marLeft w:val="0"/>
          <w:marRight w:val="0"/>
          <w:marTop w:val="0"/>
          <w:marBottom w:val="0"/>
          <w:divBdr>
            <w:top w:val="none" w:sz="0" w:space="0" w:color="auto"/>
            <w:left w:val="none" w:sz="0" w:space="0" w:color="auto"/>
            <w:bottom w:val="none" w:sz="0" w:space="0" w:color="auto"/>
            <w:right w:val="none" w:sz="0" w:space="0" w:color="auto"/>
          </w:divBdr>
        </w:div>
        <w:div w:id="1106657134">
          <w:marLeft w:val="0"/>
          <w:marRight w:val="0"/>
          <w:marTop w:val="0"/>
          <w:marBottom w:val="0"/>
          <w:divBdr>
            <w:top w:val="none" w:sz="0" w:space="0" w:color="auto"/>
            <w:left w:val="none" w:sz="0" w:space="0" w:color="auto"/>
            <w:bottom w:val="none" w:sz="0" w:space="0" w:color="auto"/>
            <w:right w:val="none" w:sz="0" w:space="0" w:color="auto"/>
          </w:divBdr>
        </w:div>
        <w:div w:id="1826703434">
          <w:marLeft w:val="0"/>
          <w:marRight w:val="0"/>
          <w:marTop w:val="0"/>
          <w:marBottom w:val="0"/>
          <w:divBdr>
            <w:top w:val="none" w:sz="0" w:space="0" w:color="auto"/>
            <w:left w:val="none" w:sz="0" w:space="0" w:color="auto"/>
            <w:bottom w:val="none" w:sz="0" w:space="0" w:color="auto"/>
            <w:right w:val="none" w:sz="0" w:space="0" w:color="auto"/>
          </w:divBdr>
        </w:div>
        <w:div w:id="1716081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ww.letr.org.uk/wp-content/uploads/LETR-Report.pdf" TargetMode="External"/><Relationship Id="rId13" Type="http://schemas.openxmlformats.org/officeDocument/2006/relationships/hyperlink" Target="https://www.dropbox.com/s/5ruigomhtpguugf/Learning%20from%20Practice%2C%20Teacher%27s%20Manual%20-%203rd%20Edition.pdf?dl=0" TargetMode="External"/><Relationship Id="rId3" Type="http://schemas.openxmlformats.org/officeDocument/2006/relationships/hyperlink" Target="http://www.nycourts.gov/rules/Part520-Rule-Change-Final-121015.pdf" TargetMode="External"/><Relationship Id="rId7" Type="http://schemas.openxmlformats.org/officeDocument/2006/relationships/hyperlink" Target="https://www.lawcouncil.asn.au/files/web-pdf/LACC%20docs/240769433_8_Standards_for_PLT_Workplace_Experience.pdf" TargetMode="External"/><Relationship Id="rId12" Type="http://schemas.openxmlformats.org/officeDocument/2006/relationships/hyperlink" Target="http://press.anu.edu.au/publications/australian-clinical-legal-education" TargetMode="External"/><Relationship Id="rId2" Type="http://schemas.openxmlformats.org/officeDocument/2006/relationships/hyperlink" Target="https://www.americanbar.org/content/dam/aba/publications/misc/legal_education/Standards/2016_2017_aba_standards_and_rules_of_procedure.authcheckdam.pdf" TargetMode="External"/><Relationship Id="rId1" Type="http://schemas.openxmlformats.org/officeDocument/2006/relationships/hyperlink" Target="https://www.americanbar.org/content/dam/aba/administrative/legal_education_and_admissions_to_the_bar/reports/2008_outcome_measures_committee_final_report.authcheckdam.pdf" TargetMode="External"/><Relationship Id="rId6" Type="http://schemas.openxmlformats.org/officeDocument/2006/relationships/hyperlink" Target="https://www.legislation.nsw.gov.au/regulations/2015-240.pdf" TargetMode="External"/><Relationship Id="rId11" Type="http://schemas.openxmlformats.org/officeDocument/2006/relationships/hyperlink" Target="http://docs.flsc.ca/NCANatReqNov2015.pdf" TargetMode="External"/><Relationship Id="rId5" Type="http://schemas.openxmlformats.org/officeDocument/2006/relationships/hyperlink" Target="https://perma.cc/KD4J-VQXF" TargetMode="External"/><Relationship Id="rId15" Type="http://schemas.openxmlformats.org/officeDocument/2006/relationships/hyperlink" Target="http://www.childtraumaacademy.com/surviving_childhood/index.html" TargetMode="External"/><Relationship Id="rId10" Type="http://schemas.openxmlformats.org/officeDocument/2006/relationships/hyperlink" Target="https://perma.cc/HR7Y-HSY5" TargetMode="External"/><Relationship Id="rId4" Type="http://schemas.openxmlformats.org/officeDocument/2006/relationships/hyperlink" Target="https://perma.cc/X93F-GHM5" TargetMode="External"/><Relationship Id="rId9" Type="http://schemas.openxmlformats.org/officeDocument/2006/relationships/hyperlink" Target="http://www.letr.org.uk/wp-content/uploads/LETR-Report.pdf" TargetMode="External"/><Relationship Id="rId14" Type="http://schemas.openxmlformats.org/officeDocument/2006/relationships/hyperlink" Target="http://www.nctsn.org/resources/topics/secondary-traumatic-st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36E19-49CD-466C-92F7-DB4C7BFA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10335</Words>
  <Characters>59650</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Burns</cp:lastModifiedBy>
  <cp:revision>3</cp:revision>
  <cp:lastPrinted>2017-07-24T14:52:00Z</cp:lastPrinted>
  <dcterms:created xsi:type="dcterms:W3CDTF">2017-12-19T11:10:00Z</dcterms:created>
  <dcterms:modified xsi:type="dcterms:W3CDTF">2017-12-20T11:22:00Z</dcterms:modified>
  <cp:category/>
</cp:coreProperties>
</file>