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8EB03" w14:textId="77777777" w:rsidR="00B532BF" w:rsidRDefault="00546952" w:rsidP="00B532BF">
      <w:pPr>
        <w:spacing w:line="480" w:lineRule="auto"/>
        <w:jc w:val="center"/>
        <w:rPr>
          <w:rFonts w:ascii="Palatino Linotype" w:hAnsi="Palatino Linotype" w:cs="Arial"/>
          <w:b/>
          <w:lang w:val="en-US"/>
        </w:rPr>
      </w:pPr>
      <w:r>
        <w:rPr>
          <w:rFonts w:ascii="Palatino Linotype" w:hAnsi="Palatino Linotype" w:cs="Arial"/>
          <w:b/>
          <w:lang w:val="en-US"/>
        </w:rPr>
        <w:t>KEEPING</w:t>
      </w:r>
      <w:r w:rsidR="00B532BF">
        <w:rPr>
          <w:rFonts w:ascii="Palatino Linotype" w:hAnsi="Palatino Linotype" w:cs="Arial"/>
          <w:b/>
          <w:lang w:val="en-US"/>
        </w:rPr>
        <w:t xml:space="preserve"> UP WITH CHANGE: NO ALTERNATIVE</w:t>
      </w:r>
    </w:p>
    <w:p w14:paraId="3E27CEFF" w14:textId="1B5D4912" w:rsidR="006148A1" w:rsidRPr="00546952" w:rsidRDefault="00546952" w:rsidP="00B532BF">
      <w:pPr>
        <w:spacing w:line="480" w:lineRule="auto"/>
        <w:jc w:val="center"/>
        <w:rPr>
          <w:rFonts w:ascii="Palatino Linotype" w:hAnsi="Palatino Linotype" w:cs="Arial"/>
          <w:b/>
          <w:lang w:val="en-US"/>
        </w:rPr>
      </w:pPr>
      <w:r>
        <w:rPr>
          <w:rFonts w:ascii="Palatino Linotype" w:hAnsi="Palatino Linotype" w:cs="Arial"/>
          <w:b/>
          <w:lang w:val="en-US"/>
        </w:rPr>
        <w:t>TO TEACHING ADR IN CLINIC. AN AUSTRALIAN PERSPECTIVE</w:t>
      </w:r>
    </w:p>
    <w:p w14:paraId="183CD0D3" w14:textId="467734EC" w:rsidR="009C79F6" w:rsidRPr="00546952" w:rsidRDefault="008F19CD" w:rsidP="00546952">
      <w:pPr>
        <w:spacing w:line="480" w:lineRule="auto"/>
        <w:jc w:val="both"/>
        <w:rPr>
          <w:rFonts w:ascii="Palatino Linotype" w:hAnsi="Palatino Linotype" w:cs="Arial"/>
          <w:bCs/>
          <w:lang w:val="en-US"/>
        </w:rPr>
      </w:pPr>
      <w:r w:rsidRPr="00546952">
        <w:rPr>
          <w:rFonts w:ascii="Palatino Linotype" w:hAnsi="Palatino Linotype" w:cs="Arial"/>
          <w:bCs/>
          <w:lang w:val="en-US"/>
        </w:rPr>
        <w:t>Jacqueline Weinberg</w:t>
      </w:r>
      <w:r w:rsidR="00546952">
        <w:rPr>
          <w:rFonts w:ascii="Palatino Linotype" w:hAnsi="Palatino Linotype" w:cs="Arial"/>
          <w:bCs/>
          <w:lang w:val="en-US"/>
        </w:rPr>
        <w:t xml:space="preserve">, Clinical Supervisor, Monash Oakleigh Legal Service, Monash University </w:t>
      </w:r>
    </w:p>
    <w:p w14:paraId="0660DCA8" w14:textId="77777777" w:rsidR="00546952" w:rsidRDefault="00546952" w:rsidP="00546952">
      <w:pPr>
        <w:widowControl w:val="0"/>
        <w:autoSpaceDE w:val="0"/>
        <w:autoSpaceDN w:val="0"/>
        <w:adjustRightInd w:val="0"/>
        <w:spacing w:line="480" w:lineRule="auto"/>
        <w:jc w:val="both"/>
        <w:rPr>
          <w:rFonts w:ascii="Palatino Linotype" w:hAnsi="Palatino Linotype" w:cs="Arial"/>
          <w:b/>
          <w:lang w:val="en-US"/>
        </w:rPr>
      </w:pPr>
    </w:p>
    <w:p w14:paraId="7023ED5D" w14:textId="7959D582" w:rsidR="009C79F6" w:rsidRPr="00546952" w:rsidRDefault="009C79F6" w:rsidP="00546952">
      <w:pPr>
        <w:widowControl w:val="0"/>
        <w:autoSpaceDE w:val="0"/>
        <w:autoSpaceDN w:val="0"/>
        <w:adjustRightInd w:val="0"/>
        <w:spacing w:line="480" w:lineRule="auto"/>
        <w:jc w:val="both"/>
        <w:rPr>
          <w:rFonts w:ascii="Palatino Linotype" w:hAnsi="Palatino Linotype" w:cs="Arial"/>
          <w:b/>
          <w:lang w:val="en-US"/>
        </w:rPr>
      </w:pPr>
      <w:r w:rsidRPr="00546952">
        <w:rPr>
          <w:rFonts w:ascii="Palatino Linotype" w:hAnsi="Palatino Linotype" w:cs="Arial"/>
          <w:b/>
          <w:lang w:val="en-US"/>
        </w:rPr>
        <w:t xml:space="preserve">INTRODUCTION </w:t>
      </w:r>
    </w:p>
    <w:p w14:paraId="4A450645" w14:textId="4D2DB2B6" w:rsidR="006F186A" w:rsidRPr="00546952" w:rsidRDefault="009C79F6" w:rsidP="00546952">
      <w:pPr>
        <w:widowControl w:val="0"/>
        <w:autoSpaceDE w:val="0"/>
        <w:autoSpaceDN w:val="0"/>
        <w:adjustRightInd w:val="0"/>
        <w:spacing w:line="480" w:lineRule="auto"/>
        <w:jc w:val="both"/>
        <w:rPr>
          <w:rFonts w:ascii="Palatino Linotype" w:hAnsi="Palatino Linotype" w:cs="Arial"/>
          <w:b/>
          <w:lang w:val="en-US"/>
        </w:rPr>
      </w:pPr>
      <w:r w:rsidRPr="00546952">
        <w:rPr>
          <w:rFonts w:ascii="Palatino Linotype" w:hAnsi="Palatino Linotype" w:cs="Arial"/>
          <w:lang w:val="en-US"/>
        </w:rPr>
        <w:t>Over the last 30 years alternative dispute resolution (ADR) has become more prominent in Australian legal practice due to the need to reduce the cost of access to justice and to provide more expedient and informal alternatives to litigation. There is a shift away from adjudicative or determinative processes and towards more cooperative processes for dispute resolution.</w:t>
      </w:r>
      <w:r w:rsidRPr="00546952">
        <w:rPr>
          <w:rStyle w:val="FootnoteReference"/>
          <w:rFonts w:ascii="Palatino Linotype" w:hAnsi="Palatino Linotype" w:cs="Arial"/>
          <w:lang w:val="en-US"/>
        </w:rPr>
        <w:footnoteReference w:id="1"/>
      </w:r>
      <w:r w:rsidRPr="00546952">
        <w:rPr>
          <w:rFonts w:ascii="Palatino Linotype" w:hAnsi="Palatino Linotype" w:cs="Arial"/>
          <w:lang w:val="en-US"/>
        </w:rPr>
        <w:t xml:space="preserve"> The rigidity, complexity and cost of formal structures has meant that courts, tribunals and other rights-based structures are often inaccessible to all but a few in society.</w:t>
      </w:r>
      <w:r w:rsidRPr="00546952">
        <w:rPr>
          <w:rStyle w:val="FootnoteReference"/>
          <w:rFonts w:ascii="Palatino Linotype" w:hAnsi="Palatino Linotype" w:cs="Arial"/>
          <w:lang w:val="en-US"/>
        </w:rPr>
        <w:footnoteReference w:id="2"/>
      </w:r>
      <w:r w:rsidRPr="00546952">
        <w:rPr>
          <w:rFonts w:ascii="Palatino Linotype" w:hAnsi="Palatino Linotype" w:cs="Arial"/>
          <w:lang w:val="en-US"/>
        </w:rPr>
        <w:t xml:space="preserve"> The incapacity of these structures to resolve conflict, although they may determine rights, has been a relevant factor in the development of alternative options for dispute resolution.</w:t>
      </w:r>
      <w:r w:rsidRPr="00546952">
        <w:rPr>
          <w:rStyle w:val="FootnoteReference"/>
          <w:rFonts w:ascii="Palatino Linotype" w:hAnsi="Palatino Linotype" w:cs="Arial"/>
          <w:lang w:val="en-US"/>
        </w:rPr>
        <w:footnoteReference w:id="3"/>
      </w:r>
      <w:r w:rsidRPr="00546952">
        <w:rPr>
          <w:rFonts w:ascii="Palatino Linotype" w:hAnsi="Palatino Linotype" w:cs="Arial"/>
          <w:lang w:val="en-US"/>
        </w:rPr>
        <w:t xml:space="preserve"> </w:t>
      </w:r>
      <w:r w:rsidR="00F36CF7" w:rsidRPr="00546952">
        <w:rPr>
          <w:rFonts w:ascii="Palatino Linotype" w:hAnsi="Palatino Linotype" w:cs="Arial"/>
          <w:lang w:val="en-US"/>
        </w:rPr>
        <w:t>Clearly,</w:t>
      </w:r>
      <w:r w:rsidRPr="00546952">
        <w:rPr>
          <w:rFonts w:ascii="Palatino Linotype" w:hAnsi="Palatino Linotype" w:cs="Arial"/>
          <w:lang w:val="en-US"/>
        </w:rPr>
        <w:t xml:space="preserve"> Australian legal practice is undergoing change. As legal educators, we need to ask: how should we be preparing law students entering practice for </w:t>
      </w:r>
      <w:r w:rsidR="00F36CF7" w:rsidRPr="00546952">
        <w:rPr>
          <w:rFonts w:ascii="Palatino Linotype" w:hAnsi="Palatino Linotype" w:cs="Arial"/>
          <w:lang w:val="en-US"/>
        </w:rPr>
        <w:t xml:space="preserve">these </w:t>
      </w:r>
      <w:r w:rsidRPr="00546952">
        <w:rPr>
          <w:rFonts w:ascii="Palatino Linotype" w:hAnsi="Palatino Linotype" w:cs="Arial"/>
          <w:lang w:val="en-US"/>
        </w:rPr>
        <w:t>change</w:t>
      </w:r>
      <w:r w:rsidR="00F36CF7" w:rsidRPr="00546952">
        <w:rPr>
          <w:rFonts w:ascii="Palatino Linotype" w:hAnsi="Palatino Linotype" w:cs="Arial"/>
          <w:lang w:val="en-US"/>
        </w:rPr>
        <w:t>s</w:t>
      </w:r>
      <w:r w:rsidRPr="00546952">
        <w:rPr>
          <w:rFonts w:ascii="Palatino Linotype" w:hAnsi="Palatino Linotype" w:cs="Arial"/>
          <w:lang w:val="en-US"/>
        </w:rPr>
        <w:t xml:space="preserve">? How can we ensure that once they become lawyers, our students will not rely entirely on litigious methods to </w:t>
      </w:r>
      <w:r w:rsidRPr="00546952">
        <w:rPr>
          <w:rFonts w:ascii="Palatino Linotype" w:hAnsi="Palatino Linotype" w:cs="Arial"/>
          <w:lang w:val="en-US"/>
        </w:rPr>
        <w:lastRenderedPageBreak/>
        <w:t xml:space="preserve">assist their clients but instead look at alternatives for dispute resolution? According to Carrie </w:t>
      </w:r>
      <w:proofErr w:type="spellStart"/>
      <w:r w:rsidRPr="00546952">
        <w:rPr>
          <w:rFonts w:ascii="Palatino Linotype" w:hAnsi="Palatino Linotype" w:cs="Arial"/>
          <w:lang w:val="en-US"/>
        </w:rPr>
        <w:t>Menkel</w:t>
      </w:r>
      <w:proofErr w:type="spellEnd"/>
      <w:r w:rsidRPr="00546952">
        <w:rPr>
          <w:rFonts w:ascii="Palatino Linotype" w:hAnsi="Palatino Linotype" w:cs="Arial"/>
          <w:lang w:val="en-US"/>
        </w:rPr>
        <w:t>-Meadow,</w:t>
      </w:r>
      <w:r w:rsidRPr="00546952">
        <w:rPr>
          <w:rStyle w:val="FootnoteReference"/>
          <w:rFonts w:ascii="Palatino Linotype" w:hAnsi="Palatino Linotype" w:cs="Arial"/>
          <w:lang w:val="en-US"/>
        </w:rPr>
        <w:footnoteReference w:id="4"/>
      </w:r>
      <w:r w:rsidRPr="00546952">
        <w:rPr>
          <w:rFonts w:ascii="Palatino Linotype" w:hAnsi="Palatino Linotype" w:cs="Arial"/>
          <w:lang w:val="en-US"/>
        </w:rPr>
        <w:t xml:space="preserve"> legal education is the most important site both for the development of approaches to conflict and for the construction of attitudes to ADR processes and, in particular, to the widely used options for negotiation and mediation for prospective lawyers.</w:t>
      </w:r>
      <w:r w:rsidRPr="00546952">
        <w:rPr>
          <w:rStyle w:val="FootnoteReference"/>
          <w:rFonts w:ascii="Palatino Linotype" w:hAnsi="Palatino Linotype" w:cs="Arial"/>
          <w:lang w:val="en-US"/>
        </w:rPr>
        <w:footnoteReference w:id="5"/>
      </w:r>
      <w:r w:rsidRPr="00546952">
        <w:rPr>
          <w:rFonts w:ascii="Palatino Linotype" w:hAnsi="Palatino Linotype" w:cs="Arial"/>
          <w:lang w:val="en-US"/>
        </w:rPr>
        <w:t xml:space="preserve"> In this paper, I argue that </w:t>
      </w:r>
      <w:r w:rsidR="00323CF4" w:rsidRPr="00546952">
        <w:rPr>
          <w:rFonts w:ascii="Palatino Linotype" w:hAnsi="Palatino Linotype" w:cs="Arial"/>
          <w:lang w:val="en-US"/>
        </w:rPr>
        <w:t>there is no alternative to teaching ADR in clinic in order to address client needs and to ensure that students engaged in clinical education are prepared for changes in legal practice today.</w:t>
      </w:r>
      <w:r w:rsidR="00DD1AA4" w:rsidRPr="00546952">
        <w:rPr>
          <w:rFonts w:ascii="Palatino Linotype" w:hAnsi="Palatino Linotype" w:cs="Arial"/>
          <w:lang w:val="en-US"/>
        </w:rPr>
        <w:t xml:space="preserve"> </w:t>
      </w:r>
      <w:r w:rsidR="00FA241C" w:rsidRPr="00546952">
        <w:rPr>
          <w:rFonts w:ascii="Palatino Linotype" w:hAnsi="Palatino Linotype" w:cs="Arial"/>
          <w:lang w:val="en-US"/>
        </w:rPr>
        <w:t>I show that t</w:t>
      </w:r>
      <w:r w:rsidR="008F2FAD" w:rsidRPr="00546952">
        <w:rPr>
          <w:rFonts w:ascii="Palatino Linotype" w:hAnsi="Palatino Linotype" w:cs="Arial"/>
          <w:lang w:val="en-US"/>
        </w:rPr>
        <w:t>he increasing focus upon ADR</w:t>
      </w:r>
      <w:r w:rsidRPr="00546952">
        <w:rPr>
          <w:rFonts w:ascii="Palatino Linotype" w:hAnsi="Palatino Linotype" w:cs="Arial"/>
          <w:lang w:val="en-US"/>
        </w:rPr>
        <w:t xml:space="preserve"> in Australian legal practice</w:t>
      </w:r>
      <w:r w:rsidR="008F2FAD" w:rsidRPr="00546952">
        <w:rPr>
          <w:rFonts w:ascii="Palatino Linotype" w:hAnsi="Palatino Linotype" w:cs="Arial"/>
          <w:lang w:val="en-US"/>
        </w:rPr>
        <w:t xml:space="preserve"> represents a challenge for law schools</w:t>
      </w:r>
      <w:r w:rsidRPr="00546952">
        <w:rPr>
          <w:rFonts w:ascii="Palatino Linotype" w:hAnsi="Palatino Linotype" w:cs="Arial"/>
          <w:lang w:val="en-US"/>
        </w:rPr>
        <w:t>,</w:t>
      </w:r>
      <w:r w:rsidR="008F2FAD" w:rsidRPr="00546952">
        <w:rPr>
          <w:rFonts w:ascii="Palatino Linotype" w:hAnsi="Palatino Linotype" w:cs="Arial"/>
          <w:lang w:val="en-US"/>
        </w:rPr>
        <w:t xml:space="preserve"> and that legal educators need</w:t>
      </w:r>
      <w:r w:rsidR="009E3A7A" w:rsidRPr="00546952">
        <w:rPr>
          <w:rFonts w:ascii="Palatino Linotype" w:hAnsi="Palatino Linotype" w:cs="Arial"/>
          <w:lang w:val="en-US"/>
        </w:rPr>
        <w:t xml:space="preserve"> to</w:t>
      </w:r>
      <w:r w:rsidR="008F2FAD" w:rsidRPr="00546952">
        <w:rPr>
          <w:rFonts w:ascii="Palatino Linotype" w:hAnsi="Palatino Linotype" w:cs="Arial"/>
          <w:lang w:val="en-US"/>
        </w:rPr>
        <w:t xml:space="preserve"> </w:t>
      </w:r>
      <w:r w:rsidR="0082662A" w:rsidRPr="00546952">
        <w:rPr>
          <w:rFonts w:ascii="Palatino Linotype" w:hAnsi="Palatino Linotype" w:cs="Arial"/>
          <w:lang w:val="en-US"/>
        </w:rPr>
        <w:t>ensure they are educating students about</w:t>
      </w:r>
      <w:r w:rsidRPr="00546952">
        <w:rPr>
          <w:rFonts w:ascii="Palatino Linotype" w:hAnsi="Palatino Linotype" w:cs="Arial"/>
          <w:lang w:val="en-US"/>
        </w:rPr>
        <w:t xml:space="preserve"> ADR. </w:t>
      </w:r>
      <w:r w:rsidR="008F2FAD" w:rsidRPr="00546952">
        <w:rPr>
          <w:rFonts w:ascii="Palatino Linotype" w:hAnsi="Palatino Linotype" w:cs="Arial"/>
          <w:lang w:val="en-US"/>
        </w:rPr>
        <w:t>More than this, however, law students who intend to go into legal practice would benefit from developing th</w:t>
      </w:r>
      <w:r w:rsidR="0082662A" w:rsidRPr="00546952">
        <w:rPr>
          <w:rFonts w:ascii="Palatino Linotype" w:hAnsi="Palatino Linotype" w:cs="Arial"/>
          <w:lang w:val="en-US"/>
        </w:rPr>
        <w:t>eir skills with respect to ADR.</w:t>
      </w:r>
      <w:r w:rsidR="008F2FAD" w:rsidRPr="00546952">
        <w:rPr>
          <w:rFonts w:ascii="Palatino Linotype" w:hAnsi="Palatino Linotype" w:cs="Arial"/>
          <w:lang w:val="en-US"/>
        </w:rPr>
        <w:t xml:space="preserve"> </w:t>
      </w:r>
      <w:r w:rsidRPr="00546952">
        <w:rPr>
          <w:rFonts w:ascii="Palatino Linotype" w:hAnsi="Palatino Linotype" w:cs="Arial"/>
          <w:lang w:val="en-US"/>
        </w:rPr>
        <w:t xml:space="preserve">Clinical legal education is a subset of legal education that focuses on educating law students about professional legal </w:t>
      </w:r>
      <w:r w:rsidR="00C4067F" w:rsidRPr="00546952">
        <w:rPr>
          <w:rFonts w:ascii="Palatino Linotype" w:hAnsi="Palatino Linotype" w:cs="Arial"/>
          <w:lang w:val="en-US"/>
        </w:rPr>
        <w:t xml:space="preserve">practice. </w:t>
      </w:r>
      <w:r w:rsidR="009E3A7A" w:rsidRPr="00546952">
        <w:rPr>
          <w:rFonts w:ascii="Palatino Linotype" w:hAnsi="Palatino Linotype" w:cs="Arial"/>
          <w:lang w:val="en-US"/>
        </w:rPr>
        <w:t>Given</w:t>
      </w:r>
      <w:r w:rsidRPr="00546952">
        <w:rPr>
          <w:rFonts w:ascii="Palatino Linotype" w:hAnsi="Palatino Linotype" w:cs="Arial"/>
          <w:lang w:val="en-US"/>
        </w:rPr>
        <w:t xml:space="preserve"> its expressly practical focus,</w:t>
      </w:r>
      <w:r w:rsidR="007B77DE" w:rsidRPr="00546952">
        <w:rPr>
          <w:rFonts w:ascii="Palatino Linotype" w:hAnsi="Palatino Linotype" w:cs="Arial"/>
          <w:lang w:val="en-US"/>
        </w:rPr>
        <w:t xml:space="preserve"> clinics represent one obvious setting in which practical ADR skills might be taught.</w:t>
      </w:r>
      <w:r w:rsidRPr="00546952">
        <w:rPr>
          <w:rFonts w:ascii="Palatino Linotype" w:hAnsi="Palatino Linotype" w:cs="Arial"/>
          <w:lang w:val="en-US"/>
        </w:rPr>
        <w:t xml:space="preserve"> </w:t>
      </w:r>
      <w:r w:rsidR="007B77DE" w:rsidRPr="00546952">
        <w:rPr>
          <w:rFonts w:ascii="Palatino Linotype" w:hAnsi="Palatino Linotype" w:cs="Arial"/>
          <w:lang w:val="en-US"/>
        </w:rPr>
        <w:t xml:space="preserve">I argue that it </w:t>
      </w:r>
      <w:r w:rsidRPr="00546952">
        <w:rPr>
          <w:rFonts w:ascii="Palatino Linotype" w:hAnsi="Palatino Linotype" w:cs="Arial"/>
          <w:lang w:val="en-US"/>
        </w:rPr>
        <w:t xml:space="preserve">is important to determine whether ADR is being taught to students undertaking clinical legal education </w:t>
      </w:r>
      <w:r w:rsidR="00BD79CA" w:rsidRPr="00546952">
        <w:rPr>
          <w:rFonts w:ascii="Palatino Linotype" w:hAnsi="Palatino Linotype" w:cs="Arial"/>
          <w:lang w:val="en-US"/>
        </w:rPr>
        <w:t>in ways that will</w:t>
      </w:r>
      <w:r w:rsidRPr="00546952">
        <w:rPr>
          <w:rFonts w:ascii="Palatino Linotype" w:hAnsi="Palatino Linotype" w:cs="Arial"/>
          <w:lang w:val="en-US"/>
        </w:rPr>
        <w:t xml:space="preserve"> </w:t>
      </w:r>
      <w:r w:rsidR="00BD79CA" w:rsidRPr="00546952">
        <w:rPr>
          <w:rFonts w:ascii="Palatino Linotype" w:hAnsi="Palatino Linotype" w:cs="Arial"/>
          <w:lang w:val="en-US"/>
        </w:rPr>
        <w:t>enhance their preparation</w:t>
      </w:r>
      <w:r w:rsidRPr="00546952">
        <w:rPr>
          <w:rFonts w:ascii="Palatino Linotype" w:hAnsi="Palatino Linotype" w:cs="Arial"/>
          <w:lang w:val="en-US"/>
        </w:rPr>
        <w:t xml:space="preserve"> for legal practice. I will show that there is a need to explore</w:t>
      </w:r>
      <w:r w:rsidR="00BD79CA" w:rsidRPr="00546952">
        <w:rPr>
          <w:rFonts w:ascii="Palatino Linotype" w:hAnsi="Palatino Linotype" w:cs="Arial"/>
          <w:lang w:val="en-US"/>
        </w:rPr>
        <w:t>:</w:t>
      </w:r>
      <w:r w:rsidRPr="00546952">
        <w:rPr>
          <w:rFonts w:ascii="Palatino Linotype" w:hAnsi="Palatino Linotype" w:cs="Arial"/>
          <w:lang w:val="en-US"/>
        </w:rPr>
        <w:t xml:space="preserve"> whether ADR is being taught within clinical legal education, the strengths and weaknesses of </w:t>
      </w:r>
      <w:r w:rsidRPr="00546952">
        <w:rPr>
          <w:rFonts w:ascii="Palatino Linotype" w:hAnsi="Palatino Linotype" w:cs="Arial"/>
          <w:lang w:val="en-US"/>
        </w:rPr>
        <w:lastRenderedPageBreak/>
        <w:t xml:space="preserve">existing approaches, and how the teaching of ADR within clinics can be improved. </w:t>
      </w:r>
      <w:r w:rsidR="00B05620" w:rsidRPr="00546952">
        <w:rPr>
          <w:rFonts w:ascii="Palatino Linotype" w:hAnsi="Palatino Linotype" w:cs="Arial"/>
          <w:lang w:val="en-US"/>
        </w:rPr>
        <w:t xml:space="preserve">Although the focus of this paper is upon ADR in the Australian clinical context, I will also argue that changes afoot internationally </w:t>
      </w:r>
      <w:r w:rsidR="00C828F1" w:rsidRPr="00546952">
        <w:rPr>
          <w:rFonts w:ascii="Palatino Linotype" w:hAnsi="Palatino Linotype" w:cs="Arial"/>
          <w:lang w:val="en-US"/>
        </w:rPr>
        <w:t xml:space="preserve">– including, in particular, the requirements of </w:t>
      </w:r>
      <w:r w:rsidR="003B529B" w:rsidRPr="00546952">
        <w:rPr>
          <w:rFonts w:ascii="Palatino Linotype" w:hAnsi="Palatino Linotype" w:cs="Arial"/>
          <w:lang w:val="en-US"/>
        </w:rPr>
        <w:t>‘</w:t>
      </w:r>
      <w:r w:rsidR="00C828F1" w:rsidRPr="00546952">
        <w:rPr>
          <w:rFonts w:ascii="Palatino Linotype" w:hAnsi="Palatino Linotype" w:cs="Arial"/>
          <w:lang w:val="en-US"/>
        </w:rPr>
        <w:t>21</w:t>
      </w:r>
      <w:r w:rsidR="00C828F1" w:rsidRPr="00546952">
        <w:rPr>
          <w:rFonts w:ascii="Palatino Linotype" w:hAnsi="Palatino Linotype" w:cs="Arial"/>
          <w:vertAlign w:val="superscript"/>
          <w:lang w:val="en-US"/>
        </w:rPr>
        <w:t>st</w:t>
      </w:r>
      <w:r w:rsidR="00C828F1" w:rsidRPr="00546952">
        <w:rPr>
          <w:rFonts w:ascii="Palatino Linotype" w:hAnsi="Palatino Linotype" w:cs="Arial"/>
          <w:lang w:val="en-US"/>
        </w:rPr>
        <w:t xml:space="preserve"> century lawyering</w:t>
      </w:r>
      <w:r w:rsidR="003B529B" w:rsidRPr="00546952">
        <w:rPr>
          <w:rFonts w:ascii="Palatino Linotype" w:hAnsi="Palatino Linotype" w:cs="Arial"/>
          <w:lang w:val="en-US"/>
        </w:rPr>
        <w:t>’</w:t>
      </w:r>
      <w:r w:rsidR="00C828F1" w:rsidRPr="00546952">
        <w:rPr>
          <w:rFonts w:ascii="Palatino Linotype" w:hAnsi="Palatino Linotype" w:cs="Arial"/>
          <w:lang w:val="en-US"/>
        </w:rPr>
        <w:t xml:space="preserve"> – make these questions of relevance to a wider audience. </w:t>
      </w:r>
    </w:p>
    <w:p w14:paraId="6C7963FC" w14:textId="75E8965F" w:rsidR="009C79F6" w:rsidRPr="00546952" w:rsidRDefault="009C79F6" w:rsidP="00546952">
      <w:pPr>
        <w:widowControl w:val="0"/>
        <w:autoSpaceDE w:val="0"/>
        <w:autoSpaceDN w:val="0"/>
        <w:adjustRightInd w:val="0"/>
        <w:spacing w:line="480" w:lineRule="auto"/>
        <w:jc w:val="both"/>
        <w:rPr>
          <w:rFonts w:ascii="Palatino Linotype" w:hAnsi="Palatino Linotype" w:cs="Arial"/>
          <w:b/>
          <w:lang w:val="en-US"/>
        </w:rPr>
      </w:pPr>
      <w:r w:rsidRPr="00546952">
        <w:rPr>
          <w:rFonts w:ascii="Palatino Linotype" w:hAnsi="Palatino Linotype" w:cs="Arial"/>
          <w:b/>
          <w:lang w:val="en-US"/>
        </w:rPr>
        <w:t xml:space="preserve">DEVELOPMENT OF ADR IN AUSTRALIAN LEGAL PRACTICE </w:t>
      </w:r>
    </w:p>
    <w:p w14:paraId="2C5F6495" w14:textId="519F417B"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The United States has been the front-runner in the contemporary use of ADR in legal and justice systems.</w:t>
      </w:r>
      <w:r w:rsidRPr="00546952">
        <w:rPr>
          <w:rStyle w:val="FootnoteReference"/>
          <w:rFonts w:ascii="Palatino Linotype" w:hAnsi="Palatino Linotype" w:cs="Arial"/>
          <w:lang w:val="en-US"/>
        </w:rPr>
        <w:footnoteReference w:id="6"/>
      </w:r>
      <w:r w:rsidRPr="00546952">
        <w:rPr>
          <w:rFonts w:ascii="Palatino Linotype" w:hAnsi="Palatino Linotype" w:cs="Arial"/>
          <w:lang w:val="en-US"/>
        </w:rPr>
        <w:t xml:space="preserve"> Australia has followed with the large-scale inclusion of ADR, primarily through mediation, in court-connected programs.</w:t>
      </w:r>
      <w:r w:rsidRPr="00546952">
        <w:rPr>
          <w:rStyle w:val="FootnoteReference"/>
          <w:rFonts w:ascii="Palatino Linotype" w:hAnsi="Palatino Linotype" w:cs="Arial"/>
          <w:lang w:val="en-US"/>
        </w:rPr>
        <w:footnoteReference w:id="7"/>
      </w:r>
      <w:r w:rsidRPr="00546952">
        <w:rPr>
          <w:rFonts w:ascii="Palatino Linotype" w:hAnsi="Palatino Linotype" w:cs="Arial"/>
          <w:lang w:val="en-US"/>
        </w:rPr>
        <w:t xml:space="preserve"> </w:t>
      </w:r>
      <w:proofErr w:type="spellStart"/>
      <w:r w:rsidRPr="00546952">
        <w:rPr>
          <w:rFonts w:ascii="Palatino Linotype" w:hAnsi="Palatino Linotype" w:cs="Arial"/>
          <w:lang w:val="en-US"/>
        </w:rPr>
        <w:t>Ardagh</w:t>
      </w:r>
      <w:proofErr w:type="spellEnd"/>
      <w:r w:rsidRPr="00546952">
        <w:rPr>
          <w:rFonts w:ascii="Palatino Linotype" w:hAnsi="Palatino Linotype" w:cs="Arial"/>
          <w:lang w:val="en-US"/>
        </w:rPr>
        <w:t xml:space="preserve"> and </w:t>
      </w:r>
      <w:proofErr w:type="spellStart"/>
      <w:r w:rsidRPr="00546952">
        <w:rPr>
          <w:rFonts w:ascii="Palatino Linotype" w:hAnsi="Palatino Linotype" w:cs="Arial"/>
          <w:lang w:val="en-US"/>
        </w:rPr>
        <w:t>Cumes</w:t>
      </w:r>
      <w:proofErr w:type="spellEnd"/>
      <w:r w:rsidRPr="00546952">
        <w:rPr>
          <w:rStyle w:val="FootnoteReference"/>
          <w:rFonts w:ascii="Palatino Linotype" w:hAnsi="Palatino Linotype" w:cs="Arial"/>
          <w:lang w:val="en-US"/>
        </w:rPr>
        <w:footnoteReference w:id="8"/>
      </w:r>
      <w:r w:rsidRPr="00546952">
        <w:rPr>
          <w:rFonts w:ascii="Palatino Linotype" w:hAnsi="Palatino Linotype" w:cs="Arial"/>
          <w:lang w:val="en-US"/>
        </w:rPr>
        <w:t xml:space="preserve"> suggest that in Australia the evolution of dispute resolution processes has proceeded through three distinct phases: the first being the predominance of adversarial processes in a traditional legal environment.</w:t>
      </w:r>
      <w:r w:rsidRPr="00546952">
        <w:rPr>
          <w:rStyle w:val="FootnoteReference"/>
          <w:rFonts w:ascii="Palatino Linotype" w:hAnsi="Palatino Linotype" w:cs="Arial"/>
          <w:lang w:val="en-US"/>
        </w:rPr>
        <w:footnoteReference w:id="9"/>
      </w:r>
      <w:r w:rsidRPr="00546952">
        <w:rPr>
          <w:rFonts w:ascii="Palatino Linotype" w:hAnsi="Palatino Linotype" w:cs="Arial"/>
          <w:lang w:val="en-US"/>
        </w:rPr>
        <w:t xml:space="preserve"> The second was a growth of a new phase in which ADR involving non-legal processes and outcomes was the subject of major legal reform.</w:t>
      </w:r>
      <w:r w:rsidRPr="00546952">
        <w:rPr>
          <w:rStyle w:val="FootnoteReference"/>
          <w:rFonts w:ascii="Palatino Linotype" w:hAnsi="Palatino Linotype" w:cs="Arial"/>
          <w:lang w:val="en-US"/>
        </w:rPr>
        <w:footnoteReference w:id="10"/>
      </w:r>
      <w:r w:rsidRPr="00546952">
        <w:rPr>
          <w:rFonts w:ascii="Palatino Linotype" w:hAnsi="Palatino Linotype" w:cs="Arial"/>
          <w:lang w:val="en-US"/>
        </w:rPr>
        <w:t xml:space="preserve"> The third stage is what </w:t>
      </w:r>
      <w:proofErr w:type="spellStart"/>
      <w:r w:rsidRPr="00546952">
        <w:rPr>
          <w:rFonts w:ascii="Palatino Linotype" w:hAnsi="Palatino Linotype" w:cs="Arial"/>
          <w:lang w:val="en-US"/>
        </w:rPr>
        <w:t>Ardagh</w:t>
      </w:r>
      <w:proofErr w:type="spellEnd"/>
      <w:r w:rsidRPr="00546952">
        <w:rPr>
          <w:rFonts w:ascii="Palatino Linotype" w:hAnsi="Palatino Linotype" w:cs="Arial"/>
          <w:lang w:val="en-US"/>
        </w:rPr>
        <w:t xml:space="preserve"> and </w:t>
      </w:r>
      <w:proofErr w:type="spellStart"/>
      <w:r w:rsidRPr="00546952">
        <w:rPr>
          <w:rFonts w:ascii="Palatino Linotype" w:hAnsi="Palatino Linotype" w:cs="Arial"/>
          <w:lang w:val="en-US"/>
        </w:rPr>
        <w:t>Cumes</w:t>
      </w:r>
      <w:proofErr w:type="spellEnd"/>
      <w:r w:rsidRPr="00546952">
        <w:rPr>
          <w:rFonts w:ascii="Palatino Linotype" w:hAnsi="Palatino Linotype" w:cs="Arial"/>
          <w:lang w:val="en-US"/>
        </w:rPr>
        <w:t xml:space="preserve"> refer to as a </w:t>
      </w:r>
      <w:r w:rsidR="003B529B" w:rsidRPr="00546952">
        <w:rPr>
          <w:rFonts w:ascii="Palatino Linotype" w:hAnsi="Palatino Linotype" w:cs="Arial"/>
          <w:lang w:val="en-US"/>
        </w:rPr>
        <w:t>‘</w:t>
      </w:r>
      <w:r w:rsidRPr="00546952">
        <w:rPr>
          <w:rFonts w:ascii="Palatino Linotype" w:hAnsi="Palatino Linotype" w:cs="Arial"/>
          <w:lang w:val="en-US"/>
        </w:rPr>
        <w:t>post-ADR period</w:t>
      </w:r>
      <w:r w:rsidR="003B529B" w:rsidRPr="00546952">
        <w:rPr>
          <w:rFonts w:ascii="Palatino Linotype" w:hAnsi="Palatino Linotype" w:cs="Arial"/>
          <w:lang w:val="en-US"/>
        </w:rPr>
        <w:t>’</w:t>
      </w:r>
      <w:r w:rsidRPr="00546952">
        <w:rPr>
          <w:rFonts w:ascii="Palatino Linotype" w:hAnsi="Palatino Linotype" w:cs="Arial"/>
          <w:lang w:val="en-US"/>
        </w:rPr>
        <w:t xml:space="preserve"> where ADR methods have been accepted as a normal part of conflict resolution and have become more </w:t>
      </w:r>
      <w:proofErr w:type="spellStart"/>
      <w:r w:rsidRPr="00546952">
        <w:rPr>
          <w:rFonts w:ascii="Palatino Linotype" w:hAnsi="Palatino Linotype" w:cs="Arial"/>
          <w:lang w:val="en-US"/>
        </w:rPr>
        <w:t>institutionalised</w:t>
      </w:r>
      <w:proofErr w:type="spellEnd"/>
      <w:r w:rsidRPr="00546952">
        <w:rPr>
          <w:rFonts w:ascii="Palatino Linotype" w:hAnsi="Palatino Linotype" w:cs="Arial"/>
          <w:lang w:val="en-US"/>
        </w:rPr>
        <w:t xml:space="preserve">, rather than </w:t>
      </w:r>
      <w:r w:rsidR="003B529B" w:rsidRPr="00546952">
        <w:rPr>
          <w:rFonts w:ascii="Palatino Linotype" w:hAnsi="Palatino Linotype" w:cs="Arial"/>
          <w:lang w:val="en-US"/>
        </w:rPr>
        <w:t>‘</w:t>
      </w:r>
      <w:r w:rsidRPr="00546952">
        <w:rPr>
          <w:rFonts w:ascii="Palatino Linotype" w:hAnsi="Palatino Linotype" w:cs="Arial"/>
          <w:lang w:val="en-US"/>
        </w:rPr>
        <w:t>alternative</w:t>
      </w:r>
      <w:r w:rsidR="003B529B" w:rsidRPr="00546952">
        <w:rPr>
          <w:rFonts w:ascii="Palatino Linotype" w:hAnsi="Palatino Linotype" w:cs="Arial"/>
          <w:lang w:val="en-US"/>
        </w:rPr>
        <w:t>’</w:t>
      </w:r>
      <w:r w:rsidRPr="00546952">
        <w:rPr>
          <w:rFonts w:ascii="Palatino Linotype" w:hAnsi="Palatino Linotype" w:cs="Arial"/>
          <w:lang w:val="en-US"/>
        </w:rPr>
        <w:t>.</w:t>
      </w:r>
      <w:r w:rsidRPr="00546952">
        <w:rPr>
          <w:rStyle w:val="FootnoteReference"/>
          <w:rFonts w:ascii="Palatino Linotype" w:hAnsi="Palatino Linotype" w:cs="Arial"/>
          <w:lang w:val="en-US"/>
        </w:rPr>
        <w:footnoteReference w:id="11"/>
      </w:r>
      <w:r w:rsidRPr="00546952">
        <w:rPr>
          <w:rFonts w:ascii="Palatino Linotype" w:hAnsi="Palatino Linotype" w:cs="Arial"/>
          <w:lang w:val="en-US"/>
        </w:rPr>
        <w:t xml:space="preserve"> </w:t>
      </w:r>
    </w:p>
    <w:p w14:paraId="1F2C9DF9" w14:textId="4A70797A" w:rsidR="008A5C65" w:rsidRPr="00546952" w:rsidRDefault="00AD3037"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lastRenderedPageBreak/>
        <w:t>The development of a focus on ADR in Australia can be traced back a</w:t>
      </w:r>
      <w:r w:rsidR="008A5C65" w:rsidRPr="00546952">
        <w:rPr>
          <w:rFonts w:ascii="Palatino Linotype" w:hAnsi="Palatino Linotype" w:cs="Arial"/>
          <w:lang w:val="en-US"/>
        </w:rPr>
        <w:t xml:space="preserve">t a federal level </w:t>
      </w:r>
      <w:r w:rsidRPr="00546952">
        <w:rPr>
          <w:rFonts w:ascii="Palatino Linotype" w:hAnsi="Palatino Linotype" w:cs="Arial"/>
          <w:lang w:val="en-US"/>
        </w:rPr>
        <w:t xml:space="preserve">to the 1900’s. </w:t>
      </w:r>
      <w:r w:rsidR="008A5C65" w:rsidRPr="00546952">
        <w:rPr>
          <w:rFonts w:ascii="Palatino Linotype" w:hAnsi="Palatino Linotype" w:cs="Arial"/>
          <w:lang w:val="en-US"/>
        </w:rPr>
        <w:t xml:space="preserve">Arbitration is mentioned in the 1901 Commonwealth Constitution alongside conciliation for use in preventing and settling interstate industrial disputes (Australian Constitution, </w:t>
      </w:r>
      <w:proofErr w:type="gramStart"/>
      <w:r w:rsidR="008A5C65" w:rsidRPr="00546952">
        <w:rPr>
          <w:rFonts w:ascii="Palatino Linotype" w:hAnsi="Palatino Linotype" w:cs="Arial"/>
          <w:lang w:val="en-US"/>
        </w:rPr>
        <w:t>s51(</w:t>
      </w:r>
      <w:proofErr w:type="gramEnd"/>
      <w:r w:rsidR="008A5C65" w:rsidRPr="00546952">
        <w:rPr>
          <w:rFonts w:ascii="Palatino Linotype" w:hAnsi="Palatino Linotype" w:cs="Arial"/>
          <w:lang w:val="en-US"/>
        </w:rPr>
        <w:t>xxxv)).</w:t>
      </w:r>
      <w:r w:rsidR="008A5C65" w:rsidRPr="00546952">
        <w:rPr>
          <w:rStyle w:val="FootnoteReference"/>
          <w:rFonts w:ascii="Palatino Linotype" w:hAnsi="Palatino Linotype" w:cs="Arial"/>
          <w:lang w:val="en-US"/>
        </w:rPr>
        <w:footnoteReference w:id="12"/>
      </w:r>
      <w:r w:rsidR="008A5C65" w:rsidRPr="00546952">
        <w:rPr>
          <w:rFonts w:ascii="Palatino Linotype" w:hAnsi="Palatino Linotype" w:cs="Arial"/>
          <w:lang w:val="en-US"/>
        </w:rPr>
        <w:t xml:space="preserve"> In 1904</w:t>
      </w:r>
      <w:r w:rsidR="00FD3CA9" w:rsidRPr="00546952">
        <w:rPr>
          <w:rFonts w:ascii="Palatino Linotype" w:hAnsi="Palatino Linotype" w:cs="Arial"/>
          <w:lang w:val="en-US"/>
        </w:rPr>
        <w:t>,</w:t>
      </w:r>
      <w:r w:rsidR="008A5C65" w:rsidRPr="00546952">
        <w:rPr>
          <w:rFonts w:ascii="Palatino Linotype" w:hAnsi="Palatino Linotype" w:cs="Arial"/>
          <w:lang w:val="en-US"/>
        </w:rPr>
        <w:t xml:space="preserve"> </w:t>
      </w:r>
      <w:r w:rsidR="008A5C65" w:rsidRPr="00546952">
        <w:rPr>
          <w:rFonts w:ascii="Palatino Linotype" w:hAnsi="Palatino Linotype" w:cs="Arial"/>
          <w:i/>
          <w:lang w:val="en-US"/>
        </w:rPr>
        <w:t xml:space="preserve">The Commonwealth Conciliation and Arbitration Act </w:t>
      </w:r>
      <w:r w:rsidR="008A5C65" w:rsidRPr="00546952">
        <w:rPr>
          <w:rFonts w:ascii="Palatino Linotype" w:hAnsi="Palatino Linotype" w:cs="Arial"/>
          <w:lang w:val="en-US"/>
        </w:rPr>
        <w:t>1904 (</w:t>
      </w:r>
      <w:proofErr w:type="spellStart"/>
      <w:r w:rsidR="008A5C65" w:rsidRPr="00546952">
        <w:rPr>
          <w:rFonts w:ascii="Palatino Linotype" w:hAnsi="Palatino Linotype" w:cs="Arial"/>
          <w:lang w:val="en-US"/>
        </w:rPr>
        <w:t>Cth</w:t>
      </w:r>
      <w:proofErr w:type="spellEnd"/>
      <w:r w:rsidR="008A5C65" w:rsidRPr="00546952">
        <w:rPr>
          <w:rFonts w:ascii="Palatino Linotype" w:hAnsi="Palatino Linotype" w:cs="Arial"/>
          <w:lang w:val="en-US"/>
        </w:rPr>
        <w:t>) created the Commonwealth Court of Conciliation and Arbitration. The new tribunal was not to be bound by legal forms of the rules of evidence. It was required to act in accordance with equity, good conscience and the substantial merits of the case.</w:t>
      </w:r>
      <w:r w:rsidR="008A5C65" w:rsidRPr="00546952">
        <w:rPr>
          <w:rStyle w:val="FootnoteReference"/>
          <w:rFonts w:ascii="Palatino Linotype" w:hAnsi="Palatino Linotype" w:cs="Arial"/>
          <w:lang w:val="en-US"/>
        </w:rPr>
        <w:footnoteReference w:id="13"/>
      </w:r>
      <w:r w:rsidR="008A5C65" w:rsidRPr="00546952">
        <w:rPr>
          <w:rFonts w:ascii="Palatino Linotype" w:hAnsi="Palatino Linotype" w:cs="Arial"/>
          <w:lang w:val="en-US"/>
        </w:rPr>
        <w:t xml:space="preserve"> Parties were strongly encouraged to come to an agreement (conciliation) and where they could not, a decision was made for them (arbitration).</w:t>
      </w:r>
      <w:r w:rsidR="008A5C65" w:rsidRPr="00546952">
        <w:rPr>
          <w:rStyle w:val="FootnoteReference"/>
          <w:rFonts w:ascii="Palatino Linotype" w:hAnsi="Palatino Linotype" w:cs="Arial"/>
          <w:lang w:val="en-US"/>
        </w:rPr>
        <w:footnoteReference w:id="14"/>
      </w:r>
      <w:r w:rsidR="00E41E41" w:rsidRPr="00546952">
        <w:rPr>
          <w:rFonts w:ascii="Palatino Linotype" w:hAnsi="Palatino Linotype" w:cs="Arial"/>
          <w:lang w:val="en-US"/>
        </w:rPr>
        <w:t xml:space="preserve"> </w:t>
      </w:r>
    </w:p>
    <w:p w14:paraId="15847D42" w14:textId="12AC1688" w:rsidR="00D13C49" w:rsidRPr="00546952" w:rsidRDefault="00D849B7"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In the 1940s and 1950s, </w:t>
      </w:r>
      <w:r w:rsidR="005C49E3" w:rsidRPr="00546952">
        <w:rPr>
          <w:rFonts w:ascii="Palatino Linotype" w:hAnsi="Palatino Linotype" w:cs="Arial"/>
          <w:lang w:val="en-US"/>
        </w:rPr>
        <w:t xml:space="preserve">in the international arena and </w:t>
      </w:r>
      <w:r w:rsidR="008235C0" w:rsidRPr="00546952">
        <w:rPr>
          <w:rFonts w:ascii="Palatino Linotype" w:hAnsi="Palatino Linotype" w:cs="Arial"/>
          <w:lang w:val="en-US"/>
        </w:rPr>
        <w:t xml:space="preserve">in </w:t>
      </w:r>
      <w:r w:rsidR="005C49E3" w:rsidRPr="00546952">
        <w:rPr>
          <w:rFonts w:ascii="Palatino Linotype" w:hAnsi="Palatino Linotype" w:cs="Arial"/>
          <w:lang w:val="en-US"/>
        </w:rPr>
        <w:t xml:space="preserve">Australia, </w:t>
      </w:r>
      <w:r w:rsidRPr="00546952">
        <w:rPr>
          <w:rFonts w:ascii="Palatino Linotype" w:hAnsi="Palatino Linotype" w:cs="Arial"/>
          <w:lang w:val="en-US"/>
        </w:rPr>
        <w:t>negotiation and conflict theories continued to be used to assist with planning and strategy development and to manage more complex relationships that were becoming an increasing feature of modern business activities.</w:t>
      </w:r>
      <w:r w:rsidRPr="00546952">
        <w:rPr>
          <w:rStyle w:val="FootnoteReference"/>
          <w:rFonts w:ascii="Palatino Linotype" w:hAnsi="Palatino Linotype" w:cs="Arial"/>
          <w:lang w:val="en-US"/>
        </w:rPr>
        <w:footnoteReference w:id="15"/>
      </w:r>
      <w:r w:rsidRPr="00546952">
        <w:rPr>
          <w:rFonts w:ascii="Palatino Linotype" w:hAnsi="Palatino Linotype" w:cs="Arial"/>
          <w:lang w:val="en-US"/>
        </w:rPr>
        <w:t xml:space="preserve"> </w:t>
      </w:r>
      <w:r w:rsidR="00874EBB" w:rsidRPr="00546952">
        <w:rPr>
          <w:rFonts w:ascii="Palatino Linotype" w:hAnsi="Palatino Linotype" w:cs="Arial"/>
          <w:lang w:val="en-US"/>
        </w:rPr>
        <w:t>In</w:t>
      </w:r>
      <w:r w:rsidR="00715CF2" w:rsidRPr="00546952">
        <w:rPr>
          <w:rFonts w:ascii="Palatino Linotype" w:hAnsi="Palatino Linotype" w:cs="Arial"/>
          <w:lang w:val="en-US"/>
        </w:rPr>
        <w:t xml:space="preserve"> the 1980s, n</w:t>
      </w:r>
      <w:r w:rsidR="00B12072" w:rsidRPr="00546952">
        <w:rPr>
          <w:rFonts w:ascii="Palatino Linotype" w:hAnsi="Palatino Linotype" w:cs="Arial"/>
          <w:lang w:val="en-US"/>
        </w:rPr>
        <w:t xml:space="preserve">egotiation theory achieved popularity and greater interest with the publication of Fisher and </w:t>
      </w:r>
      <w:proofErr w:type="spellStart"/>
      <w:r w:rsidR="00B12072" w:rsidRPr="00546952">
        <w:rPr>
          <w:rFonts w:ascii="Palatino Linotype" w:hAnsi="Palatino Linotype" w:cs="Arial"/>
          <w:lang w:val="en-US"/>
        </w:rPr>
        <w:t>Ury’s</w:t>
      </w:r>
      <w:proofErr w:type="spellEnd"/>
      <w:r w:rsidR="00B12072" w:rsidRPr="00546952">
        <w:rPr>
          <w:rFonts w:ascii="Palatino Linotype" w:hAnsi="Palatino Linotype" w:cs="Arial"/>
          <w:lang w:val="en-US"/>
        </w:rPr>
        <w:t xml:space="preserve"> text </w:t>
      </w:r>
      <w:proofErr w:type="gramStart"/>
      <w:r w:rsidR="00B12072" w:rsidRPr="00546952">
        <w:rPr>
          <w:rFonts w:ascii="Palatino Linotype" w:hAnsi="Palatino Linotype" w:cs="Arial"/>
          <w:i/>
          <w:lang w:val="en-US"/>
        </w:rPr>
        <w:t>Getting</w:t>
      </w:r>
      <w:proofErr w:type="gramEnd"/>
      <w:r w:rsidR="00B12072" w:rsidRPr="00546952">
        <w:rPr>
          <w:rFonts w:ascii="Palatino Linotype" w:hAnsi="Palatino Linotype" w:cs="Arial"/>
          <w:i/>
          <w:lang w:val="en-US"/>
        </w:rPr>
        <w:t xml:space="preserve"> to Yes</w:t>
      </w:r>
      <w:r w:rsidR="00B12072" w:rsidRPr="00546952">
        <w:rPr>
          <w:rFonts w:ascii="Palatino Linotype" w:hAnsi="Palatino Linotype" w:cs="Arial"/>
          <w:lang w:val="en-US"/>
        </w:rPr>
        <w:t xml:space="preserve"> in 1981.</w:t>
      </w:r>
      <w:r w:rsidR="00B12072" w:rsidRPr="00546952">
        <w:rPr>
          <w:rStyle w:val="FootnoteReference"/>
          <w:rFonts w:ascii="Palatino Linotype" w:hAnsi="Palatino Linotype" w:cs="Arial"/>
          <w:lang w:val="en-US"/>
        </w:rPr>
        <w:footnoteReference w:id="16"/>
      </w:r>
      <w:r w:rsidR="00B960A9" w:rsidRPr="00546952">
        <w:rPr>
          <w:rFonts w:ascii="Palatino Linotype" w:hAnsi="Palatino Linotype" w:cs="Arial"/>
          <w:lang w:val="en-US"/>
        </w:rPr>
        <w:t xml:space="preserve"> </w:t>
      </w:r>
      <w:r w:rsidR="00D13C49" w:rsidRPr="00546952">
        <w:rPr>
          <w:rFonts w:ascii="Palatino Linotype" w:hAnsi="Palatino Linotype" w:cs="Arial"/>
          <w:lang w:val="en-US"/>
        </w:rPr>
        <w:t>The F</w:t>
      </w:r>
      <w:r w:rsidR="00B960A9" w:rsidRPr="00546952">
        <w:rPr>
          <w:rFonts w:ascii="Palatino Linotype" w:hAnsi="Palatino Linotype" w:cs="Arial"/>
          <w:lang w:val="en-US"/>
        </w:rPr>
        <w:t xml:space="preserve">isher and </w:t>
      </w:r>
      <w:proofErr w:type="spellStart"/>
      <w:r w:rsidR="00B960A9" w:rsidRPr="00546952">
        <w:rPr>
          <w:rFonts w:ascii="Palatino Linotype" w:hAnsi="Palatino Linotype" w:cs="Arial"/>
          <w:lang w:val="en-US"/>
        </w:rPr>
        <w:t>Ury</w:t>
      </w:r>
      <w:proofErr w:type="spellEnd"/>
      <w:r w:rsidR="00B960A9" w:rsidRPr="00546952">
        <w:rPr>
          <w:rFonts w:ascii="Palatino Linotype" w:hAnsi="Palatino Linotype" w:cs="Arial"/>
          <w:lang w:val="en-US"/>
        </w:rPr>
        <w:t xml:space="preserve"> model was viewed </w:t>
      </w:r>
      <w:r w:rsidR="00B960A9" w:rsidRPr="00546952">
        <w:rPr>
          <w:rFonts w:ascii="Palatino Linotype" w:hAnsi="Palatino Linotype" w:cs="Arial"/>
          <w:lang w:val="en-US"/>
        </w:rPr>
        <w:lastRenderedPageBreak/>
        <w:t>as a collaborative or co-operative model. The most important technique in this type of problem-solving negotiation is to distinguish between interests (or needs) and positions (desires, wants).</w:t>
      </w:r>
      <w:r w:rsidR="00B960A9" w:rsidRPr="00546952">
        <w:rPr>
          <w:rStyle w:val="FootnoteReference"/>
          <w:rFonts w:ascii="Palatino Linotype" w:hAnsi="Palatino Linotype" w:cs="Arial"/>
          <w:lang w:val="en-US"/>
        </w:rPr>
        <w:footnoteReference w:id="17"/>
      </w:r>
      <w:r w:rsidR="00B960A9" w:rsidRPr="00546952">
        <w:rPr>
          <w:rFonts w:ascii="Palatino Linotype" w:hAnsi="Palatino Linotype" w:cs="Arial"/>
          <w:lang w:val="en-US"/>
        </w:rPr>
        <w:t xml:space="preserve"> This model evolved from work completed in the late 1920s by the theorist Mary Parker Follett who developed and explored the model of constructive and integrative negotiation.</w:t>
      </w:r>
      <w:r w:rsidR="00B960A9" w:rsidRPr="00546952">
        <w:rPr>
          <w:rStyle w:val="FootnoteReference"/>
          <w:rFonts w:ascii="Palatino Linotype" w:hAnsi="Palatino Linotype" w:cs="Arial"/>
          <w:lang w:val="en-US"/>
        </w:rPr>
        <w:footnoteReference w:id="18"/>
      </w:r>
      <w:r w:rsidR="00165067" w:rsidRPr="00546952">
        <w:rPr>
          <w:rFonts w:ascii="Palatino Linotype" w:hAnsi="Palatino Linotype" w:cs="Arial"/>
          <w:lang w:val="en-US"/>
        </w:rPr>
        <w:t xml:space="preserve"> During the 1980s and 1990s, negotiation theorists continued to expand upon many of the notions contained in Follett’s work</w:t>
      </w:r>
      <w:r w:rsidR="00D13C49" w:rsidRPr="00546952">
        <w:rPr>
          <w:rFonts w:ascii="Palatino Linotype" w:hAnsi="Palatino Linotype" w:cs="Arial"/>
          <w:lang w:val="en-US"/>
        </w:rPr>
        <w:t xml:space="preserve"> and in the Fisher and </w:t>
      </w:r>
      <w:proofErr w:type="spellStart"/>
      <w:r w:rsidR="00D13C49" w:rsidRPr="00546952">
        <w:rPr>
          <w:rFonts w:ascii="Palatino Linotype" w:hAnsi="Palatino Linotype" w:cs="Arial"/>
          <w:lang w:val="en-US"/>
        </w:rPr>
        <w:t>Ury</w:t>
      </w:r>
      <w:proofErr w:type="spellEnd"/>
      <w:r w:rsidR="00D13C49" w:rsidRPr="00546952">
        <w:rPr>
          <w:rFonts w:ascii="Palatino Linotype" w:hAnsi="Palatino Linotype" w:cs="Arial"/>
          <w:lang w:val="en-US"/>
        </w:rPr>
        <w:t xml:space="preserve"> model of negotiation. In Australia, decisional models, in which a third party exercised either an advisory or determinative function, were most popular until the early 1970s.</w:t>
      </w:r>
      <w:r w:rsidR="00D13C49" w:rsidRPr="00546952">
        <w:rPr>
          <w:rStyle w:val="FootnoteReference"/>
          <w:rFonts w:ascii="Palatino Linotype" w:hAnsi="Palatino Linotype" w:cs="Arial"/>
          <w:lang w:val="en-US"/>
        </w:rPr>
        <w:footnoteReference w:id="19"/>
      </w:r>
      <w:r w:rsidR="00D13C49" w:rsidRPr="00546952">
        <w:rPr>
          <w:rFonts w:ascii="Palatino Linotype" w:hAnsi="Palatino Linotype" w:cs="Arial"/>
          <w:lang w:val="en-US"/>
        </w:rPr>
        <w:t xml:space="preserve"> </w:t>
      </w:r>
      <w:r w:rsidR="00721D74" w:rsidRPr="00546952">
        <w:rPr>
          <w:rFonts w:ascii="Palatino Linotype" w:hAnsi="Palatino Linotype" w:cs="Arial"/>
          <w:lang w:val="en-US"/>
        </w:rPr>
        <w:t>Since then, focus has been less on third party interventions and more on providing support and assistance to disputants.</w:t>
      </w:r>
      <w:r w:rsidR="00721D74" w:rsidRPr="00546952">
        <w:rPr>
          <w:rStyle w:val="FootnoteReference"/>
          <w:rFonts w:ascii="Palatino Linotype" w:hAnsi="Palatino Linotype" w:cs="Arial"/>
          <w:lang w:val="en-US"/>
        </w:rPr>
        <w:footnoteReference w:id="20"/>
      </w:r>
    </w:p>
    <w:p w14:paraId="23130017" w14:textId="77777777" w:rsidR="004C2630" w:rsidRDefault="00435A09"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I</w:t>
      </w:r>
      <w:r w:rsidR="007E2060" w:rsidRPr="00546952">
        <w:rPr>
          <w:rFonts w:ascii="Palatino Linotype" w:hAnsi="Palatino Linotype" w:cs="Arial"/>
          <w:lang w:val="en-US"/>
        </w:rPr>
        <w:t xml:space="preserve">n </w:t>
      </w:r>
      <w:r w:rsidR="00AD3037" w:rsidRPr="00546952">
        <w:rPr>
          <w:rFonts w:ascii="Palatino Linotype" w:hAnsi="Palatino Linotype" w:cs="Arial"/>
          <w:lang w:val="en-US"/>
        </w:rPr>
        <w:t xml:space="preserve">1995, </w:t>
      </w:r>
      <w:r w:rsidR="00AC7BC0" w:rsidRPr="00546952">
        <w:rPr>
          <w:rFonts w:ascii="Palatino Linotype" w:hAnsi="Palatino Linotype" w:cs="Arial"/>
          <w:lang w:val="en-US"/>
        </w:rPr>
        <w:t xml:space="preserve">there was a significant development in ADR practice with the establishment of </w:t>
      </w:r>
      <w:r w:rsidR="00A059CB" w:rsidRPr="00546952">
        <w:rPr>
          <w:rFonts w:ascii="Palatino Linotype" w:hAnsi="Palatino Linotype" w:cs="Arial"/>
          <w:lang w:val="en-US"/>
        </w:rPr>
        <w:t>the National Alternative Dispute Resolution Advisory Council</w:t>
      </w:r>
      <w:r w:rsidR="005F23D9" w:rsidRPr="00546952">
        <w:rPr>
          <w:rFonts w:ascii="Palatino Linotype" w:hAnsi="Palatino Linotype" w:cs="Arial"/>
          <w:lang w:val="en-US"/>
        </w:rPr>
        <w:t xml:space="preserve"> (NADRAC)</w:t>
      </w:r>
      <w:r w:rsidR="00AD3037" w:rsidRPr="00546952">
        <w:rPr>
          <w:rFonts w:ascii="Palatino Linotype" w:hAnsi="Palatino Linotype" w:cs="Arial"/>
          <w:lang w:val="en-US"/>
        </w:rPr>
        <w:t>.</w:t>
      </w:r>
      <w:r w:rsidR="00E9739E" w:rsidRPr="00546952">
        <w:rPr>
          <w:rFonts w:ascii="Palatino Linotype" w:hAnsi="Palatino Linotype" w:cs="Arial"/>
          <w:lang w:val="en-US"/>
        </w:rPr>
        <w:t xml:space="preserve"> </w:t>
      </w:r>
      <w:r w:rsidR="00AC7BC0" w:rsidRPr="00546952">
        <w:rPr>
          <w:rFonts w:ascii="Palatino Linotype" w:hAnsi="Palatino Linotype" w:cs="Arial"/>
          <w:lang w:val="en-US"/>
        </w:rPr>
        <w:t xml:space="preserve">NADRAC </w:t>
      </w:r>
      <w:r w:rsidR="00A059CB" w:rsidRPr="00546952">
        <w:rPr>
          <w:rFonts w:ascii="Palatino Linotype" w:hAnsi="Palatino Linotype" w:cs="Arial"/>
          <w:lang w:val="en-US"/>
        </w:rPr>
        <w:t>was established as an Australian independent body providing policy advice about ADR to the Attorney-General of Australia</w:t>
      </w:r>
      <w:r w:rsidR="00E9739E" w:rsidRPr="00546952">
        <w:rPr>
          <w:rFonts w:ascii="Palatino Linotype" w:hAnsi="Palatino Linotype" w:cs="Arial"/>
          <w:lang w:val="en-US"/>
        </w:rPr>
        <w:t xml:space="preserve"> </w:t>
      </w:r>
      <w:r w:rsidR="002D61B0" w:rsidRPr="00546952">
        <w:rPr>
          <w:rFonts w:ascii="Palatino Linotype" w:hAnsi="Palatino Linotype" w:cs="Arial"/>
          <w:lang w:val="en-US"/>
        </w:rPr>
        <w:t>exist</w:t>
      </w:r>
      <w:r w:rsidR="00AC7BC0" w:rsidRPr="00546952">
        <w:rPr>
          <w:rFonts w:ascii="Palatino Linotype" w:hAnsi="Palatino Linotype" w:cs="Arial"/>
          <w:lang w:val="en-US"/>
        </w:rPr>
        <w:t xml:space="preserve">ing </w:t>
      </w:r>
      <w:r w:rsidR="002D61B0" w:rsidRPr="00546952">
        <w:rPr>
          <w:rFonts w:ascii="Palatino Linotype" w:hAnsi="Palatino Linotype" w:cs="Arial"/>
          <w:lang w:val="en-US"/>
        </w:rPr>
        <w:t>until the end of 2013</w:t>
      </w:r>
      <w:r w:rsidR="00AC7BC0" w:rsidRPr="00546952">
        <w:rPr>
          <w:rFonts w:ascii="Palatino Linotype" w:hAnsi="Palatino Linotype" w:cs="Arial"/>
          <w:lang w:val="en-US"/>
        </w:rPr>
        <w:t>. NADRAC</w:t>
      </w:r>
      <w:r w:rsidR="002D61B0" w:rsidRPr="00546952">
        <w:rPr>
          <w:rFonts w:ascii="Palatino Linotype" w:hAnsi="Palatino Linotype" w:cs="Arial"/>
          <w:lang w:val="en-US"/>
        </w:rPr>
        <w:t xml:space="preserve"> closely examined definitions and descriptions of ADR processes.</w:t>
      </w:r>
      <w:r w:rsidR="002D61B0" w:rsidRPr="00546952">
        <w:rPr>
          <w:rStyle w:val="FootnoteReference"/>
          <w:rFonts w:ascii="Palatino Linotype" w:hAnsi="Palatino Linotype" w:cs="Arial"/>
          <w:lang w:val="en-US"/>
        </w:rPr>
        <w:footnoteReference w:id="21"/>
      </w:r>
      <w:r w:rsidR="002D61B0" w:rsidRPr="00546952">
        <w:rPr>
          <w:rFonts w:ascii="Palatino Linotype" w:hAnsi="Palatino Linotype" w:cs="Arial"/>
          <w:lang w:val="en-US"/>
        </w:rPr>
        <w:t xml:space="preserve"> </w:t>
      </w:r>
      <w:r w:rsidR="007E7EDE" w:rsidRPr="00546952">
        <w:rPr>
          <w:rFonts w:ascii="Palatino Linotype" w:hAnsi="Palatino Linotype" w:cs="Arial"/>
          <w:lang w:val="en-US"/>
        </w:rPr>
        <w:t xml:space="preserve">NADRAC </w:t>
      </w:r>
      <w:r w:rsidR="000B1EAA" w:rsidRPr="00546952">
        <w:rPr>
          <w:rFonts w:ascii="Palatino Linotype" w:hAnsi="Palatino Linotype" w:cs="Arial"/>
          <w:lang w:val="en-US"/>
        </w:rPr>
        <w:t>described</w:t>
      </w:r>
      <w:r w:rsidR="007E7EDE" w:rsidRPr="00546952">
        <w:rPr>
          <w:rFonts w:ascii="Palatino Linotype" w:hAnsi="Palatino Linotype" w:cs="Arial"/>
          <w:lang w:val="en-US"/>
        </w:rPr>
        <w:t xml:space="preserve"> ADR </w:t>
      </w:r>
      <w:r w:rsidR="000B1EAA" w:rsidRPr="00546952">
        <w:rPr>
          <w:rFonts w:ascii="Palatino Linotype" w:hAnsi="Palatino Linotype" w:cs="Arial"/>
          <w:lang w:val="en-US"/>
        </w:rPr>
        <w:t xml:space="preserve">as </w:t>
      </w:r>
      <w:r w:rsidR="007E7EDE" w:rsidRPr="00546952">
        <w:rPr>
          <w:rFonts w:ascii="Palatino Linotype" w:hAnsi="Palatino Linotype" w:cs="Arial"/>
          <w:lang w:val="en-US"/>
        </w:rPr>
        <w:t xml:space="preserve">an </w:t>
      </w:r>
      <w:r w:rsidR="00691A65" w:rsidRPr="00546952">
        <w:rPr>
          <w:rFonts w:ascii="Palatino Linotype" w:hAnsi="Palatino Linotype" w:cs="Arial"/>
          <w:lang w:val="en-US"/>
        </w:rPr>
        <w:t>‘</w:t>
      </w:r>
      <w:r w:rsidR="007E7EDE" w:rsidRPr="00546952">
        <w:rPr>
          <w:rFonts w:ascii="Palatino Linotype" w:hAnsi="Palatino Linotype" w:cs="Arial"/>
          <w:lang w:val="en-US"/>
        </w:rPr>
        <w:t xml:space="preserve">umbrella </w:t>
      </w:r>
      <w:r w:rsidR="007E7EDE" w:rsidRPr="00546952">
        <w:rPr>
          <w:rFonts w:ascii="Palatino Linotype" w:hAnsi="Palatino Linotype" w:cs="Arial"/>
          <w:lang w:val="en-US"/>
        </w:rPr>
        <w:lastRenderedPageBreak/>
        <w:t>term for processes, other than judicial determination, in which an impartial person assists those in a dispute to resolve the issues between them</w:t>
      </w:r>
      <w:r w:rsidR="00691A65" w:rsidRPr="00546952">
        <w:rPr>
          <w:rFonts w:ascii="Palatino Linotype" w:hAnsi="Palatino Linotype" w:cs="Arial"/>
          <w:lang w:val="en-US"/>
        </w:rPr>
        <w:t>’</w:t>
      </w:r>
      <w:r w:rsidR="007E7EDE" w:rsidRPr="00546952">
        <w:rPr>
          <w:rFonts w:ascii="Palatino Linotype" w:hAnsi="Palatino Linotype" w:cs="Arial"/>
          <w:lang w:val="en-US"/>
        </w:rPr>
        <w:t>.</w:t>
      </w:r>
      <w:r w:rsidR="007E7EDE" w:rsidRPr="00546952">
        <w:rPr>
          <w:rStyle w:val="FootnoteReference"/>
          <w:rFonts w:ascii="Palatino Linotype" w:hAnsi="Palatino Linotype" w:cs="Arial"/>
          <w:lang w:val="en-US"/>
        </w:rPr>
        <w:footnoteReference w:id="22"/>
      </w:r>
      <w:r w:rsidR="007E7EDE" w:rsidRPr="00546952">
        <w:rPr>
          <w:rFonts w:ascii="Palatino Linotype" w:hAnsi="Palatino Linotype" w:cs="Arial"/>
          <w:lang w:val="en-US"/>
        </w:rPr>
        <w:t xml:space="preserve"> </w:t>
      </w:r>
    </w:p>
    <w:p w14:paraId="0FE232F3" w14:textId="2A58932D" w:rsidR="009C79F6" w:rsidRPr="00546952" w:rsidRDefault="00A35098"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The focus on ADR in legal practice was enhanced in </w:t>
      </w:r>
      <w:r w:rsidR="00044E82" w:rsidRPr="00546952">
        <w:rPr>
          <w:rFonts w:ascii="Palatino Linotype" w:hAnsi="Palatino Linotype" w:cs="Arial"/>
          <w:lang w:val="en-US"/>
        </w:rPr>
        <w:t>January 2008,</w:t>
      </w:r>
      <w:r w:rsidRPr="00546952">
        <w:rPr>
          <w:rFonts w:ascii="Palatino Linotype" w:hAnsi="Palatino Linotype" w:cs="Arial"/>
          <w:lang w:val="en-US"/>
        </w:rPr>
        <w:t xml:space="preserve"> when</w:t>
      </w:r>
      <w:r w:rsidR="00044E82" w:rsidRPr="00546952">
        <w:rPr>
          <w:rFonts w:ascii="Palatino Linotype" w:hAnsi="Palatino Linotype" w:cs="Arial"/>
          <w:lang w:val="en-US"/>
        </w:rPr>
        <w:t xml:space="preserve"> </w:t>
      </w:r>
      <w:r w:rsidR="00172517" w:rsidRPr="00546952">
        <w:rPr>
          <w:rFonts w:ascii="Palatino Linotype" w:hAnsi="Palatino Linotype" w:cs="Arial"/>
          <w:lang w:val="en-US"/>
        </w:rPr>
        <w:t>t</w:t>
      </w:r>
      <w:r w:rsidR="009C79F6" w:rsidRPr="00546952">
        <w:rPr>
          <w:rFonts w:ascii="Palatino Linotype" w:hAnsi="Palatino Linotype" w:cs="Arial"/>
          <w:lang w:val="en-US"/>
        </w:rPr>
        <w:t xml:space="preserve">he </w:t>
      </w:r>
      <w:r w:rsidR="009C79F6" w:rsidRPr="00546952">
        <w:rPr>
          <w:rFonts w:ascii="Palatino Linotype" w:hAnsi="Palatino Linotype" w:cs="Arial"/>
          <w:i/>
          <w:lang w:val="en-US"/>
        </w:rPr>
        <w:t>National Me</w:t>
      </w:r>
      <w:r w:rsidR="007C6ABD" w:rsidRPr="00546952">
        <w:rPr>
          <w:rFonts w:ascii="Palatino Linotype" w:hAnsi="Palatino Linotype" w:cs="Arial"/>
          <w:i/>
          <w:lang w:val="en-US"/>
        </w:rPr>
        <w:t xml:space="preserve">diator Accreditation System </w:t>
      </w:r>
      <w:r w:rsidR="00AE222F" w:rsidRPr="00546952">
        <w:rPr>
          <w:rFonts w:ascii="Palatino Linotype" w:hAnsi="Palatino Linotype" w:cs="Arial"/>
          <w:i/>
          <w:lang w:val="en-US"/>
        </w:rPr>
        <w:t>and Standards</w:t>
      </w:r>
      <w:r w:rsidR="00AE222F" w:rsidRPr="00546952">
        <w:rPr>
          <w:rFonts w:ascii="Palatino Linotype" w:hAnsi="Palatino Linotype" w:cs="Arial"/>
          <w:lang w:val="en-US"/>
        </w:rPr>
        <w:t xml:space="preserve"> </w:t>
      </w:r>
      <w:r w:rsidR="00AD0AD1" w:rsidRPr="00546952">
        <w:rPr>
          <w:rFonts w:ascii="Palatino Linotype" w:hAnsi="Palatino Linotype" w:cs="Arial"/>
          <w:lang w:val="en-US"/>
        </w:rPr>
        <w:t>focused on enhancing</w:t>
      </w:r>
      <w:r w:rsidR="009C79F6" w:rsidRPr="00546952">
        <w:rPr>
          <w:rFonts w:ascii="Palatino Linotype" w:hAnsi="Palatino Linotype" w:cs="Arial"/>
          <w:lang w:val="en-US"/>
        </w:rPr>
        <w:t xml:space="preserve"> consumer certainty and support</w:t>
      </w:r>
      <w:r w:rsidR="00AD0AD1" w:rsidRPr="00546952">
        <w:rPr>
          <w:rFonts w:ascii="Palatino Linotype" w:hAnsi="Palatino Linotype" w:cs="Arial"/>
          <w:lang w:val="en-US"/>
        </w:rPr>
        <w:t>ing</w:t>
      </w:r>
      <w:r w:rsidR="009C79F6" w:rsidRPr="00546952">
        <w:rPr>
          <w:rFonts w:ascii="Palatino Linotype" w:hAnsi="Palatino Linotype" w:cs="Arial"/>
          <w:lang w:val="en-US"/>
        </w:rPr>
        <w:t xml:space="preserve"> mediation referral.</w:t>
      </w:r>
      <w:r w:rsidR="009C79F6" w:rsidRPr="00546952">
        <w:rPr>
          <w:rStyle w:val="FootnoteReference"/>
          <w:rFonts w:ascii="Palatino Linotype" w:hAnsi="Palatino Linotype" w:cs="Arial"/>
          <w:lang w:val="en-US"/>
        </w:rPr>
        <w:footnoteReference w:id="23"/>
      </w:r>
      <w:r w:rsidR="00E44C9D" w:rsidRPr="00546952">
        <w:rPr>
          <w:rFonts w:ascii="Palatino Linotype" w:hAnsi="Palatino Linotype" w:cs="Arial"/>
          <w:lang w:val="en-US"/>
        </w:rPr>
        <w:t xml:space="preserve"> </w:t>
      </w:r>
      <w:r w:rsidR="008E157F" w:rsidRPr="00546952">
        <w:rPr>
          <w:rFonts w:ascii="Palatino Linotype" w:hAnsi="Palatino Linotype" w:cs="Arial"/>
          <w:lang w:val="en-US"/>
        </w:rPr>
        <w:t xml:space="preserve">Alongside this system, </w:t>
      </w:r>
      <w:r w:rsidR="009C79F6" w:rsidRPr="00546952">
        <w:rPr>
          <w:rFonts w:ascii="Palatino Linotype" w:hAnsi="Palatino Linotype" w:cs="Arial"/>
          <w:lang w:val="en-US"/>
        </w:rPr>
        <w:t xml:space="preserve">a compulsory accreditation system for family dispute resolution practitioners </w:t>
      </w:r>
      <w:r w:rsidR="008E157F" w:rsidRPr="00546952">
        <w:rPr>
          <w:rFonts w:ascii="Palatino Linotype" w:hAnsi="Palatino Linotype" w:cs="Arial"/>
          <w:lang w:val="en-US"/>
        </w:rPr>
        <w:t xml:space="preserve">was developed encouraging the </w:t>
      </w:r>
      <w:proofErr w:type="spellStart"/>
      <w:r w:rsidR="009C79F6" w:rsidRPr="00546952">
        <w:rPr>
          <w:rFonts w:ascii="Palatino Linotype" w:hAnsi="Palatino Linotype" w:cs="Arial"/>
          <w:lang w:val="en-US"/>
        </w:rPr>
        <w:t>practise</w:t>
      </w:r>
      <w:proofErr w:type="spellEnd"/>
      <w:r w:rsidR="009C79F6" w:rsidRPr="00546952">
        <w:rPr>
          <w:rFonts w:ascii="Palatino Linotype" w:hAnsi="Palatino Linotype" w:cs="Arial"/>
          <w:lang w:val="en-US"/>
        </w:rPr>
        <w:t xml:space="preserve"> </w:t>
      </w:r>
      <w:r w:rsidR="008E157F" w:rsidRPr="00546952">
        <w:rPr>
          <w:rFonts w:ascii="Palatino Linotype" w:hAnsi="Palatino Linotype" w:cs="Arial"/>
          <w:lang w:val="en-US"/>
        </w:rPr>
        <w:t xml:space="preserve">of </w:t>
      </w:r>
      <w:r w:rsidR="009C79F6" w:rsidRPr="00546952">
        <w:rPr>
          <w:rFonts w:ascii="Palatino Linotype" w:hAnsi="Palatino Linotype" w:cs="Arial"/>
          <w:lang w:val="en-US"/>
        </w:rPr>
        <w:t>a mix of mediation, conciliation and advisory practice.</w:t>
      </w:r>
      <w:r w:rsidR="009C79F6" w:rsidRPr="00546952">
        <w:rPr>
          <w:rStyle w:val="FootnoteReference"/>
          <w:rFonts w:ascii="Palatino Linotype" w:hAnsi="Palatino Linotype" w:cs="Arial"/>
          <w:lang w:val="en-US"/>
        </w:rPr>
        <w:footnoteReference w:id="24"/>
      </w:r>
      <w:r w:rsidR="009C79F6" w:rsidRPr="00546952">
        <w:rPr>
          <w:rFonts w:ascii="Palatino Linotype" w:hAnsi="Palatino Linotype" w:cs="Arial"/>
          <w:lang w:val="en-US"/>
        </w:rPr>
        <w:t xml:space="preserve"> The dispute resolution process in Australia has been assisted by the creation and growth of various professional </w:t>
      </w:r>
      <w:proofErr w:type="spellStart"/>
      <w:r w:rsidR="009C79F6" w:rsidRPr="00546952">
        <w:rPr>
          <w:rFonts w:ascii="Palatino Linotype" w:hAnsi="Palatino Linotype" w:cs="Arial"/>
          <w:lang w:val="en-US"/>
        </w:rPr>
        <w:t>organisations</w:t>
      </w:r>
      <w:proofErr w:type="spellEnd"/>
      <w:r w:rsidR="009C79F6" w:rsidRPr="00546952">
        <w:rPr>
          <w:rFonts w:ascii="Palatino Linotype" w:hAnsi="Palatino Linotype" w:cs="Arial"/>
          <w:lang w:val="en-US"/>
        </w:rPr>
        <w:t xml:space="preserve"> such as LEADR</w:t>
      </w:r>
      <w:r w:rsidR="009C79F6" w:rsidRPr="00546952">
        <w:rPr>
          <w:rStyle w:val="FootnoteReference"/>
          <w:rFonts w:ascii="Palatino Linotype" w:hAnsi="Palatino Linotype" w:cs="Arial"/>
          <w:lang w:val="en-US"/>
        </w:rPr>
        <w:footnoteReference w:id="25"/>
      </w:r>
      <w:r w:rsidR="009C79F6" w:rsidRPr="00546952">
        <w:rPr>
          <w:rFonts w:ascii="Palatino Linotype" w:hAnsi="Palatino Linotype" w:cs="Arial"/>
          <w:lang w:val="en-US"/>
        </w:rPr>
        <w:t xml:space="preserve"> and IAMA.</w:t>
      </w:r>
      <w:r w:rsidR="009C79F6" w:rsidRPr="00546952">
        <w:rPr>
          <w:rStyle w:val="FootnoteReference"/>
          <w:rFonts w:ascii="Palatino Linotype" w:hAnsi="Palatino Linotype" w:cs="Arial"/>
          <w:lang w:val="en-US"/>
        </w:rPr>
        <w:footnoteReference w:id="26"/>
      </w:r>
      <w:r w:rsidR="009C79F6" w:rsidRPr="00546952">
        <w:rPr>
          <w:rFonts w:ascii="Palatino Linotype" w:hAnsi="Palatino Linotype" w:cs="Arial"/>
          <w:lang w:val="en-US"/>
        </w:rPr>
        <w:t xml:space="preserve"> </w:t>
      </w:r>
      <w:r w:rsidR="006F6271" w:rsidRPr="00546952">
        <w:rPr>
          <w:rFonts w:ascii="Palatino Linotype" w:hAnsi="Palatino Linotype" w:cs="Arial"/>
          <w:lang w:val="en-US"/>
        </w:rPr>
        <w:t xml:space="preserve">The establishment of </w:t>
      </w:r>
      <w:r w:rsidR="009C79F6" w:rsidRPr="00546952">
        <w:rPr>
          <w:rFonts w:ascii="Palatino Linotype" w:hAnsi="Palatino Linotype" w:cs="Arial"/>
          <w:lang w:val="en-US"/>
        </w:rPr>
        <w:t xml:space="preserve">Community Justice </w:t>
      </w:r>
      <w:proofErr w:type="spellStart"/>
      <w:r w:rsidR="009C79F6" w:rsidRPr="00546952">
        <w:rPr>
          <w:rFonts w:ascii="Palatino Linotype" w:hAnsi="Palatino Linotype" w:cs="Arial"/>
          <w:lang w:val="en-US"/>
        </w:rPr>
        <w:t>Centres</w:t>
      </w:r>
      <w:proofErr w:type="spellEnd"/>
      <w:r w:rsidR="006F6271" w:rsidRPr="00546952">
        <w:rPr>
          <w:rFonts w:ascii="Palatino Linotype" w:hAnsi="Palatino Linotype" w:cs="Arial"/>
          <w:lang w:val="en-US"/>
        </w:rPr>
        <w:t xml:space="preserve"> in New South Wales</w:t>
      </w:r>
      <w:r w:rsidR="006F6271" w:rsidRPr="00546952">
        <w:rPr>
          <w:rStyle w:val="FootnoteReference"/>
          <w:rFonts w:ascii="Palatino Linotype" w:hAnsi="Palatino Linotype" w:cs="Arial"/>
          <w:lang w:val="en-US"/>
        </w:rPr>
        <w:footnoteReference w:id="27"/>
      </w:r>
      <w:r w:rsidR="006A3402" w:rsidRPr="00546952">
        <w:rPr>
          <w:rFonts w:ascii="Palatino Linotype" w:hAnsi="Palatino Linotype" w:cs="Arial"/>
          <w:lang w:val="en-US"/>
        </w:rPr>
        <w:t xml:space="preserve"> and Dispute Resolution </w:t>
      </w:r>
      <w:proofErr w:type="spellStart"/>
      <w:r w:rsidR="006A3402" w:rsidRPr="00546952">
        <w:rPr>
          <w:rFonts w:ascii="Palatino Linotype" w:hAnsi="Palatino Linotype" w:cs="Arial"/>
          <w:lang w:val="en-US"/>
        </w:rPr>
        <w:t>Centres</w:t>
      </w:r>
      <w:proofErr w:type="spellEnd"/>
      <w:r w:rsidR="006A3402" w:rsidRPr="00546952">
        <w:rPr>
          <w:rFonts w:ascii="Palatino Linotype" w:hAnsi="Palatino Linotype" w:cs="Arial"/>
          <w:lang w:val="en-US"/>
        </w:rPr>
        <w:t xml:space="preserve"> in Queensland</w:t>
      </w:r>
      <w:r w:rsidR="006A3402" w:rsidRPr="00546952">
        <w:rPr>
          <w:rStyle w:val="FootnoteReference"/>
          <w:rFonts w:ascii="Palatino Linotype" w:hAnsi="Palatino Linotype" w:cs="Arial"/>
          <w:lang w:val="en-US"/>
        </w:rPr>
        <w:footnoteReference w:id="28"/>
      </w:r>
      <w:r w:rsidR="0013737B" w:rsidRPr="00546952">
        <w:rPr>
          <w:rFonts w:ascii="Palatino Linotype" w:hAnsi="Palatino Linotype" w:cs="Arial"/>
          <w:lang w:val="en-US"/>
        </w:rPr>
        <w:t xml:space="preserve"> in the early 1980s were attempts to promote the use of ADR to resolve community-based disputes and to support the notion that justice can exist outside the courts.</w:t>
      </w:r>
      <w:r w:rsidR="00A375D8" w:rsidRPr="00546952">
        <w:rPr>
          <w:rStyle w:val="FootnoteReference"/>
          <w:rFonts w:ascii="Palatino Linotype" w:hAnsi="Palatino Linotype" w:cs="Arial"/>
          <w:lang w:val="en-US"/>
        </w:rPr>
        <w:footnoteReference w:id="29"/>
      </w:r>
      <w:r w:rsidR="00A375D8" w:rsidRPr="00546952">
        <w:rPr>
          <w:rFonts w:ascii="Palatino Linotype" w:hAnsi="Palatino Linotype" w:cs="Arial"/>
          <w:lang w:val="en-US"/>
        </w:rPr>
        <w:t xml:space="preserve"> </w:t>
      </w:r>
      <w:r w:rsidR="009C79F6" w:rsidRPr="00546952">
        <w:rPr>
          <w:rFonts w:ascii="Palatino Linotype" w:hAnsi="Palatino Linotype" w:cs="Arial"/>
          <w:lang w:val="en-US"/>
        </w:rPr>
        <w:t>The Dispute Set</w:t>
      </w:r>
      <w:r w:rsidR="00773082" w:rsidRPr="00546952">
        <w:rPr>
          <w:rFonts w:ascii="Palatino Linotype" w:hAnsi="Palatino Linotype" w:cs="Arial"/>
          <w:lang w:val="en-US"/>
        </w:rPr>
        <w:t>tlement Centre of Victoria</w:t>
      </w:r>
      <w:r w:rsidR="009C79F6" w:rsidRPr="00546952">
        <w:rPr>
          <w:rFonts w:ascii="Palatino Linotype" w:hAnsi="Palatino Linotype" w:cs="Arial"/>
          <w:lang w:val="en-US"/>
        </w:rPr>
        <w:t xml:space="preserve"> adopted ADR as the preferred method of conflict resolution, promising both peaceful and consensual decision making without the controlling influence of professionals </w:t>
      </w:r>
      <w:r w:rsidR="009C79F6" w:rsidRPr="00546952">
        <w:rPr>
          <w:rFonts w:ascii="Palatino Linotype" w:hAnsi="Palatino Linotype" w:cs="Arial"/>
          <w:lang w:val="en-US"/>
        </w:rPr>
        <w:lastRenderedPageBreak/>
        <w:t>and a faster and cheaper alternative to the court system, a more costly and lengthy option.</w:t>
      </w:r>
      <w:r w:rsidR="009C79F6" w:rsidRPr="00546952">
        <w:rPr>
          <w:rStyle w:val="FootnoteReference"/>
          <w:rFonts w:ascii="Palatino Linotype" w:hAnsi="Palatino Linotype" w:cs="Arial"/>
          <w:lang w:val="en-US"/>
        </w:rPr>
        <w:footnoteReference w:id="30"/>
      </w:r>
      <w:r w:rsidR="009C79F6" w:rsidRPr="00546952">
        <w:rPr>
          <w:rFonts w:ascii="Palatino Linotype" w:hAnsi="Palatino Linotype" w:cs="Arial"/>
          <w:lang w:val="en-US"/>
        </w:rPr>
        <w:t xml:space="preserve"> In addition, there has been a rise in</w:t>
      </w:r>
      <w:r w:rsidR="0041711C" w:rsidRPr="00546952">
        <w:rPr>
          <w:rFonts w:ascii="Palatino Linotype" w:hAnsi="Palatino Linotype" w:cs="Arial"/>
          <w:lang w:val="en-US"/>
        </w:rPr>
        <w:t xml:space="preserve"> the number of</w:t>
      </w:r>
      <w:r w:rsidR="006A295A" w:rsidRPr="00546952">
        <w:rPr>
          <w:rFonts w:ascii="Palatino Linotype" w:hAnsi="Palatino Linotype" w:cs="Arial"/>
          <w:lang w:val="en-US"/>
        </w:rPr>
        <w:t xml:space="preserve"> </w:t>
      </w:r>
      <w:r w:rsidR="009C79F6" w:rsidRPr="00546952">
        <w:rPr>
          <w:rFonts w:ascii="Palatino Linotype" w:hAnsi="Palatino Linotype" w:cs="Arial"/>
          <w:lang w:val="en-US"/>
        </w:rPr>
        <w:t>tribunals using ADR.</w:t>
      </w:r>
      <w:r w:rsidR="009C79F6" w:rsidRPr="00546952">
        <w:rPr>
          <w:rFonts w:ascii="Palatino Linotype" w:hAnsi="Palatino Linotype"/>
          <w:lang w:val="en-US"/>
        </w:rPr>
        <w:t xml:space="preserve"> </w:t>
      </w:r>
      <w:r w:rsidR="009C79F6" w:rsidRPr="00546952">
        <w:rPr>
          <w:rFonts w:ascii="Palatino Linotype" w:hAnsi="Palatino Linotype" w:cs="Arial"/>
          <w:lang w:val="en-US"/>
        </w:rPr>
        <w:t>In 1998, the Victorian Civil and Administrative Tribunal (VCAT) was established with a broad jurisdiction.</w:t>
      </w:r>
      <w:r w:rsidR="009C79F6" w:rsidRPr="00546952">
        <w:rPr>
          <w:rStyle w:val="FootnoteReference"/>
          <w:rFonts w:ascii="Palatino Linotype" w:hAnsi="Palatino Linotype" w:cs="Arial"/>
          <w:lang w:val="en-US"/>
        </w:rPr>
        <w:footnoteReference w:id="31"/>
      </w:r>
      <w:r w:rsidR="009C79F6" w:rsidRPr="00546952">
        <w:rPr>
          <w:rFonts w:ascii="Palatino Linotype" w:hAnsi="Palatino Linotype" w:cs="Arial"/>
          <w:lang w:val="en-US"/>
        </w:rPr>
        <w:t xml:space="preserve"> </w:t>
      </w:r>
      <w:r w:rsidR="00E3696B" w:rsidRPr="00546952">
        <w:rPr>
          <w:rFonts w:ascii="Palatino Linotype" w:hAnsi="Palatino Linotype" w:cs="Arial"/>
          <w:lang w:val="en-US"/>
        </w:rPr>
        <w:t>I</w:t>
      </w:r>
      <w:r w:rsidR="009C79F6" w:rsidRPr="00546952">
        <w:rPr>
          <w:rFonts w:ascii="Palatino Linotype" w:hAnsi="Palatino Linotype" w:cs="Arial"/>
          <w:lang w:val="en-US"/>
        </w:rPr>
        <w:t>n 2009, Queensland introduced a similar tribunal, the Queensland Civil and Administrative Tribunal (QCAT).</w:t>
      </w:r>
      <w:r w:rsidR="009C79F6" w:rsidRPr="00546952">
        <w:rPr>
          <w:rStyle w:val="FootnoteReference"/>
          <w:rFonts w:ascii="Palatino Linotype" w:hAnsi="Palatino Linotype" w:cs="Arial"/>
          <w:lang w:val="en-US"/>
        </w:rPr>
        <w:footnoteReference w:id="32"/>
      </w:r>
      <w:r w:rsidR="009C79F6" w:rsidRPr="00546952">
        <w:rPr>
          <w:rFonts w:ascii="Palatino Linotype" w:hAnsi="Palatino Linotype" w:cs="Arial"/>
          <w:lang w:val="en-US"/>
        </w:rPr>
        <w:t xml:space="preserve"> These tribunals facilitate self-representation by litigants and provide opportunities for parties to attend mediation.</w:t>
      </w:r>
      <w:r w:rsidR="009C79F6" w:rsidRPr="00546952">
        <w:rPr>
          <w:rStyle w:val="FootnoteReference"/>
          <w:rFonts w:ascii="Palatino Linotype" w:hAnsi="Palatino Linotype" w:cs="Arial"/>
          <w:lang w:val="en-US"/>
        </w:rPr>
        <w:footnoteReference w:id="33"/>
      </w:r>
    </w:p>
    <w:p w14:paraId="0CB59E92" w14:textId="47D1E422"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There have also been a number of legislative initiatives to address the persistent adversarial frame of practice of Australian lawyers. For example, in Victoria there have been changes to civil procedure through the </w:t>
      </w:r>
      <w:r w:rsidRPr="00546952">
        <w:rPr>
          <w:rFonts w:ascii="Palatino Linotype" w:hAnsi="Palatino Linotype" w:cs="Arial"/>
          <w:i/>
          <w:lang w:val="en-US"/>
        </w:rPr>
        <w:t xml:space="preserve">Civil Procedure Act 2010 </w:t>
      </w:r>
      <w:r w:rsidRPr="00546952">
        <w:rPr>
          <w:rFonts w:ascii="Palatino Linotype" w:hAnsi="Palatino Linotype" w:cs="Arial"/>
          <w:lang w:val="en-US"/>
        </w:rPr>
        <w:t>(Vic</w:t>
      </w:r>
      <w:proofErr w:type="gramStart"/>
      <w:r w:rsidRPr="00546952">
        <w:rPr>
          <w:rFonts w:ascii="Palatino Linotype" w:hAnsi="Palatino Linotype" w:cs="Arial"/>
          <w:lang w:val="en-US"/>
        </w:rPr>
        <w:t>)(</w:t>
      </w:r>
      <w:proofErr w:type="gramEnd"/>
      <w:r w:rsidRPr="00546952">
        <w:rPr>
          <w:rFonts w:ascii="Palatino Linotype" w:hAnsi="Palatino Linotype" w:cs="Arial"/>
          <w:lang w:val="en-US"/>
        </w:rPr>
        <w:t xml:space="preserve">CPA). </w:t>
      </w:r>
      <w:r w:rsidR="000E0658" w:rsidRPr="00546952">
        <w:rPr>
          <w:rFonts w:ascii="Palatino Linotype" w:hAnsi="Palatino Linotype" w:cs="Arial"/>
          <w:lang w:val="en-US"/>
        </w:rPr>
        <w:t xml:space="preserve">Section </w:t>
      </w:r>
      <w:r w:rsidRPr="00546952">
        <w:rPr>
          <w:rFonts w:ascii="Palatino Linotype" w:hAnsi="Palatino Linotype" w:cs="Arial"/>
          <w:lang w:val="en-US"/>
        </w:rPr>
        <w:t>22 of the CPA</w:t>
      </w:r>
      <w:r w:rsidR="000E0658" w:rsidRPr="00546952">
        <w:rPr>
          <w:rFonts w:ascii="Palatino Linotype" w:hAnsi="Palatino Linotype" w:cs="Arial"/>
          <w:lang w:val="en-US"/>
        </w:rPr>
        <w:t xml:space="preserve"> provides</w:t>
      </w:r>
      <w:r w:rsidRPr="00546952">
        <w:rPr>
          <w:rFonts w:ascii="Palatino Linotype" w:hAnsi="Palatino Linotype" w:cs="Arial"/>
          <w:lang w:val="en-US"/>
        </w:rPr>
        <w:t xml:space="preserve"> that lawyers and parties must use reasonable </w:t>
      </w:r>
      <w:proofErr w:type="spellStart"/>
      <w:r w:rsidRPr="00546952">
        <w:rPr>
          <w:rFonts w:ascii="Palatino Linotype" w:hAnsi="Palatino Linotype" w:cs="Arial"/>
          <w:lang w:val="en-US"/>
        </w:rPr>
        <w:t>endeavours</w:t>
      </w:r>
      <w:proofErr w:type="spellEnd"/>
      <w:r w:rsidRPr="00546952">
        <w:rPr>
          <w:rFonts w:ascii="Palatino Linotype" w:hAnsi="Palatino Linotype" w:cs="Arial"/>
          <w:lang w:val="en-US"/>
        </w:rPr>
        <w:t xml:space="preserve"> to resolve disputes by agreement between the persons in the dispute and these </w:t>
      </w:r>
      <w:proofErr w:type="spellStart"/>
      <w:r w:rsidRPr="00546952">
        <w:rPr>
          <w:rFonts w:ascii="Palatino Linotype" w:hAnsi="Palatino Linotype" w:cs="Arial"/>
          <w:lang w:val="en-US"/>
        </w:rPr>
        <w:t>endeavours</w:t>
      </w:r>
      <w:proofErr w:type="spellEnd"/>
      <w:r w:rsidRPr="00546952">
        <w:rPr>
          <w:rFonts w:ascii="Palatino Linotype" w:hAnsi="Palatino Linotype" w:cs="Arial"/>
          <w:lang w:val="en-US"/>
        </w:rPr>
        <w:t xml:space="preserve"> may include the use of ADR.</w:t>
      </w:r>
      <w:r w:rsidRPr="00546952">
        <w:rPr>
          <w:rStyle w:val="FootnoteReference"/>
          <w:rFonts w:ascii="Palatino Linotype" w:hAnsi="Palatino Linotype" w:cs="Arial"/>
          <w:lang w:val="en-US"/>
        </w:rPr>
        <w:footnoteReference w:id="34"/>
      </w:r>
      <w:r w:rsidRPr="00546952">
        <w:rPr>
          <w:rFonts w:ascii="Palatino Linotype" w:hAnsi="Palatino Linotype" w:cs="Arial"/>
          <w:lang w:val="en-US"/>
        </w:rPr>
        <w:t xml:space="preserve"> </w:t>
      </w:r>
      <w:r w:rsidR="00676358" w:rsidRPr="00546952">
        <w:rPr>
          <w:rFonts w:ascii="Palatino Linotype" w:hAnsi="Palatino Linotype" w:cs="Arial"/>
          <w:lang w:val="en-US"/>
        </w:rPr>
        <w:t xml:space="preserve">In </w:t>
      </w:r>
      <w:r w:rsidR="004B3D7F" w:rsidRPr="00546952">
        <w:rPr>
          <w:rFonts w:ascii="Palatino Linotype" w:hAnsi="Palatino Linotype" w:cs="Arial"/>
          <w:lang w:val="en-US"/>
        </w:rPr>
        <w:t xml:space="preserve">light of these changes in </w:t>
      </w:r>
      <w:r w:rsidR="00676358" w:rsidRPr="00546952">
        <w:rPr>
          <w:rFonts w:ascii="Palatino Linotype" w:hAnsi="Palatino Linotype" w:cs="Arial"/>
          <w:lang w:val="en-US"/>
        </w:rPr>
        <w:t>Australia, the court systems have adopted ADR, primarily using mediation processes in case management to encourage swifter processes and higher rates of settlement of disputes.</w:t>
      </w:r>
      <w:r w:rsidR="00254652" w:rsidRPr="00546952">
        <w:rPr>
          <w:rFonts w:ascii="Palatino Linotype" w:hAnsi="Palatino Linotype" w:cs="Arial"/>
          <w:lang w:val="en-US"/>
        </w:rPr>
        <w:t xml:space="preserve"> </w:t>
      </w:r>
      <w:r w:rsidR="007B4956" w:rsidRPr="00546952">
        <w:rPr>
          <w:rFonts w:ascii="Palatino Linotype" w:hAnsi="Palatino Linotype" w:cs="Arial"/>
          <w:lang w:val="en-US"/>
        </w:rPr>
        <w:t xml:space="preserve">Susskind notes that alternative methods for dispute resolution is </w:t>
      </w:r>
      <w:r w:rsidR="000159BD" w:rsidRPr="00546952">
        <w:rPr>
          <w:rFonts w:ascii="Palatino Linotype" w:hAnsi="Palatino Linotype" w:cs="Arial"/>
          <w:lang w:val="en-US"/>
        </w:rPr>
        <w:t xml:space="preserve">much </w:t>
      </w:r>
      <w:r w:rsidR="007B4956" w:rsidRPr="00546952">
        <w:rPr>
          <w:rFonts w:ascii="Palatino Linotype" w:hAnsi="Palatino Linotype" w:cs="Arial"/>
          <w:lang w:val="en-US"/>
        </w:rPr>
        <w:t xml:space="preserve">needed as </w:t>
      </w:r>
      <w:r w:rsidR="00BC1CFE" w:rsidRPr="00546952">
        <w:rPr>
          <w:rFonts w:ascii="Palatino Linotype" w:hAnsi="Palatino Linotype" w:cs="Arial"/>
          <w:lang w:val="en-US"/>
        </w:rPr>
        <w:t>court system</w:t>
      </w:r>
      <w:r w:rsidR="00B66CB4" w:rsidRPr="00546952">
        <w:rPr>
          <w:rFonts w:ascii="Palatino Linotype" w:hAnsi="Palatino Linotype" w:cs="Arial"/>
          <w:lang w:val="en-US"/>
        </w:rPr>
        <w:t>s are</w:t>
      </w:r>
      <w:r w:rsidR="00BC1CFE" w:rsidRPr="00546952">
        <w:rPr>
          <w:rFonts w:ascii="Palatino Linotype" w:hAnsi="Palatino Linotype" w:cs="Arial"/>
          <w:lang w:val="en-US"/>
        </w:rPr>
        <w:t xml:space="preserve"> often </w:t>
      </w:r>
      <w:r w:rsidR="00BC1CFE" w:rsidRPr="00546952">
        <w:rPr>
          <w:rFonts w:ascii="Palatino Linotype" w:hAnsi="Palatino Linotype" w:cs="Arial"/>
          <w:lang w:val="en-US"/>
        </w:rPr>
        <w:lastRenderedPageBreak/>
        <w:t>unaffordable, excessively time-consuming, unjustifiably combative, and inexplicably steeped in opaque procedure and language.</w:t>
      </w:r>
      <w:r w:rsidR="00BC1CFE" w:rsidRPr="00546952">
        <w:rPr>
          <w:rStyle w:val="FootnoteReference"/>
          <w:rFonts w:ascii="Palatino Linotype" w:hAnsi="Palatino Linotype" w:cs="Arial"/>
          <w:lang w:val="en-US"/>
        </w:rPr>
        <w:footnoteReference w:id="35"/>
      </w:r>
      <w:r w:rsidR="00BC1CFE" w:rsidRPr="00546952">
        <w:rPr>
          <w:rFonts w:ascii="Palatino Linotype" w:hAnsi="Palatino Linotype" w:cs="Arial"/>
          <w:lang w:val="en-US"/>
        </w:rPr>
        <w:t xml:space="preserve"> </w:t>
      </w:r>
      <w:r w:rsidR="006B4B8D" w:rsidRPr="00546952">
        <w:rPr>
          <w:rFonts w:ascii="Palatino Linotype" w:hAnsi="Palatino Linotype" w:cs="Arial"/>
          <w:lang w:val="en-US"/>
        </w:rPr>
        <w:t xml:space="preserve">Therefore, </w:t>
      </w:r>
      <w:r w:rsidR="00E03453" w:rsidRPr="00546952">
        <w:rPr>
          <w:rFonts w:ascii="Palatino Linotype" w:hAnsi="Palatino Linotype" w:cs="Arial"/>
          <w:lang w:val="en-US"/>
        </w:rPr>
        <w:t>for many policymakers, the idea of improving access to justice has come to mean improving the way disputes are resolved.</w:t>
      </w:r>
      <w:r w:rsidR="00E03453" w:rsidRPr="00546952">
        <w:rPr>
          <w:rStyle w:val="FootnoteReference"/>
          <w:rFonts w:ascii="Palatino Linotype" w:hAnsi="Palatino Linotype" w:cs="Arial"/>
          <w:lang w:val="en-US"/>
        </w:rPr>
        <w:footnoteReference w:id="36"/>
      </w:r>
    </w:p>
    <w:p w14:paraId="0DCD0A43" w14:textId="44C2EDE5" w:rsidR="009C79F6" w:rsidRPr="00546952" w:rsidRDefault="00027960"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Australian </w:t>
      </w:r>
      <w:r w:rsidR="009C79F6" w:rsidRPr="00546952">
        <w:rPr>
          <w:rFonts w:ascii="Palatino Linotype" w:hAnsi="Palatino Linotype" w:cs="Arial"/>
          <w:lang w:val="en-US"/>
        </w:rPr>
        <w:t xml:space="preserve">Federal </w:t>
      </w:r>
      <w:r w:rsidR="000C2765" w:rsidRPr="00546952">
        <w:rPr>
          <w:rFonts w:ascii="Palatino Linotype" w:hAnsi="Palatino Linotype" w:cs="Arial"/>
          <w:lang w:val="en-US"/>
        </w:rPr>
        <w:t>government policy</w:t>
      </w:r>
      <w:r w:rsidRPr="00546952">
        <w:rPr>
          <w:rFonts w:ascii="Palatino Linotype" w:hAnsi="Palatino Linotype" w:cs="Arial"/>
          <w:lang w:val="en-US"/>
        </w:rPr>
        <w:t xml:space="preserve"> </w:t>
      </w:r>
      <w:r w:rsidR="009C79F6" w:rsidRPr="00546952">
        <w:rPr>
          <w:rFonts w:ascii="Palatino Linotype" w:hAnsi="Palatino Linotype" w:cs="Arial"/>
          <w:lang w:val="en-US"/>
        </w:rPr>
        <w:t xml:space="preserve">has also increasingly supported ADR. </w:t>
      </w:r>
      <w:r w:rsidR="00F21FB6" w:rsidRPr="00546952">
        <w:rPr>
          <w:rFonts w:ascii="Palatino Linotype" w:hAnsi="Palatino Linotype" w:cs="Arial"/>
          <w:lang w:val="en-US"/>
        </w:rPr>
        <w:t xml:space="preserve">As early as 2009, </w:t>
      </w:r>
      <w:r w:rsidR="009C79F6" w:rsidRPr="00546952">
        <w:rPr>
          <w:rFonts w:ascii="Palatino Linotype" w:hAnsi="Palatino Linotype" w:cs="Arial"/>
          <w:lang w:val="en-US"/>
        </w:rPr>
        <w:t xml:space="preserve">the report, </w:t>
      </w:r>
      <w:r w:rsidR="009C79F6" w:rsidRPr="00546952">
        <w:rPr>
          <w:rFonts w:ascii="Palatino Linotype" w:hAnsi="Palatino Linotype" w:cs="Arial"/>
          <w:i/>
          <w:lang w:val="en-US"/>
        </w:rPr>
        <w:t>A Strategic Framework to Justice in the Federal Civil Justice System</w:t>
      </w:r>
      <w:r w:rsidR="009C79F6" w:rsidRPr="00546952">
        <w:rPr>
          <w:rFonts w:ascii="Palatino Linotype" w:hAnsi="Palatino Linotype" w:cs="Arial"/>
          <w:lang w:val="en-US"/>
        </w:rPr>
        <w:t>, recommended increased use of ADR and case management and the better education of lawyers in non-adversarial processes.</w:t>
      </w:r>
      <w:r w:rsidR="009C79F6" w:rsidRPr="00546952">
        <w:rPr>
          <w:rStyle w:val="FootnoteReference"/>
          <w:rFonts w:ascii="Palatino Linotype" w:hAnsi="Palatino Linotype" w:cs="Arial"/>
          <w:lang w:val="en-US"/>
        </w:rPr>
        <w:footnoteReference w:id="37"/>
      </w:r>
      <w:r w:rsidR="009C79F6" w:rsidRPr="00546952">
        <w:rPr>
          <w:rFonts w:ascii="Palatino Linotype" w:hAnsi="Palatino Linotype" w:cs="Arial"/>
          <w:lang w:val="en-US"/>
        </w:rPr>
        <w:t xml:space="preserve"> </w:t>
      </w:r>
      <w:r w:rsidR="00F42CCA" w:rsidRPr="00546952">
        <w:rPr>
          <w:rFonts w:ascii="Palatino Linotype" w:hAnsi="Palatino Linotype" w:cs="Arial"/>
          <w:lang w:val="en-US"/>
        </w:rPr>
        <w:t>More recently, i</w:t>
      </w:r>
      <w:r w:rsidR="009C79F6" w:rsidRPr="00546952">
        <w:rPr>
          <w:rFonts w:ascii="Palatino Linotype" w:hAnsi="Palatino Linotype" w:cs="Arial"/>
          <w:lang w:val="en-US"/>
        </w:rPr>
        <w:t xml:space="preserve">n 2016, the Victorian Government released the </w:t>
      </w:r>
      <w:r w:rsidR="009C79F6" w:rsidRPr="00546952">
        <w:rPr>
          <w:rFonts w:ascii="Palatino Linotype" w:hAnsi="Palatino Linotype" w:cs="Arial"/>
          <w:i/>
          <w:lang w:val="en-US"/>
        </w:rPr>
        <w:t>Access to Justice Review</w:t>
      </w:r>
      <w:r w:rsidR="00BF4621" w:rsidRPr="00546952">
        <w:rPr>
          <w:rFonts w:ascii="Palatino Linotype" w:hAnsi="Palatino Linotype" w:cs="Arial"/>
          <w:i/>
          <w:lang w:val="en-US"/>
        </w:rPr>
        <w:t xml:space="preserve"> (The Review</w:t>
      </w:r>
      <w:r w:rsidR="00722DE4" w:rsidRPr="00546952">
        <w:rPr>
          <w:rFonts w:ascii="Palatino Linotype" w:hAnsi="Palatino Linotype" w:cs="Arial"/>
          <w:i/>
          <w:lang w:val="en-US"/>
        </w:rPr>
        <w:t>),</w:t>
      </w:r>
      <w:r w:rsidR="00722DE4" w:rsidRPr="00546952">
        <w:rPr>
          <w:rFonts w:ascii="Palatino Linotype" w:hAnsi="Palatino Linotype" w:cs="Arial"/>
          <w:lang w:val="en-US"/>
        </w:rPr>
        <w:t xml:space="preserve"> which</w:t>
      </w:r>
      <w:r w:rsidR="00F973DD" w:rsidRPr="00546952">
        <w:rPr>
          <w:rFonts w:ascii="Palatino Linotype" w:hAnsi="Palatino Linotype" w:cs="Arial"/>
          <w:lang w:val="en-US"/>
        </w:rPr>
        <w:t xml:space="preserve"> </w:t>
      </w:r>
      <w:r w:rsidR="009C79F6" w:rsidRPr="00546952">
        <w:rPr>
          <w:rFonts w:ascii="Palatino Linotype" w:hAnsi="Palatino Linotype" w:cs="Arial"/>
          <w:lang w:val="en-US"/>
        </w:rPr>
        <w:t>identifie</w:t>
      </w:r>
      <w:r w:rsidR="00F61B07" w:rsidRPr="00546952">
        <w:rPr>
          <w:rFonts w:ascii="Palatino Linotype" w:hAnsi="Palatino Linotype" w:cs="Arial"/>
          <w:lang w:val="en-US"/>
        </w:rPr>
        <w:t>d</w:t>
      </w:r>
      <w:r w:rsidR="009C79F6" w:rsidRPr="00546952">
        <w:rPr>
          <w:rFonts w:ascii="Palatino Linotype" w:hAnsi="Palatino Linotype" w:cs="Arial"/>
          <w:lang w:val="en-US"/>
        </w:rPr>
        <w:t xml:space="preserve"> ways to help disadvantaged Victorians navigate the legal system and resolve everyday legal issues.</w:t>
      </w:r>
      <w:r w:rsidR="009C79F6" w:rsidRPr="00546952">
        <w:rPr>
          <w:rStyle w:val="FootnoteReference"/>
          <w:rFonts w:ascii="Palatino Linotype" w:hAnsi="Palatino Linotype" w:cs="Arial"/>
          <w:lang w:val="en-US"/>
        </w:rPr>
        <w:footnoteReference w:id="38"/>
      </w:r>
      <w:r w:rsidR="009C79F6" w:rsidRPr="00546952">
        <w:rPr>
          <w:rFonts w:ascii="Palatino Linotype" w:hAnsi="Palatino Linotype" w:cs="Arial"/>
          <w:lang w:val="en-US"/>
        </w:rPr>
        <w:t xml:space="preserve"> The review buil</w:t>
      </w:r>
      <w:r w:rsidR="00FB292C" w:rsidRPr="00546952">
        <w:rPr>
          <w:rFonts w:ascii="Palatino Linotype" w:hAnsi="Palatino Linotype" w:cs="Arial"/>
          <w:lang w:val="en-US"/>
        </w:rPr>
        <w:t>t</w:t>
      </w:r>
      <w:r w:rsidR="009C79F6" w:rsidRPr="00546952">
        <w:rPr>
          <w:rFonts w:ascii="Palatino Linotype" w:hAnsi="Palatino Linotype" w:cs="Arial"/>
          <w:lang w:val="en-US"/>
        </w:rPr>
        <w:t xml:space="preserve"> on the Productivity Commission's 2014 </w:t>
      </w:r>
      <w:r w:rsidR="009C79F6" w:rsidRPr="00546952">
        <w:rPr>
          <w:rFonts w:ascii="Palatino Linotype" w:hAnsi="Palatino Linotype" w:cs="Arial"/>
          <w:i/>
          <w:lang w:val="en-US"/>
        </w:rPr>
        <w:t xml:space="preserve">Access to Justice Arrangements: Inquiry </w:t>
      </w:r>
      <w:r w:rsidR="009C79F6" w:rsidRPr="00546952">
        <w:rPr>
          <w:rFonts w:ascii="Palatino Linotype" w:hAnsi="Palatino Linotype" w:cs="Arial"/>
          <w:lang w:val="en-US"/>
        </w:rPr>
        <w:t>report</w:t>
      </w:r>
      <w:r w:rsidR="00F42CCA" w:rsidRPr="00546952">
        <w:rPr>
          <w:rFonts w:ascii="Palatino Linotype" w:hAnsi="Palatino Linotype" w:cs="Arial"/>
          <w:lang w:val="en-US"/>
        </w:rPr>
        <w:t>,</w:t>
      </w:r>
      <w:r w:rsidR="009C79F6" w:rsidRPr="00546952">
        <w:rPr>
          <w:rFonts w:ascii="Palatino Linotype" w:hAnsi="Palatino Linotype" w:cs="Arial"/>
          <w:lang w:val="en-US"/>
        </w:rPr>
        <w:t xml:space="preserve"> which found there were concerns across the country that the justice system was too slow, expensive and adversarial. The recommendations </w:t>
      </w:r>
      <w:r w:rsidR="00BF4621" w:rsidRPr="00546952">
        <w:rPr>
          <w:rFonts w:ascii="Palatino Linotype" w:hAnsi="Palatino Linotype" w:cs="Arial"/>
          <w:lang w:val="en-US"/>
        </w:rPr>
        <w:t xml:space="preserve">in </w:t>
      </w:r>
      <w:r w:rsidR="00BF4621" w:rsidRPr="00546952">
        <w:rPr>
          <w:rFonts w:ascii="Palatino Linotype" w:hAnsi="Palatino Linotype" w:cs="Arial"/>
          <w:i/>
          <w:lang w:val="en-US"/>
        </w:rPr>
        <w:t>T</w:t>
      </w:r>
      <w:r w:rsidR="00F42CCA" w:rsidRPr="00546952">
        <w:rPr>
          <w:rFonts w:ascii="Palatino Linotype" w:hAnsi="Palatino Linotype" w:cs="Arial"/>
          <w:i/>
          <w:lang w:val="en-US"/>
        </w:rPr>
        <w:t>he</w:t>
      </w:r>
      <w:r w:rsidR="00F42CCA" w:rsidRPr="00546952">
        <w:rPr>
          <w:rFonts w:ascii="Palatino Linotype" w:hAnsi="Palatino Linotype" w:cs="Arial"/>
          <w:lang w:val="en-US"/>
        </w:rPr>
        <w:t xml:space="preserve"> </w:t>
      </w:r>
      <w:r w:rsidR="00F42CCA" w:rsidRPr="00546952">
        <w:rPr>
          <w:rFonts w:ascii="Palatino Linotype" w:hAnsi="Palatino Linotype" w:cs="Arial"/>
          <w:i/>
          <w:lang w:val="en-US"/>
        </w:rPr>
        <w:t>Review</w:t>
      </w:r>
      <w:r w:rsidR="00F42CCA" w:rsidRPr="00546952">
        <w:rPr>
          <w:rFonts w:ascii="Palatino Linotype" w:hAnsi="Palatino Linotype" w:cs="Arial"/>
          <w:lang w:val="en-US"/>
        </w:rPr>
        <w:t xml:space="preserve"> </w:t>
      </w:r>
      <w:r w:rsidR="009C79F6" w:rsidRPr="00546952">
        <w:rPr>
          <w:rFonts w:ascii="Palatino Linotype" w:hAnsi="Palatino Linotype" w:cs="Arial"/>
          <w:lang w:val="en-US"/>
        </w:rPr>
        <w:t>cover</w:t>
      </w:r>
      <w:r w:rsidR="00F43F30" w:rsidRPr="00546952">
        <w:rPr>
          <w:rFonts w:ascii="Palatino Linotype" w:hAnsi="Palatino Linotype" w:cs="Arial"/>
          <w:lang w:val="en-US"/>
        </w:rPr>
        <w:t>ed</w:t>
      </w:r>
      <w:r w:rsidR="009C79F6" w:rsidRPr="00546952">
        <w:rPr>
          <w:rFonts w:ascii="Palatino Linotype" w:hAnsi="Palatino Linotype" w:cs="Arial"/>
          <w:lang w:val="en-US"/>
        </w:rPr>
        <w:t xml:space="preserve"> a wide range of areas, including: greater use of ADR </w:t>
      </w:r>
      <w:r w:rsidR="00F42CCA" w:rsidRPr="00546952">
        <w:rPr>
          <w:rFonts w:ascii="Palatino Linotype" w:hAnsi="Palatino Linotype" w:cs="Arial"/>
          <w:lang w:val="en-US"/>
        </w:rPr>
        <w:t xml:space="preserve">for public bodies, including the courts and </w:t>
      </w:r>
      <w:r w:rsidR="009C79F6" w:rsidRPr="00546952">
        <w:rPr>
          <w:rFonts w:ascii="Palatino Linotype" w:hAnsi="Palatino Linotype" w:cs="Arial"/>
          <w:lang w:val="en-US"/>
        </w:rPr>
        <w:t>VCAT</w:t>
      </w:r>
      <w:r w:rsidR="00F42CCA" w:rsidRPr="00546952">
        <w:rPr>
          <w:rFonts w:ascii="Palatino Linotype" w:hAnsi="Palatino Linotype" w:cs="Arial"/>
          <w:lang w:val="en-US"/>
        </w:rPr>
        <w:t>.</w:t>
      </w:r>
      <w:r w:rsidR="00F42CCA" w:rsidRPr="00546952">
        <w:rPr>
          <w:rStyle w:val="FootnoteReference"/>
          <w:rFonts w:ascii="Palatino Linotype" w:hAnsi="Palatino Linotype" w:cs="Arial"/>
          <w:lang w:val="en-US"/>
        </w:rPr>
        <w:footnoteReference w:id="39"/>
      </w:r>
      <w:r w:rsidR="009C79F6" w:rsidRPr="00546952">
        <w:rPr>
          <w:rFonts w:ascii="Palatino Linotype" w:hAnsi="Palatino Linotype" w:cs="Arial"/>
          <w:lang w:val="en-US"/>
        </w:rPr>
        <w:t xml:space="preserve"> </w:t>
      </w:r>
      <w:r w:rsidR="00F42CCA" w:rsidRPr="00546952">
        <w:rPr>
          <w:rFonts w:ascii="Palatino Linotype" w:hAnsi="Palatino Linotype" w:cs="Arial"/>
          <w:lang w:val="en-US"/>
        </w:rPr>
        <w:t>More specifically it was recommended that written guidelines be developed to aid decision-making, and promote transparency and consistency in relation to potential referrals to ADR.</w:t>
      </w:r>
      <w:r w:rsidR="00F42CCA" w:rsidRPr="00546952">
        <w:rPr>
          <w:rStyle w:val="FootnoteReference"/>
          <w:rFonts w:ascii="Palatino Linotype" w:hAnsi="Palatino Linotype" w:cs="Arial"/>
          <w:lang w:val="en-US"/>
        </w:rPr>
        <w:footnoteReference w:id="40"/>
      </w:r>
      <w:r w:rsidR="00CE6219" w:rsidRPr="00546952">
        <w:rPr>
          <w:rFonts w:ascii="Palatino Linotype" w:hAnsi="Palatino Linotype" w:cs="Arial"/>
          <w:i/>
          <w:lang w:val="en-US"/>
        </w:rPr>
        <w:t>The</w:t>
      </w:r>
      <w:r w:rsidR="00CE6219" w:rsidRPr="00546952">
        <w:rPr>
          <w:rFonts w:ascii="Palatino Linotype" w:hAnsi="Palatino Linotype" w:cs="Arial"/>
          <w:lang w:val="en-US"/>
        </w:rPr>
        <w:t xml:space="preserve"> </w:t>
      </w:r>
      <w:r w:rsidR="00CE6219" w:rsidRPr="00546952">
        <w:rPr>
          <w:rFonts w:ascii="Palatino Linotype" w:hAnsi="Palatino Linotype" w:cs="Arial"/>
          <w:i/>
          <w:lang w:val="en-US"/>
        </w:rPr>
        <w:lastRenderedPageBreak/>
        <w:t>Review</w:t>
      </w:r>
      <w:r w:rsidR="00CE6219" w:rsidRPr="00546952">
        <w:rPr>
          <w:rFonts w:ascii="Palatino Linotype" w:hAnsi="Palatino Linotype" w:cs="Arial"/>
          <w:lang w:val="en-US"/>
        </w:rPr>
        <w:t xml:space="preserve"> went further to recommend that the courts consider continuing to use judicial registrars to conduct mediation and judicial resolution conferences where resources permit.</w:t>
      </w:r>
      <w:r w:rsidR="00CE6219" w:rsidRPr="00546952">
        <w:rPr>
          <w:rStyle w:val="FootnoteReference"/>
          <w:rFonts w:ascii="Palatino Linotype" w:hAnsi="Palatino Linotype" w:cs="Arial"/>
          <w:lang w:val="en-US"/>
        </w:rPr>
        <w:footnoteReference w:id="41"/>
      </w:r>
      <w:r w:rsidR="00CE6219" w:rsidRPr="00546952">
        <w:rPr>
          <w:rFonts w:ascii="Palatino Linotype" w:hAnsi="Palatino Linotype" w:cs="Arial"/>
          <w:lang w:val="en-US"/>
        </w:rPr>
        <w:t xml:space="preserve"> </w:t>
      </w:r>
      <w:r w:rsidR="00E6435F" w:rsidRPr="00546952">
        <w:rPr>
          <w:rFonts w:ascii="Palatino Linotype" w:hAnsi="Palatino Linotype" w:cs="Arial"/>
          <w:lang w:val="en-US"/>
        </w:rPr>
        <w:t>To facilitate this process, t</w:t>
      </w:r>
      <w:r w:rsidR="00C01A09" w:rsidRPr="00546952">
        <w:rPr>
          <w:rFonts w:ascii="Palatino Linotype" w:hAnsi="Palatino Linotype" w:cs="Arial"/>
          <w:lang w:val="en-US"/>
        </w:rPr>
        <w:t>he courts and VCAT are to consider developing a framework to facilitate communication regarding best practice in relation to ADR.</w:t>
      </w:r>
      <w:r w:rsidR="00C01A09" w:rsidRPr="00546952">
        <w:rPr>
          <w:rStyle w:val="FootnoteReference"/>
          <w:rFonts w:ascii="Palatino Linotype" w:hAnsi="Palatino Linotype" w:cs="Arial"/>
          <w:lang w:val="en-US"/>
        </w:rPr>
        <w:footnoteReference w:id="42"/>
      </w:r>
      <w:r w:rsidR="00EB6497" w:rsidRPr="00546952">
        <w:rPr>
          <w:rFonts w:ascii="Palatino Linotype" w:hAnsi="Palatino Linotype" w:cs="Arial"/>
          <w:lang w:val="en-US"/>
        </w:rPr>
        <w:t xml:space="preserve"> In addition, legislative changes </w:t>
      </w:r>
      <w:r w:rsidR="00190C87" w:rsidRPr="00546952">
        <w:rPr>
          <w:rFonts w:ascii="Palatino Linotype" w:hAnsi="Palatino Linotype" w:cs="Arial"/>
          <w:lang w:val="en-US"/>
        </w:rPr>
        <w:t>may be suggested to the Victorian Government that would enhance the use of ADR.</w:t>
      </w:r>
      <w:r w:rsidR="00190C87" w:rsidRPr="00546952">
        <w:rPr>
          <w:rStyle w:val="FootnoteReference"/>
          <w:rFonts w:ascii="Palatino Linotype" w:hAnsi="Palatino Linotype" w:cs="Arial"/>
          <w:lang w:val="en-US"/>
        </w:rPr>
        <w:footnoteReference w:id="43"/>
      </w:r>
      <w:r w:rsidR="00BF4621" w:rsidRPr="00546952">
        <w:rPr>
          <w:rFonts w:ascii="Palatino Linotype" w:hAnsi="Palatino Linotype" w:cs="Arial"/>
          <w:i/>
          <w:lang w:val="en-US"/>
        </w:rPr>
        <w:t xml:space="preserve">The </w:t>
      </w:r>
      <w:r w:rsidR="008F5F3C" w:rsidRPr="00546952">
        <w:rPr>
          <w:rFonts w:ascii="Palatino Linotype" w:hAnsi="Palatino Linotype" w:cs="Arial"/>
          <w:i/>
          <w:lang w:val="en-US"/>
        </w:rPr>
        <w:t>Review</w:t>
      </w:r>
      <w:r w:rsidR="008F5F3C" w:rsidRPr="00546952">
        <w:rPr>
          <w:rFonts w:ascii="Palatino Linotype" w:hAnsi="Palatino Linotype" w:cs="Arial"/>
          <w:lang w:val="en-US"/>
        </w:rPr>
        <w:t xml:space="preserve"> </w:t>
      </w:r>
      <w:r w:rsidR="00F52B3B" w:rsidRPr="00546952">
        <w:rPr>
          <w:rFonts w:ascii="Palatino Linotype" w:hAnsi="Palatino Linotype" w:cs="Arial"/>
          <w:lang w:val="en-US"/>
        </w:rPr>
        <w:t>recommendations</w:t>
      </w:r>
      <w:r w:rsidR="008F5F3C" w:rsidRPr="00546952">
        <w:rPr>
          <w:rFonts w:ascii="Palatino Linotype" w:hAnsi="Palatino Linotype" w:cs="Arial"/>
          <w:lang w:val="en-US"/>
        </w:rPr>
        <w:t xml:space="preserve"> went further to include</w:t>
      </w:r>
      <w:r w:rsidR="009C79F6" w:rsidRPr="00546952">
        <w:rPr>
          <w:rFonts w:ascii="Palatino Linotype" w:hAnsi="Palatino Linotype" w:cs="Arial"/>
          <w:lang w:val="en-US"/>
        </w:rPr>
        <w:t xml:space="preserve"> innovative online dispute resolution</w:t>
      </w:r>
      <w:r w:rsidR="00F52B3B" w:rsidRPr="00546952">
        <w:rPr>
          <w:rFonts w:ascii="Palatino Linotype" w:hAnsi="Palatino Linotype" w:cs="Arial"/>
        </w:rPr>
        <w:t xml:space="preserve"> for civil claims which could provide a model for a more flexible and proportionate way of dealing with small civil claims, and could provide a model for efficiencies in other areas of law in the future, including minor criminal matters such as traffic offences</w:t>
      </w:r>
      <w:r w:rsidR="009C79F6" w:rsidRPr="00546952">
        <w:rPr>
          <w:rFonts w:ascii="Palatino Linotype" w:hAnsi="Palatino Linotype" w:cs="Arial"/>
          <w:lang w:val="en-US"/>
        </w:rPr>
        <w:t>.</w:t>
      </w:r>
      <w:r w:rsidR="009C79F6" w:rsidRPr="00546952">
        <w:rPr>
          <w:rStyle w:val="FootnoteReference"/>
          <w:rFonts w:ascii="Palatino Linotype" w:hAnsi="Palatino Linotype" w:cs="Arial"/>
          <w:lang w:val="en-US"/>
        </w:rPr>
        <w:footnoteReference w:id="44"/>
      </w:r>
    </w:p>
    <w:p w14:paraId="006E147F" w14:textId="26E76803"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There has also been interest over the past decade in the creation of pre-litigation or pre-filing ADR obligations.</w:t>
      </w:r>
      <w:r w:rsidRPr="00546952">
        <w:rPr>
          <w:rStyle w:val="FootnoteReference"/>
          <w:rFonts w:ascii="Palatino Linotype" w:hAnsi="Palatino Linotype" w:cs="Arial"/>
          <w:lang w:val="en-US"/>
        </w:rPr>
        <w:footnoteReference w:id="45"/>
      </w:r>
      <w:r w:rsidRPr="00546952">
        <w:rPr>
          <w:rFonts w:ascii="Palatino Linotype" w:hAnsi="Palatino Linotype" w:cs="Arial"/>
          <w:lang w:val="en-US"/>
        </w:rPr>
        <w:t xml:space="preserve"> </w:t>
      </w:r>
      <w:r w:rsidR="00D641F3" w:rsidRPr="00546952">
        <w:rPr>
          <w:rFonts w:ascii="Palatino Linotype" w:hAnsi="Palatino Linotype" w:cs="Arial"/>
          <w:lang w:val="en-US"/>
        </w:rPr>
        <w:t>T</w:t>
      </w:r>
      <w:r w:rsidRPr="00546952">
        <w:rPr>
          <w:rFonts w:ascii="Palatino Linotype" w:hAnsi="Palatino Linotype" w:cs="Arial"/>
          <w:lang w:val="en-US"/>
        </w:rPr>
        <w:t xml:space="preserve">hese obligations essentially require </w:t>
      </w:r>
      <w:r w:rsidR="0096633A" w:rsidRPr="00546952">
        <w:rPr>
          <w:rFonts w:ascii="Palatino Linotype" w:hAnsi="Palatino Linotype" w:cs="Arial"/>
          <w:lang w:val="en-US"/>
        </w:rPr>
        <w:t xml:space="preserve">individuals or </w:t>
      </w:r>
      <w:proofErr w:type="spellStart"/>
      <w:r w:rsidR="0096633A" w:rsidRPr="00546952">
        <w:rPr>
          <w:rFonts w:ascii="Palatino Linotype" w:hAnsi="Palatino Linotype" w:cs="Arial"/>
          <w:lang w:val="en-US"/>
        </w:rPr>
        <w:t>organisations</w:t>
      </w:r>
      <w:proofErr w:type="spellEnd"/>
      <w:r w:rsidR="0096633A" w:rsidRPr="00546952">
        <w:rPr>
          <w:rFonts w:ascii="Palatino Linotype" w:hAnsi="Palatino Linotype" w:cs="Arial"/>
          <w:lang w:val="en-US"/>
        </w:rPr>
        <w:t xml:space="preserve"> to attempt to resolve their differences</w:t>
      </w:r>
      <w:r w:rsidRPr="00546952">
        <w:rPr>
          <w:rFonts w:ascii="Palatino Linotype" w:hAnsi="Palatino Linotype" w:cs="Arial"/>
          <w:lang w:val="en-US"/>
        </w:rPr>
        <w:t xml:space="preserve"> before commencing court or tribunal proceedings.</w:t>
      </w:r>
      <w:r w:rsidRPr="00546952">
        <w:rPr>
          <w:rStyle w:val="FootnoteReference"/>
          <w:rFonts w:ascii="Palatino Linotype" w:hAnsi="Palatino Linotype" w:cs="Arial"/>
          <w:lang w:val="en-US"/>
        </w:rPr>
        <w:footnoteReference w:id="46"/>
      </w:r>
      <w:r w:rsidRPr="00546952">
        <w:rPr>
          <w:rFonts w:ascii="Palatino Linotype" w:hAnsi="Palatino Linotype" w:cs="Arial"/>
          <w:lang w:val="en-US"/>
        </w:rPr>
        <w:t xml:space="preserve"> Some of the most comprehensive pre-litigation ADR requirements in Australia are evident in family law</w:t>
      </w:r>
      <w:r w:rsidR="0096633A" w:rsidRPr="00546952">
        <w:rPr>
          <w:rFonts w:ascii="Palatino Linotype" w:hAnsi="Palatino Linotype" w:cs="Arial"/>
          <w:lang w:val="en-US"/>
        </w:rPr>
        <w:t>, via</w:t>
      </w:r>
      <w:r w:rsidRPr="00546952">
        <w:rPr>
          <w:rFonts w:ascii="Palatino Linotype" w:hAnsi="Palatino Linotype" w:cs="Arial"/>
          <w:lang w:val="en-US"/>
        </w:rPr>
        <w:t xml:space="preserve"> changes introduced in 2006. These changes included the introduction of a new hearing model in relation to children’s matters (less adversarial trial (LAT) </w:t>
      </w:r>
      <w:r w:rsidRPr="00546952">
        <w:rPr>
          <w:rFonts w:ascii="Palatino Linotype" w:hAnsi="Palatino Linotype" w:cs="Arial"/>
          <w:lang w:val="en-US"/>
        </w:rPr>
        <w:lastRenderedPageBreak/>
        <w:t>model)</w:t>
      </w:r>
      <w:r w:rsidR="00A4491E" w:rsidRPr="00546952">
        <w:rPr>
          <w:rFonts w:ascii="Palatino Linotype" w:hAnsi="Palatino Linotype" w:cs="Arial"/>
          <w:lang w:val="en-US"/>
        </w:rPr>
        <w:t>,</w:t>
      </w:r>
      <w:r w:rsidRPr="00546952">
        <w:rPr>
          <w:rStyle w:val="FootnoteReference"/>
          <w:rFonts w:ascii="Palatino Linotype" w:hAnsi="Palatino Linotype" w:cs="Arial"/>
          <w:lang w:val="en-US"/>
        </w:rPr>
        <w:footnoteReference w:id="47"/>
      </w:r>
      <w:r w:rsidR="00D544A2" w:rsidRPr="00546952">
        <w:rPr>
          <w:rFonts w:ascii="Palatino Linotype" w:hAnsi="Palatino Linotype" w:cs="Arial"/>
          <w:lang w:val="en-US"/>
        </w:rPr>
        <w:t xml:space="preserve"> </w:t>
      </w:r>
      <w:r w:rsidRPr="00546952">
        <w:rPr>
          <w:rFonts w:ascii="Palatino Linotype" w:hAnsi="Palatino Linotype" w:cs="Arial"/>
          <w:lang w:val="en-US"/>
        </w:rPr>
        <w:t>as well as implementing family dispute resolution (FDR), which is largely conducted outside the courts. These changes have resulted in a dramatic reduction in the filing of cases in the Family Court.</w:t>
      </w:r>
      <w:r w:rsidRPr="00546952">
        <w:rPr>
          <w:rStyle w:val="FootnoteReference"/>
          <w:rFonts w:ascii="Palatino Linotype" w:hAnsi="Palatino Linotype" w:cs="Arial"/>
          <w:lang w:val="en-US"/>
        </w:rPr>
        <w:footnoteReference w:id="48"/>
      </w:r>
      <w:r w:rsidRPr="00546952">
        <w:rPr>
          <w:rFonts w:ascii="Palatino Linotype" w:hAnsi="Palatino Linotype" w:cs="Arial"/>
          <w:lang w:val="en-US"/>
        </w:rPr>
        <w:t xml:space="preserve"> Amendments to the </w:t>
      </w:r>
      <w:r w:rsidRPr="00546952">
        <w:rPr>
          <w:rFonts w:ascii="Palatino Linotype" w:hAnsi="Palatino Linotype" w:cs="Arial"/>
          <w:i/>
          <w:lang w:val="en-US"/>
        </w:rPr>
        <w:t>Family Law Act (1975) (</w:t>
      </w:r>
      <w:proofErr w:type="spellStart"/>
      <w:r w:rsidRPr="00546952">
        <w:rPr>
          <w:rFonts w:ascii="Palatino Linotype" w:hAnsi="Palatino Linotype" w:cs="Arial"/>
          <w:i/>
          <w:lang w:val="en-US"/>
        </w:rPr>
        <w:t>Cth</w:t>
      </w:r>
      <w:proofErr w:type="spellEnd"/>
      <w:r w:rsidRPr="00546952">
        <w:rPr>
          <w:rFonts w:ascii="Palatino Linotype" w:hAnsi="Palatino Linotype" w:cs="Arial"/>
          <w:i/>
          <w:lang w:val="en-US"/>
        </w:rPr>
        <w:t xml:space="preserve">) </w:t>
      </w:r>
      <w:r w:rsidRPr="00546952">
        <w:rPr>
          <w:rFonts w:ascii="Palatino Linotype" w:hAnsi="Palatino Linotype" w:cs="Arial"/>
          <w:lang w:val="en-US"/>
        </w:rPr>
        <w:t xml:space="preserve">in 2007 mean that if a party wishes to apply to the court for parenting orders under Pt VII of the Act, they first need to attend FDR. The process is outlined in the </w:t>
      </w:r>
      <w:r w:rsidRPr="00546952">
        <w:rPr>
          <w:rFonts w:ascii="Palatino Linotype" w:hAnsi="Palatino Linotype" w:cs="Arial"/>
          <w:i/>
          <w:lang w:val="en-US"/>
        </w:rPr>
        <w:t>Family Law Act (1975) (</w:t>
      </w:r>
      <w:proofErr w:type="spellStart"/>
      <w:r w:rsidRPr="00546952">
        <w:rPr>
          <w:rFonts w:ascii="Palatino Linotype" w:hAnsi="Palatino Linotype" w:cs="Arial"/>
          <w:i/>
          <w:lang w:val="en-US"/>
        </w:rPr>
        <w:t>Cth</w:t>
      </w:r>
      <w:proofErr w:type="spellEnd"/>
      <w:r w:rsidRPr="00546952">
        <w:rPr>
          <w:rFonts w:ascii="Palatino Linotype" w:hAnsi="Palatino Linotype" w:cs="Arial"/>
          <w:i/>
          <w:lang w:val="en-US"/>
        </w:rPr>
        <w:t xml:space="preserve">), </w:t>
      </w:r>
      <w:proofErr w:type="spellStart"/>
      <w:r w:rsidRPr="00546952">
        <w:rPr>
          <w:rFonts w:ascii="Palatino Linotype" w:hAnsi="Palatino Linotype" w:cs="Arial"/>
          <w:lang w:val="en-US"/>
        </w:rPr>
        <w:t>Ss</w:t>
      </w:r>
      <w:proofErr w:type="spellEnd"/>
      <w:r w:rsidRPr="00546952">
        <w:rPr>
          <w:rFonts w:ascii="Palatino Linotype" w:hAnsi="Palatino Linotype" w:cs="Arial"/>
          <w:lang w:val="en-US"/>
        </w:rPr>
        <w:t xml:space="preserve"> </w:t>
      </w:r>
      <w:proofErr w:type="gramStart"/>
      <w:r w:rsidRPr="00546952">
        <w:rPr>
          <w:rFonts w:ascii="Palatino Linotype" w:hAnsi="Palatino Linotype" w:cs="Arial"/>
          <w:lang w:val="en-US"/>
        </w:rPr>
        <w:t>60l(</w:t>
      </w:r>
      <w:proofErr w:type="gramEnd"/>
      <w:r w:rsidRPr="00546952">
        <w:rPr>
          <w:rFonts w:ascii="Palatino Linotype" w:hAnsi="Palatino Linotype" w:cs="Arial"/>
          <w:lang w:val="en-US"/>
        </w:rPr>
        <w:t>7). Such changes to civil procedure and family law are evidence of the commitment of governments to encourage settlement prior to litigation through the use of ADR.</w:t>
      </w:r>
      <w:r w:rsidRPr="00546952">
        <w:rPr>
          <w:rStyle w:val="FootnoteReference"/>
          <w:rFonts w:ascii="Palatino Linotype" w:hAnsi="Palatino Linotype" w:cs="Arial"/>
          <w:lang w:val="en-US"/>
        </w:rPr>
        <w:footnoteReference w:id="49"/>
      </w:r>
      <w:r w:rsidRPr="00546952">
        <w:rPr>
          <w:rFonts w:ascii="Palatino Linotype" w:hAnsi="Palatino Linotype" w:cs="Arial"/>
          <w:lang w:val="en-US"/>
        </w:rPr>
        <w:t xml:space="preserve"> In addition, there has recently been a marked growth in industry-based, private, government and community-supported dispute resolution schemes.</w:t>
      </w:r>
      <w:r w:rsidRPr="00546952">
        <w:rPr>
          <w:rStyle w:val="FootnoteReference"/>
          <w:rFonts w:ascii="Palatino Linotype" w:hAnsi="Palatino Linotype" w:cs="Arial"/>
          <w:lang w:val="en-US"/>
        </w:rPr>
        <w:footnoteReference w:id="50"/>
      </w:r>
      <w:r w:rsidRPr="00546952">
        <w:rPr>
          <w:rFonts w:ascii="Palatino Linotype" w:hAnsi="Palatino Linotype" w:cs="Arial"/>
          <w:lang w:val="en-US"/>
        </w:rPr>
        <w:t xml:space="preserve"> </w:t>
      </w:r>
    </w:p>
    <w:p w14:paraId="32543F12" w14:textId="5F11F81F" w:rsidR="009C79F6" w:rsidRPr="00546952" w:rsidRDefault="0096633A" w:rsidP="00546952">
      <w:pPr>
        <w:widowControl w:val="0"/>
        <w:autoSpaceDE w:val="0"/>
        <w:autoSpaceDN w:val="0"/>
        <w:adjustRightInd w:val="0"/>
        <w:spacing w:line="480" w:lineRule="auto"/>
        <w:jc w:val="both"/>
        <w:rPr>
          <w:rFonts w:ascii="Palatino Linotype" w:hAnsi="Palatino Linotype" w:cs="Arial"/>
          <w:bCs/>
          <w:lang w:val="en-US"/>
        </w:rPr>
      </w:pPr>
      <w:r w:rsidRPr="00546952">
        <w:rPr>
          <w:rFonts w:ascii="Palatino Linotype" w:hAnsi="Palatino Linotype" w:cs="Arial"/>
          <w:bCs/>
          <w:lang w:val="en-US"/>
        </w:rPr>
        <w:t>The increasing emphasis on ADR represents a</w:t>
      </w:r>
      <w:r w:rsidR="009C79F6" w:rsidRPr="00546952">
        <w:rPr>
          <w:rFonts w:ascii="Palatino Linotype" w:hAnsi="Palatino Linotype" w:cs="Arial"/>
          <w:bCs/>
          <w:lang w:val="en-US"/>
        </w:rPr>
        <w:t xml:space="preserve"> significant change to Australian legal practice. </w:t>
      </w:r>
      <w:r w:rsidR="009C79F6" w:rsidRPr="00546952">
        <w:rPr>
          <w:rFonts w:ascii="Palatino Linotype" w:hAnsi="Palatino Linotype" w:cs="Arial"/>
          <w:lang w:val="en-US"/>
        </w:rPr>
        <w:t>For law stud</w:t>
      </w:r>
      <w:r w:rsidR="005A21FE" w:rsidRPr="00546952">
        <w:rPr>
          <w:rFonts w:ascii="Palatino Linotype" w:hAnsi="Palatino Linotype" w:cs="Arial"/>
          <w:lang w:val="en-US"/>
        </w:rPr>
        <w:t xml:space="preserve">ents, knowledge of these changes and an education as to </w:t>
      </w:r>
      <w:r w:rsidR="009C79F6" w:rsidRPr="00546952">
        <w:rPr>
          <w:rFonts w:ascii="Palatino Linotype" w:hAnsi="Palatino Linotype" w:cs="Arial"/>
          <w:lang w:val="en-US"/>
        </w:rPr>
        <w:t>ADR skills</w:t>
      </w:r>
      <w:r w:rsidR="005A21FE" w:rsidRPr="00546952">
        <w:rPr>
          <w:rFonts w:ascii="Palatino Linotype" w:hAnsi="Palatino Linotype" w:cs="Arial"/>
          <w:lang w:val="en-US"/>
        </w:rPr>
        <w:t xml:space="preserve"> are essential</w:t>
      </w:r>
      <w:r w:rsidR="009C79F6" w:rsidRPr="00546952">
        <w:rPr>
          <w:rFonts w:ascii="Palatino Linotype" w:hAnsi="Palatino Linotype" w:cs="Arial"/>
          <w:lang w:val="en-US"/>
        </w:rPr>
        <w:t xml:space="preserve"> for the effectiveness of the </w:t>
      </w:r>
      <w:r w:rsidR="00691A65" w:rsidRPr="00546952">
        <w:rPr>
          <w:rFonts w:ascii="Palatino Linotype" w:hAnsi="Palatino Linotype" w:cs="Arial"/>
          <w:lang w:val="en-US"/>
        </w:rPr>
        <w:t>‘</w:t>
      </w:r>
      <w:r w:rsidR="009C79F6" w:rsidRPr="00546952">
        <w:rPr>
          <w:rFonts w:ascii="Palatino Linotype" w:hAnsi="Palatino Linotype" w:cs="Arial"/>
          <w:lang w:val="en-US"/>
        </w:rPr>
        <w:t>new lawyer</w:t>
      </w:r>
      <w:r w:rsidR="00691A65" w:rsidRPr="00546952">
        <w:rPr>
          <w:rFonts w:ascii="Palatino Linotype" w:hAnsi="Palatino Linotype" w:cs="Arial"/>
          <w:lang w:val="en-US"/>
        </w:rPr>
        <w:t>’</w:t>
      </w:r>
      <w:r w:rsidR="009C79F6" w:rsidRPr="00546952">
        <w:rPr>
          <w:rFonts w:ascii="Palatino Linotype" w:hAnsi="Palatino Linotype" w:cs="Arial"/>
          <w:lang w:val="en-US"/>
        </w:rPr>
        <w:t xml:space="preserve"> who will </w:t>
      </w:r>
      <w:r w:rsidR="00413566" w:rsidRPr="00546952">
        <w:rPr>
          <w:rFonts w:ascii="Palatino Linotype" w:hAnsi="Palatino Linotype" w:cs="Arial"/>
          <w:lang w:val="en-US"/>
        </w:rPr>
        <w:t>be entering legal practice.</w:t>
      </w:r>
      <w:r w:rsidR="009C79F6" w:rsidRPr="00546952">
        <w:rPr>
          <w:rStyle w:val="FootnoteReference"/>
          <w:rFonts w:ascii="Palatino Linotype" w:hAnsi="Palatino Linotype" w:cs="Arial"/>
          <w:lang w:val="en-US"/>
        </w:rPr>
        <w:footnoteReference w:id="51"/>
      </w:r>
      <w:r w:rsidR="00DF1B58" w:rsidRPr="00546952">
        <w:rPr>
          <w:rFonts w:ascii="Palatino Linotype" w:hAnsi="Palatino Linotype" w:cs="Arial"/>
          <w:lang w:val="en-US"/>
        </w:rPr>
        <w:t xml:space="preserve"> </w:t>
      </w:r>
      <w:r w:rsidRPr="00546952">
        <w:rPr>
          <w:rFonts w:ascii="Palatino Linotype" w:hAnsi="Palatino Linotype" w:cs="Arial"/>
          <w:lang w:val="en-US"/>
        </w:rPr>
        <w:t>Although the teaching of ADR need not be confined to clinical settings, I argue that t</w:t>
      </w:r>
      <w:r w:rsidR="00CF6ACD" w:rsidRPr="00546952">
        <w:rPr>
          <w:rFonts w:ascii="Palatino Linotype" w:hAnsi="Palatino Linotype" w:cs="Arial"/>
          <w:lang w:val="en-US"/>
        </w:rPr>
        <w:t xml:space="preserve">hese changes have an impact on how law students are taught in </w:t>
      </w:r>
      <w:r w:rsidRPr="00546952">
        <w:rPr>
          <w:rFonts w:ascii="Palatino Linotype" w:hAnsi="Palatino Linotype" w:cs="Arial"/>
          <w:lang w:val="en-US"/>
        </w:rPr>
        <w:t>clinics</w:t>
      </w:r>
      <w:r w:rsidR="00CF6ACD" w:rsidRPr="00546952">
        <w:rPr>
          <w:rFonts w:ascii="Palatino Linotype" w:hAnsi="Palatino Linotype" w:cs="Arial"/>
          <w:lang w:val="en-US"/>
        </w:rPr>
        <w:t xml:space="preserve"> and how they are prepared for the skills they will </w:t>
      </w:r>
      <w:r w:rsidR="00CF6ACD" w:rsidRPr="00546952">
        <w:rPr>
          <w:rFonts w:ascii="Palatino Linotype" w:hAnsi="Palatino Linotype" w:cs="Arial"/>
          <w:lang w:val="en-US"/>
        </w:rPr>
        <w:lastRenderedPageBreak/>
        <w:t xml:space="preserve">require in their future legal practice. </w:t>
      </w:r>
      <w:r w:rsidR="008C05E7" w:rsidRPr="00546952">
        <w:rPr>
          <w:rFonts w:ascii="Palatino Linotype" w:hAnsi="Palatino Linotype" w:cs="Arial"/>
          <w:lang w:val="en-US"/>
        </w:rPr>
        <w:t xml:space="preserve">As I explain in the next section, there are other reasons why an appreciation of ADR is increasingly essential for the next generation of lawyers. </w:t>
      </w:r>
    </w:p>
    <w:p w14:paraId="76A8F88A" w14:textId="6B4EBF10" w:rsidR="009C79F6" w:rsidRPr="00546952" w:rsidRDefault="009C79F6" w:rsidP="00546952">
      <w:pPr>
        <w:widowControl w:val="0"/>
        <w:autoSpaceDE w:val="0"/>
        <w:autoSpaceDN w:val="0"/>
        <w:adjustRightInd w:val="0"/>
        <w:spacing w:line="480" w:lineRule="auto"/>
        <w:jc w:val="both"/>
        <w:rPr>
          <w:rFonts w:ascii="Palatino Linotype" w:hAnsi="Palatino Linotype" w:cs="Arial"/>
          <w:b/>
        </w:rPr>
      </w:pPr>
      <w:r w:rsidRPr="00546952">
        <w:rPr>
          <w:rFonts w:ascii="Palatino Linotype" w:hAnsi="Palatino Linotype" w:cs="Arial"/>
          <w:b/>
        </w:rPr>
        <w:t xml:space="preserve">The </w:t>
      </w:r>
      <w:r w:rsidR="00691A65" w:rsidRPr="00546952">
        <w:rPr>
          <w:rFonts w:ascii="Palatino Linotype" w:hAnsi="Palatino Linotype" w:cs="Arial"/>
          <w:b/>
        </w:rPr>
        <w:t>‘</w:t>
      </w:r>
      <w:r w:rsidRPr="00546952">
        <w:rPr>
          <w:rFonts w:ascii="Palatino Linotype" w:hAnsi="Palatino Linotype" w:cs="Arial"/>
          <w:b/>
        </w:rPr>
        <w:t>New Lawyer</w:t>
      </w:r>
      <w:r w:rsidR="00691A65" w:rsidRPr="00546952">
        <w:rPr>
          <w:rFonts w:ascii="Palatino Linotype" w:hAnsi="Palatino Linotype" w:cs="Arial"/>
          <w:b/>
        </w:rPr>
        <w:t>’</w:t>
      </w:r>
      <w:r w:rsidRPr="00546952">
        <w:rPr>
          <w:rFonts w:ascii="Palatino Linotype" w:hAnsi="Palatino Linotype" w:cs="Arial"/>
          <w:b/>
        </w:rPr>
        <w:t xml:space="preserve"> and </w:t>
      </w:r>
      <w:r w:rsidR="00691A65" w:rsidRPr="00546952">
        <w:rPr>
          <w:rFonts w:ascii="Palatino Linotype" w:hAnsi="Palatino Linotype" w:cs="Arial"/>
          <w:b/>
        </w:rPr>
        <w:t>‘</w:t>
      </w:r>
      <w:r w:rsidRPr="00546952">
        <w:rPr>
          <w:rFonts w:ascii="Palatino Linotype" w:hAnsi="Palatino Linotype" w:cs="Arial"/>
          <w:b/>
        </w:rPr>
        <w:t>the 21</w:t>
      </w:r>
      <w:r w:rsidRPr="00546952">
        <w:rPr>
          <w:rFonts w:ascii="Palatino Linotype" w:hAnsi="Palatino Linotype" w:cs="Arial"/>
          <w:b/>
          <w:vertAlign w:val="superscript"/>
        </w:rPr>
        <w:t>st</w:t>
      </w:r>
      <w:r w:rsidRPr="00546952">
        <w:rPr>
          <w:rFonts w:ascii="Palatino Linotype" w:hAnsi="Palatino Linotype" w:cs="Arial"/>
          <w:b/>
        </w:rPr>
        <w:t xml:space="preserve"> Century Lawyer</w:t>
      </w:r>
      <w:r w:rsidR="00691A65" w:rsidRPr="00546952">
        <w:rPr>
          <w:rFonts w:ascii="Palatino Linotype" w:hAnsi="Palatino Linotype" w:cs="Arial"/>
          <w:b/>
        </w:rPr>
        <w:t>’</w:t>
      </w:r>
      <w:r w:rsidRPr="00546952">
        <w:rPr>
          <w:rFonts w:ascii="Palatino Linotype" w:hAnsi="Palatino Linotype" w:cs="Arial"/>
          <w:b/>
        </w:rPr>
        <w:t xml:space="preserve"> </w:t>
      </w:r>
    </w:p>
    <w:p w14:paraId="6817C11F" w14:textId="060FECF1" w:rsidR="009C79F6" w:rsidRPr="00546952" w:rsidRDefault="00DB5E28"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rPr>
        <w:t xml:space="preserve">Macfarlane and Susskind </w:t>
      </w:r>
      <w:r w:rsidRPr="00546952">
        <w:rPr>
          <w:rStyle w:val="FootnoteReference"/>
          <w:rFonts w:ascii="Palatino Linotype" w:hAnsi="Palatino Linotype" w:cs="Arial"/>
        </w:rPr>
        <w:footnoteReference w:id="52"/>
      </w:r>
      <w:r w:rsidRPr="00546952">
        <w:rPr>
          <w:rFonts w:ascii="Palatino Linotype" w:hAnsi="Palatino Linotype" w:cs="Arial"/>
        </w:rPr>
        <w:t xml:space="preserve"> refer to lawyers entering into practice in the 21</w:t>
      </w:r>
      <w:r w:rsidRPr="00546952">
        <w:rPr>
          <w:rFonts w:ascii="Palatino Linotype" w:hAnsi="Palatino Linotype" w:cs="Arial"/>
          <w:vertAlign w:val="superscript"/>
        </w:rPr>
        <w:t>st</w:t>
      </w:r>
      <w:r w:rsidRPr="00546952">
        <w:rPr>
          <w:rFonts w:ascii="Palatino Linotype" w:hAnsi="Palatino Linotype" w:cs="Arial"/>
        </w:rPr>
        <w:t xml:space="preserve"> century</w:t>
      </w:r>
      <w:r w:rsidR="00DA0ADE" w:rsidRPr="00546952">
        <w:rPr>
          <w:rFonts w:ascii="Palatino Linotype" w:hAnsi="Palatino Linotype" w:cs="Arial"/>
        </w:rPr>
        <w:t xml:space="preserve"> as</w:t>
      </w:r>
      <w:r w:rsidRPr="00546952">
        <w:rPr>
          <w:rFonts w:ascii="Palatino Linotype" w:hAnsi="Palatino Linotype" w:cs="Arial"/>
        </w:rPr>
        <w:t xml:space="preserve"> </w:t>
      </w:r>
      <w:r w:rsidR="00691A65" w:rsidRPr="00546952">
        <w:rPr>
          <w:rFonts w:ascii="Palatino Linotype" w:hAnsi="Palatino Linotype" w:cs="Arial"/>
        </w:rPr>
        <w:t>‘</w:t>
      </w:r>
      <w:r w:rsidRPr="00546952">
        <w:rPr>
          <w:rFonts w:ascii="Palatino Linotype" w:hAnsi="Palatino Linotype" w:cs="Arial"/>
        </w:rPr>
        <w:t>new lawyers</w:t>
      </w:r>
      <w:r w:rsidR="00691A65" w:rsidRPr="00546952">
        <w:rPr>
          <w:rFonts w:ascii="Palatino Linotype" w:hAnsi="Palatino Linotype" w:cs="Arial"/>
        </w:rPr>
        <w:t>’</w:t>
      </w:r>
      <w:r w:rsidRPr="00546952">
        <w:rPr>
          <w:rFonts w:ascii="Palatino Linotype" w:hAnsi="Palatino Linotype" w:cs="Arial"/>
        </w:rPr>
        <w:t xml:space="preserve"> or </w:t>
      </w:r>
      <w:r w:rsidR="00691A65" w:rsidRPr="00546952">
        <w:rPr>
          <w:rFonts w:ascii="Palatino Linotype" w:hAnsi="Palatino Linotype" w:cs="Arial"/>
        </w:rPr>
        <w:t>‘</w:t>
      </w:r>
      <w:r w:rsidRPr="00546952">
        <w:rPr>
          <w:rFonts w:ascii="Palatino Linotype" w:hAnsi="Palatino Linotype" w:cs="Arial"/>
        </w:rPr>
        <w:t>21</w:t>
      </w:r>
      <w:r w:rsidRPr="00546952">
        <w:rPr>
          <w:rFonts w:ascii="Palatino Linotype" w:hAnsi="Palatino Linotype" w:cs="Arial"/>
          <w:vertAlign w:val="superscript"/>
        </w:rPr>
        <w:t>st</w:t>
      </w:r>
      <w:r w:rsidRPr="00546952">
        <w:rPr>
          <w:rFonts w:ascii="Palatino Linotype" w:hAnsi="Palatino Linotype" w:cs="Arial"/>
        </w:rPr>
        <w:t xml:space="preserve"> century lawyers</w:t>
      </w:r>
      <w:r w:rsidR="00691A65" w:rsidRPr="00546952">
        <w:rPr>
          <w:rFonts w:ascii="Palatino Linotype" w:hAnsi="Palatino Linotype" w:cs="Arial"/>
        </w:rPr>
        <w:t>’</w:t>
      </w:r>
      <w:r w:rsidRPr="00546952">
        <w:rPr>
          <w:rFonts w:ascii="Palatino Linotype" w:hAnsi="Palatino Linotype" w:cs="Arial"/>
        </w:rPr>
        <w:t xml:space="preserve">. </w:t>
      </w:r>
      <w:r w:rsidR="006352E7" w:rsidRPr="00546952">
        <w:rPr>
          <w:rFonts w:ascii="Palatino Linotype" w:hAnsi="Palatino Linotype" w:cs="Arial"/>
        </w:rPr>
        <w:t>According to these w</w:t>
      </w:r>
      <w:r w:rsidR="00DA0ADE" w:rsidRPr="00546952">
        <w:rPr>
          <w:rFonts w:ascii="Palatino Linotype" w:hAnsi="Palatino Linotype" w:cs="Arial"/>
        </w:rPr>
        <w:t>riters</w:t>
      </w:r>
      <w:r w:rsidR="006352E7" w:rsidRPr="00546952">
        <w:rPr>
          <w:rFonts w:ascii="Palatino Linotype" w:hAnsi="Palatino Linotype" w:cs="Arial"/>
        </w:rPr>
        <w:t>,</w:t>
      </w:r>
      <w:r w:rsidR="00DA0ADE" w:rsidRPr="00546952">
        <w:rPr>
          <w:rFonts w:ascii="Palatino Linotype" w:hAnsi="Palatino Linotype" w:cs="Arial"/>
        </w:rPr>
        <w:t xml:space="preserve"> </w:t>
      </w:r>
      <w:r w:rsidR="006352E7" w:rsidRPr="00546952">
        <w:rPr>
          <w:rFonts w:ascii="Palatino Linotype" w:hAnsi="Palatino Linotype" w:cs="Arial"/>
        </w:rPr>
        <w:t>m</w:t>
      </w:r>
      <w:r w:rsidR="009C79F6" w:rsidRPr="00546952">
        <w:rPr>
          <w:rFonts w:ascii="Palatino Linotype" w:hAnsi="Palatino Linotype" w:cs="Arial"/>
        </w:rPr>
        <w:t xml:space="preserve">ost of the changes that have occurred in legal practice arise from the client’s need to be involved in the legal process. This has resulted in the need for changes in the lawyers’ approach and attitude towards their clients, their management of the matters and their professional relationship towards the court and other professionals. Susskind is of the view that the three main drivers of change: the </w:t>
      </w:r>
      <w:r w:rsidR="003412A6" w:rsidRPr="00546952">
        <w:rPr>
          <w:rFonts w:ascii="Palatino Linotype" w:hAnsi="Palatino Linotype" w:cs="Arial"/>
        </w:rPr>
        <w:t>‘</w:t>
      </w:r>
      <w:r w:rsidR="009C79F6" w:rsidRPr="00546952">
        <w:rPr>
          <w:rFonts w:ascii="Palatino Linotype" w:hAnsi="Palatino Linotype" w:cs="Arial"/>
        </w:rPr>
        <w:t>more-for-less</w:t>
      </w:r>
      <w:r w:rsidR="003412A6" w:rsidRPr="00546952">
        <w:rPr>
          <w:rFonts w:ascii="Palatino Linotype" w:hAnsi="Palatino Linotype" w:cs="Arial"/>
        </w:rPr>
        <w:t>’</w:t>
      </w:r>
      <w:r w:rsidR="009C79F6" w:rsidRPr="00546952">
        <w:rPr>
          <w:rFonts w:ascii="Palatino Linotype" w:hAnsi="Palatino Linotype" w:cs="Arial"/>
        </w:rPr>
        <w:t xml:space="preserve"> challenge, liberalisation, and information technology essentially ‘drive immense and irreversible change</w:t>
      </w:r>
      <w:r w:rsidR="00F0081C" w:rsidRPr="00546952">
        <w:rPr>
          <w:rFonts w:ascii="Palatino Linotype" w:hAnsi="Palatino Linotype" w:cs="Arial"/>
        </w:rPr>
        <w:t xml:space="preserve"> in the way that lawyers work.’</w:t>
      </w:r>
      <w:r w:rsidR="009C79F6" w:rsidRPr="00546952">
        <w:rPr>
          <w:rStyle w:val="FootnoteReference"/>
          <w:rFonts w:ascii="Palatino Linotype" w:hAnsi="Palatino Linotype" w:cs="Arial"/>
        </w:rPr>
        <w:footnoteReference w:id="53"/>
      </w:r>
      <w:r w:rsidR="009C79F6" w:rsidRPr="00546952">
        <w:rPr>
          <w:rFonts w:ascii="Palatino Linotype" w:hAnsi="Palatino Linotype" w:cs="Arial"/>
        </w:rPr>
        <w:t xml:space="preserve"> The </w:t>
      </w:r>
      <w:r w:rsidR="003412A6" w:rsidRPr="00546952">
        <w:rPr>
          <w:rFonts w:ascii="Palatino Linotype" w:hAnsi="Palatino Linotype" w:cs="Arial"/>
        </w:rPr>
        <w:t>‘</w:t>
      </w:r>
      <w:r w:rsidR="009C79F6" w:rsidRPr="00546952">
        <w:rPr>
          <w:rFonts w:ascii="Palatino Linotype" w:hAnsi="Palatino Linotype" w:cs="Arial"/>
        </w:rPr>
        <w:t>more-for-less</w:t>
      </w:r>
      <w:r w:rsidR="003412A6" w:rsidRPr="00546952">
        <w:rPr>
          <w:rFonts w:ascii="Palatino Linotype" w:hAnsi="Palatino Linotype" w:cs="Arial"/>
        </w:rPr>
        <w:t>’</w:t>
      </w:r>
      <w:r w:rsidR="009C79F6" w:rsidRPr="00546952">
        <w:rPr>
          <w:rFonts w:ascii="Palatino Linotype" w:hAnsi="Palatino Linotype" w:cs="Arial"/>
        </w:rPr>
        <w:t xml:space="preserve"> challenge concerns the client’s need for legal service at </w:t>
      </w:r>
      <w:r w:rsidR="00CF43EA" w:rsidRPr="00546952">
        <w:rPr>
          <w:rFonts w:ascii="Palatino Linotype" w:hAnsi="Palatino Linotype" w:cs="Arial"/>
        </w:rPr>
        <w:t xml:space="preserve">a </w:t>
      </w:r>
      <w:r w:rsidR="009C79F6" w:rsidRPr="00546952">
        <w:rPr>
          <w:rFonts w:ascii="Palatino Linotype" w:hAnsi="Palatino Linotype" w:cs="Arial"/>
        </w:rPr>
        <w:t xml:space="preserve">lower cost. Clients of lawyers come in different forms. They may be individual citizens or large organisations, requiring a range of legal services. Although diverse in nature, what they all share is the </w:t>
      </w:r>
      <w:r w:rsidR="00B76D28" w:rsidRPr="00546952">
        <w:rPr>
          <w:rFonts w:ascii="Palatino Linotype" w:hAnsi="Palatino Linotype" w:cs="Arial"/>
        </w:rPr>
        <w:t xml:space="preserve">desire for legal services to be </w:t>
      </w:r>
      <w:r w:rsidR="00F0081C" w:rsidRPr="00546952">
        <w:rPr>
          <w:rFonts w:ascii="Palatino Linotype" w:hAnsi="Palatino Linotype" w:cs="Arial"/>
        </w:rPr>
        <w:t>delivered in an affordable way.</w:t>
      </w:r>
      <w:r w:rsidR="009C79F6" w:rsidRPr="00546952">
        <w:rPr>
          <w:rStyle w:val="FootnoteReference"/>
          <w:rFonts w:ascii="Palatino Linotype" w:hAnsi="Palatino Linotype" w:cs="Arial"/>
        </w:rPr>
        <w:footnoteReference w:id="54"/>
      </w:r>
      <w:r w:rsidR="009C79F6" w:rsidRPr="00546952">
        <w:rPr>
          <w:rFonts w:ascii="Palatino Linotype" w:hAnsi="Palatino Linotype" w:cs="Arial"/>
        </w:rPr>
        <w:t xml:space="preserve"> This, Susskind suggests, is one of the major challenges facing lawyers and clients today. How can lawyers </w:t>
      </w:r>
      <w:r w:rsidR="009C79F6" w:rsidRPr="00546952">
        <w:rPr>
          <w:rFonts w:ascii="Palatino Linotype" w:hAnsi="Palatino Linotype" w:cs="Arial"/>
        </w:rPr>
        <w:lastRenderedPageBreak/>
        <w:t>deliver more legal services at a lower cost?</w:t>
      </w:r>
      <w:r w:rsidR="00680763" w:rsidRPr="00546952">
        <w:rPr>
          <w:rFonts w:ascii="Palatino Linotype" w:hAnsi="Palatino Linotype" w:cs="Arial"/>
        </w:rPr>
        <w:t xml:space="preserve"> </w:t>
      </w:r>
      <w:r w:rsidR="009C79F6" w:rsidRPr="00546952">
        <w:rPr>
          <w:rStyle w:val="FootnoteReference"/>
          <w:rFonts w:ascii="Palatino Linotype" w:hAnsi="Palatino Linotype" w:cs="Arial"/>
        </w:rPr>
        <w:footnoteReference w:id="55"/>
      </w:r>
      <w:r w:rsidR="009C79F6" w:rsidRPr="00546952">
        <w:rPr>
          <w:rFonts w:ascii="Palatino Linotype" w:hAnsi="Palatino Linotype" w:cs="Arial"/>
        </w:rPr>
        <w:t xml:space="preserve"> </w:t>
      </w:r>
    </w:p>
    <w:p w14:paraId="50AAD21A" w14:textId="77777777" w:rsidR="009C79F6" w:rsidRPr="00546952" w:rsidRDefault="009C79F6" w:rsidP="00546952">
      <w:pPr>
        <w:widowControl w:val="0"/>
        <w:autoSpaceDE w:val="0"/>
        <w:autoSpaceDN w:val="0"/>
        <w:adjustRightInd w:val="0"/>
        <w:spacing w:line="480" w:lineRule="auto"/>
        <w:jc w:val="both"/>
        <w:rPr>
          <w:rFonts w:ascii="Palatino Linotype" w:hAnsi="Palatino Linotype" w:cs="Arial"/>
        </w:rPr>
      </w:pPr>
      <w:r w:rsidRPr="00546952">
        <w:rPr>
          <w:rFonts w:ascii="Palatino Linotype" w:hAnsi="Palatino Linotype" w:cs="Arial"/>
        </w:rPr>
        <w:t>Liberalisation, Susskind contends, concerns the flexibility that has arisen regarding who can be a lawyer. In the past, the practice of law has been strictly regulated with stipulations as to who can be a lawyer, who can run and own a legal business, and what services they can provide.</w:t>
      </w:r>
      <w:r w:rsidRPr="00546952">
        <w:rPr>
          <w:rStyle w:val="FootnoteReference"/>
          <w:rFonts w:ascii="Palatino Linotype" w:hAnsi="Palatino Linotype" w:cs="Arial"/>
        </w:rPr>
        <w:footnoteReference w:id="56"/>
      </w:r>
      <w:r w:rsidRPr="00546952">
        <w:rPr>
          <w:rFonts w:ascii="Palatino Linotype" w:hAnsi="Palatino Linotype" w:cs="Arial"/>
        </w:rPr>
        <w:t xml:space="preserve"> The justification for this, and rightly so, is the need to ensure that those providing legal advice be suitably trained and experienced. However, Susskind suggests, that while this is a valid argument, in reality, this ‘closed community of legal specialists does not seem to offer sufficient choice to the consumer.’</w:t>
      </w:r>
      <w:r w:rsidRPr="00546952">
        <w:rPr>
          <w:rStyle w:val="FootnoteReference"/>
          <w:rFonts w:ascii="Palatino Linotype" w:hAnsi="Palatino Linotype" w:cs="Arial"/>
        </w:rPr>
        <w:footnoteReference w:id="57"/>
      </w:r>
      <w:r w:rsidRPr="00546952">
        <w:rPr>
          <w:rFonts w:ascii="Palatino Linotype" w:hAnsi="Palatino Linotype" w:cs="Arial"/>
        </w:rPr>
        <w:t xml:space="preserve"> As such, over the last few years, many have advocated for a relaxation of the regulations and laws that govern who can offer legal services and from what types of business.</w:t>
      </w:r>
      <w:r w:rsidRPr="00546952">
        <w:rPr>
          <w:rStyle w:val="FootnoteReference"/>
          <w:rFonts w:ascii="Palatino Linotype" w:hAnsi="Palatino Linotype" w:cs="Arial"/>
        </w:rPr>
        <w:footnoteReference w:id="58"/>
      </w:r>
      <w:r w:rsidRPr="00546952">
        <w:rPr>
          <w:rFonts w:ascii="Palatino Linotype" w:hAnsi="Palatino Linotype" w:cs="Arial"/>
        </w:rPr>
        <w:t xml:space="preserve"> Susskind emphasises that these developments are of ‘profound significance and represent a major departure from conventional legal services.’</w:t>
      </w:r>
      <w:r w:rsidRPr="00546952">
        <w:rPr>
          <w:rStyle w:val="FootnoteReference"/>
          <w:rFonts w:ascii="Palatino Linotype" w:hAnsi="Palatino Linotype" w:cs="Arial"/>
        </w:rPr>
        <w:footnoteReference w:id="59"/>
      </w:r>
      <w:r w:rsidRPr="00546952">
        <w:rPr>
          <w:rFonts w:ascii="Palatino Linotype" w:hAnsi="Palatino Linotype" w:cs="Arial"/>
        </w:rPr>
        <w:t xml:space="preserve"> The idea behind this is to offer legal services in new, less costly, more client-friendly ways. The last of the three factors Susskind draws on is the impact of information technology on lawyers and courts.</w:t>
      </w:r>
      <w:r w:rsidRPr="00546952">
        <w:rPr>
          <w:rStyle w:val="FootnoteReference"/>
          <w:rFonts w:ascii="Palatino Linotype" w:hAnsi="Palatino Linotype" w:cs="Arial"/>
        </w:rPr>
        <w:footnoteReference w:id="60"/>
      </w:r>
      <w:r w:rsidRPr="00546952">
        <w:rPr>
          <w:rFonts w:ascii="Palatino Linotype" w:hAnsi="Palatino Linotype" w:cs="Arial"/>
        </w:rPr>
        <w:t xml:space="preserve"> New lawyers need to be familiar with the changes brought about by information technology and the connection between their social use of information technology and its </w:t>
      </w:r>
      <w:r w:rsidRPr="00546952">
        <w:rPr>
          <w:rFonts w:ascii="Palatino Linotype" w:hAnsi="Palatino Linotype" w:cs="Arial"/>
        </w:rPr>
        <w:lastRenderedPageBreak/>
        <w:t>introduction and potential in their working lives.</w:t>
      </w:r>
      <w:r w:rsidRPr="00546952">
        <w:rPr>
          <w:rStyle w:val="FootnoteReference"/>
          <w:rFonts w:ascii="Palatino Linotype" w:hAnsi="Palatino Linotype" w:cs="Arial"/>
        </w:rPr>
        <w:footnoteReference w:id="61"/>
      </w:r>
      <w:r w:rsidRPr="00546952">
        <w:rPr>
          <w:rFonts w:ascii="Palatino Linotype" w:hAnsi="Palatino Linotype" w:cs="Arial"/>
        </w:rPr>
        <w:t xml:space="preserve"> </w:t>
      </w:r>
    </w:p>
    <w:p w14:paraId="7DB7795B" w14:textId="1106A792" w:rsidR="00167BD7" w:rsidRPr="00546952" w:rsidRDefault="009C79F6" w:rsidP="00546952">
      <w:pPr>
        <w:widowControl w:val="0"/>
        <w:autoSpaceDE w:val="0"/>
        <w:autoSpaceDN w:val="0"/>
        <w:adjustRightInd w:val="0"/>
        <w:spacing w:line="480" w:lineRule="auto"/>
        <w:jc w:val="both"/>
        <w:rPr>
          <w:rFonts w:ascii="Palatino Linotype" w:hAnsi="Palatino Linotype" w:cs="Arial"/>
        </w:rPr>
      </w:pPr>
      <w:r w:rsidRPr="00546952">
        <w:rPr>
          <w:rFonts w:ascii="Palatino Linotype" w:hAnsi="Palatino Linotype" w:cs="Arial"/>
        </w:rPr>
        <w:t xml:space="preserve">Supporting Susskind’s views, Macfarlane focuses on the changes occurring in the lawyer-client relationship. She calls this the </w:t>
      </w:r>
      <w:r w:rsidR="00691A65" w:rsidRPr="00546952">
        <w:rPr>
          <w:rFonts w:ascii="Palatino Linotype" w:hAnsi="Palatino Linotype" w:cs="Arial"/>
        </w:rPr>
        <w:t>‘</w:t>
      </w:r>
      <w:r w:rsidR="000F4EF0" w:rsidRPr="00546952">
        <w:rPr>
          <w:rFonts w:ascii="Palatino Linotype" w:hAnsi="Palatino Linotype" w:cs="Arial"/>
          <w:lang w:val="en-US"/>
        </w:rPr>
        <w:t>vanishing trial</w:t>
      </w:r>
      <w:r w:rsidR="00691A65" w:rsidRPr="00546952">
        <w:rPr>
          <w:rFonts w:ascii="Palatino Linotype" w:hAnsi="Palatino Linotype" w:cs="Arial"/>
          <w:lang w:val="en-US"/>
        </w:rPr>
        <w:t xml:space="preserve">’ </w:t>
      </w:r>
      <w:r w:rsidR="00470F91" w:rsidRPr="00546952">
        <w:rPr>
          <w:rFonts w:ascii="Palatino Linotype" w:hAnsi="Palatino Linotype" w:cs="Arial"/>
          <w:lang w:val="en-US"/>
        </w:rPr>
        <w:t>phenomenon,</w:t>
      </w:r>
      <w:r w:rsidRPr="00546952">
        <w:rPr>
          <w:rStyle w:val="FootnoteReference"/>
          <w:rFonts w:ascii="Palatino Linotype" w:hAnsi="Palatino Linotype" w:cs="Arial"/>
          <w:lang w:val="en-US"/>
        </w:rPr>
        <w:footnoteReference w:id="62"/>
      </w:r>
      <w:r w:rsidRPr="00546952">
        <w:rPr>
          <w:rFonts w:ascii="Palatino Linotype" w:hAnsi="Palatino Linotype" w:cs="Arial"/>
          <w:lang w:val="en-US"/>
        </w:rPr>
        <w:t xml:space="preserve"> </w:t>
      </w:r>
      <w:r w:rsidR="00470F91" w:rsidRPr="00546952">
        <w:rPr>
          <w:rFonts w:ascii="Palatino Linotype" w:hAnsi="Palatino Linotype" w:cs="Arial"/>
          <w:lang w:val="en-US"/>
        </w:rPr>
        <w:t xml:space="preserve">where there is </w:t>
      </w:r>
      <w:r w:rsidRPr="00546952">
        <w:rPr>
          <w:rFonts w:ascii="Palatino Linotype" w:hAnsi="Palatino Linotype" w:cs="Arial"/>
          <w:lang w:val="en-US"/>
        </w:rPr>
        <w:t>a ‘98% civil settlement rate and the increasing use of negotiation, mediation, and collaboration in resolving lawsuits have dramatically altered the role of the lawyer.’</w:t>
      </w:r>
      <w:r w:rsidRPr="00546952">
        <w:rPr>
          <w:rStyle w:val="FootnoteReference"/>
          <w:rFonts w:ascii="Palatino Linotype" w:hAnsi="Palatino Linotype" w:cs="Arial"/>
          <w:lang w:val="en-US"/>
        </w:rPr>
        <w:footnoteReference w:id="63"/>
      </w:r>
      <w:r w:rsidRPr="00546952">
        <w:rPr>
          <w:rFonts w:ascii="Palatino Linotype" w:hAnsi="Palatino Linotype" w:cs="Arial"/>
          <w:lang w:val="en-US"/>
        </w:rPr>
        <w:t xml:space="preserve"> According to Macfarlane, ‘the traditional conception of the lawyer as </w:t>
      </w:r>
      <w:r w:rsidR="00691A65" w:rsidRPr="00546952">
        <w:rPr>
          <w:rFonts w:ascii="Palatino Linotype" w:hAnsi="Palatino Linotype" w:cs="Arial"/>
          <w:lang w:val="en-US"/>
        </w:rPr>
        <w:t>‘</w:t>
      </w:r>
      <w:r w:rsidRPr="00546952">
        <w:rPr>
          <w:rFonts w:ascii="Palatino Linotype" w:hAnsi="Palatino Linotype" w:cs="Arial"/>
          <w:lang w:val="en-US"/>
        </w:rPr>
        <w:t>rights warrior</w:t>
      </w:r>
      <w:r w:rsidR="00691A65" w:rsidRPr="00546952">
        <w:rPr>
          <w:rFonts w:ascii="Palatino Linotype" w:hAnsi="Palatino Linotype" w:cs="Arial"/>
          <w:lang w:val="en-US"/>
        </w:rPr>
        <w:t>’</w:t>
      </w:r>
      <w:r w:rsidRPr="00546952">
        <w:rPr>
          <w:rFonts w:ascii="Palatino Linotype" w:hAnsi="Palatino Linotype" w:cs="Arial"/>
          <w:lang w:val="en-US"/>
        </w:rPr>
        <w:t xml:space="preserve"> no longer satisfies client expectations, which center on value for money and practical problem solving rather than on expensive legal argument and arcane procedures.’</w:t>
      </w:r>
      <w:r w:rsidRPr="00546952">
        <w:rPr>
          <w:rStyle w:val="FootnoteReference"/>
          <w:rFonts w:ascii="Palatino Linotype" w:hAnsi="Palatino Linotype" w:cs="Arial"/>
          <w:lang w:val="en-US"/>
        </w:rPr>
        <w:footnoteReference w:id="64"/>
      </w:r>
      <w:r w:rsidRPr="00546952">
        <w:rPr>
          <w:rFonts w:ascii="Palatino Linotype" w:hAnsi="Palatino Linotype" w:cs="Arial"/>
          <w:lang w:val="en-US"/>
        </w:rPr>
        <w:t xml:space="preserve"> Macfarlane and Susskind share the view that most clients are no longer willing to allow the lawyer to </w:t>
      </w:r>
      <w:r w:rsidR="00691A65" w:rsidRPr="00546952">
        <w:rPr>
          <w:rFonts w:ascii="Palatino Linotype" w:hAnsi="Palatino Linotype" w:cs="Arial"/>
          <w:lang w:val="en-US"/>
        </w:rPr>
        <w:t>‘</w:t>
      </w:r>
      <w:r w:rsidRPr="00546952">
        <w:rPr>
          <w:rFonts w:ascii="Palatino Linotype" w:hAnsi="Palatino Linotype" w:cs="Arial"/>
          <w:lang w:val="en-US"/>
        </w:rPr>
        <w:t>run the matter</w:t>
      </w:r>
      <w:r w:rsidR="00691A65" w:rsidRPr="00546952">
        <w:rPr>
          <w:rFonts w:ascii="Palatino Linotype" w:hAnsi="Palatino Linotype" w:cs="Arial"/>
          <w:lang w:val="en-US"/>
        </w:rPr>
        <w:t>’</w:t>
      </w:r>
      <w:r w:rsidRPr="00546952">
        <w:rPr>
          <w:rFonts w:ascii="Palatino Linotype" w:hAnsi="Palatino Linotype" w:cs="Arial"/>
          <w:lang w:val="en-US"/>
        </w:rPr>
        <w:t xml:space="preserve">. </w:t>
      </w:r>
      <w:r w:rsidR="00FC0C91" w:rsidRPr="00546952">
        <w:rPr>
          <w:rFonts w:ascii="Palatino Linotype" w:hAnsi="Palatino Linotype" w:cs="Arial"/>
          <w:lang w:val="en-US"/>
        </w:rPr>
        <w:t xml:space="preserve">In other words, clients </w:t>
      </w:r>
      <w:r w:rsidRPr="00546952">
        <w:rPr>
          <w:rFonts w:ascii="Palatino Linotype" w:hAnsi="Palatino Linotype" w:cs="Arial"/>
          <w:lang w:val="en-US"/>
        </w:rPr>
        <w:t>need regular communication with their lawyer, and look for value for money in legal services.</w:t>
      </w:r>
      <w:r w:rsidRPr="00546952">
        <w:rPr>
          <w:rStyle w:val="FootnoteReference"/>
          <w:rFonts w:ascii="Palatino Linotype" w:hAnsi="Palatino Linotype" w:cs="Arial"/>
          <w:lang w:val="en-US"/>
        </w:rPr>
        <w:footnoteReference w:id="65"/>
      </w:r>
      <w:r w:rsidRPr="00546952">
        <w:rPr>
          <w:rFonts w:ascii="Palatino Linotype" w:hAnsi="Palatino Linotype" w:cs="Arial"/>
          <w:lang w:val="en-US"/>
        </w:rPr>
        <w:t xml:space="preserve"> Macfarlane sums up this trend by noting that clients are increasingly demanding a role in determining how much time, money, and emotional energy they invest, and in what type of resolution.</w:t>
      </w:r>
      <w:r w:rsidRPr="00546952">
        <w:rPr>
          <w:rStyle w:val="FootnoteReference"/>
          <w:rFonts w:ascii="Palatino Linotype" w:hAnsi="Palatino Linotype" w:cs="Arial"/>
          <w:lang w:val="en-US"/>
        </w:rPr>
        <w:footnoteReference w:id="66"/>
      </w:r>
      <w:r w:rsidRPr="00546952">
        <w:rPr>
          <w:rFonts w:ascii="Palatino Linotype" w:hAnsi="Palatino Linotype" w:cs="Arial"/>
          <w:lang w:val="en-US"/>
        </w:rPr>
        <w:t xml:space="preserve"> Macfarlane is of the view that ‘both corporate and personal customers appear increasingly unwilling to passively foot the bill for a traditional, litigation-centered approach to legal services, preferring a more </w:t>
      </w:r>
      <w:r w:rsidRPr="00546952">
        <w:rPr>
          <w:rFonts w:ascii="Palatino Linotype" w:hAnsi="Palatino Linotype" w:cs="Arial"/>
          <w:lang w:val="en-US"/>
        </w:rPr>
        <w:lastRenderedPageBreak/>
        <w:t>pragmatic, cost-conscious, and time-efficient approach to resolving legal problems.’</w:t>
      </w:r>
      <w:r w:rsidRPr="00546952">
        <w:rPr>
          <w:rStyle w:val="FootnoteReference"/>
          <w:rFonts w:ascii="Palatino Linotype" w:hAnsi="Palatino Linotype" w:cs="Arial"/>
          <w:lang w:val="en-US"/>
        </w:rPr>
        <w:footnoteReference w:id="67"/>
      </w:r>
      <w:r w:rsidR="005C017A" w:rsidRPr="00546952">
        <w:rPr>
          <w:rFonts w:ascii="Palatino Linotype" w:hAnsi="Palatino Linotype" w:cs="Arial"/>
          <w:lang w:val="en-US"/>
        </w:rPr>
        <w:t xml:space="preserve"> </w:t>
      </w:r>
    </w:p>
    <w:p w14:paraId="3264EED2" w14:textId="3F77309E"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rPr>
        <w:t xml:space="preserve">Whatever alternatives to dispute resolution are coming to the fore, the essence of this change is the need for change </w:t>
      </w:r>
      <w:r w:rsidRPr="00546952">
        <w:rPr>
          <w:rFonts w:ascii="Palatino Linotype" w:hAnsi="Palatino Linotype" w:cs="Arial"/>
          <w:u w:val="single"/>
        </w:rPr>
        <w:t>within</w:t>
      </w:r>
      <w:r w:rsidRPr="00546952">
        <w:rPr>
          <w:rFonts w:ascii="Palatino Linotype" w:hAnsi="Palatino Linotype" w:cs="Arial"/>
        </w:rPr>
        <w:t xml:space="preserve"> this system, mainly </w:t>
      </w:r>
      <w:r w:rsidR="001273A2" w:rsidRPr="00546952">
        <w:rPr>
          <w:rFonts w:ascii="Palatino Linotype" w:hAnsi="Palatino Linotype" w:cs="Arial"/>
        </w:rPr>
        <w:t xml:space="preserve">with respect to </w:t>
      </w:r>
      <w:r w:rsidRPr="00546952">
        <w:rPr>
          <w:rFonts w:ascii="Palatino Linotype" w:hAnsi="Palatino Linotype" w:cs="Arial"/>
        </w:rPr>
        <w:t>the attitudes and expectations of practising lawyers.</w:t>
      </w:r>
      <w:r w:rsidRPr="00546952">
        <w:rPr>
          <w:rStyle w:val="FootnoteReference"/>
          <w:rFonts w:ascii="Palatino Linotype" w:hAnsi="Palatino Linotype" w:cs="Arial"/>
        </w:rPr>
        <w:footnoteReference w:id="68"/>
      </w:r>
      <w:r w:rsidRPr="00546952">
        <w:rPr>
          <w:rFonts w:ascii="Palatino Linotype" w:hAnsi="Palatino Linotype" w:cs="Arial"/>
        </w:rPr>
        <w:t xml:space="preserve"> Macfarlane states that, ‘</w:t>
      </w:r>
      <w:r w:rsidRPr="00546952">
        <w:rPr>
          <w:rFonts w:ascii="Palatino Linotype" w:hAnsi="Palatino Linotype" w:cs="Arial"/>
          <w:lang w:val="en-US"/>
        </w:rPr>
        <w:t>Changes in procedure, voluntary initiatives, and changing client expectations are coming together to create a new role for counsel and a new model of client service.’</w:t>
      </w:r>
      <w:r w:rsidRPr="00546952">
        <w:rPr>
          <w:rStyle w:val="FootnoteReference"/>
          <w:rFonts w:ascii="Palatino Linotype" w:hAnsi="Palatino Linotype" w:cs="Arial"/>
          <w:lang w:val="en-US"/>
        </w:rPr>
        <w:footnoteReference w:id="69"/>
      </w:r>
      <w:r w:rsidRPr="00546952">
        <w:rPr>
          <w:rFonts w:ascii="Palatino Linotype" w:hAnsi="Palatino Linotype" w:cs="Arial"/>
          <w:lang w:val="en-US"/>
        </w:rPr>
        <w:t xml:space="preserve"> She speaks of the </w:t>
      </w:r>
      <w:r w:rsidR="00BC08CF" w:rsidRPr="00546952">
        <w:rPr>
          <w:rFonts w:ascii="Palatino Linotype" w:hAnsi="Palatino Linotype" w:cs="Arial"/>
          <w:lang w:val="en-US"/>
        </w:rPr>
        <w:t>‘</w:t>
      </w:r>
      <w:r w:rsidRPr="00546952">
        <w:rPr>
          <w:rFonts w:ascii="Palatino Linotype" w:hAnsi="Palatino Linotype" w:cs="Arial"/>
          <w:lang w:val="en-US"/>
        </w:rPr>
        <w:t>warrior lawyer</w:t>
      </w:r>
      <w:r w:rsidR="00BC08CF" w:rsidRPr="00546952">
        <w:rPr>
          <w:rFonts w:ascii="Palatino Linotype" w:hAnsi="Palatino Linotype" w:cs="Arial"/>
          <w:lang w:val="en-US"/>
        </w:rPr>
        <w:t>’</w:t>
      </w:r>
      <w:r w:rsidRPr="00546952">
        <w:rPr>
          <w:rFonts w:ascii="Palatino Linotype" w:hAnsi="Palatino Linotype" w:cs="Arial"/>
          <w:lang w:val="en-US"/>
        </w:rPr>
        <w:t>, who provides narrow technical advice focusing on litigation and fighting, giving way to a more holistic, practical and efficient approach to conflict resolution.</w:t>
      </w:r>
      <w:r w:rsidRPr="00546952">
        <w:rPr>
          <w:rStyle w:val="FootnoteReference"/>
          <w:rFonts w:ascii="Palatino Linotype" w:hAnsi="Palatino Linotype" w:cs="Arial"/>
          <w:lang w:val="en-US"/>
        </w:rPr>
        <w:footnoteReference w:id="70"/>
      </w:r>
      <w:r w:rsidRPr="00546952">
        <w:rPr>
          <w:rFonts w:ascii="Palatino Linotype" w:hAnsi="Palatino Linotype" w:cs="Arial"/>
          <w:lang w:val="en-US"/>
        </w:rPr>
        <w:t xml:space="preserve"> Macfarlane sees this as a new model of lawyering with the </w:t>
      </w:r>
      <w:r w:rsidR="00BC08CF" w:rsidRPr="00546952">
        <w:rPr>
          <w:rFonts w:ascii="Palatino Linotype" w:hAnsi="Palatino Linotype" w:cs="Arial"/>
          <w:lang w:val="en-US"/>
        </w:rPr>
        <w:t>‘</w:t>
      </w:r>
      <w:r w:rsidRPr="00546952">
        <w:rPr>
          <w:rFonts w:ascii="Palatino Linotype" w:hAnsi="Palatino Linotype" w:cs="Arial"/>
          <w:lang w:val="en-US"/>
        </w:rPr>
        <w:t>new lawyer</w:t>
      </w:r>
      <w:r w:rsidR="00BC08CF" w:rsidRPr="00546952">
        <w:rPr>
          <w:rFonts w:ascii="Palatino Linotype" w:hAnsi="Palatino Linotype" w:cs="Arial"/>
          <w:lang w:val="en-US"/>
        </w:rPr>
        <w:t>’</w:t>
      </w:r>
      <w:r w:rsidRPr="00546952">
        <w:rPr>
          <w:rFonts w:ascii="Palatino Linotype" w:hAnsi="Palatino Linotype" w:cs="Arial"/>
          <w:lang w:val="en-US"/>
        </w:rPr>
        <w:t xml:space="preserve"> building on the skills and knowledge of traditional legal practice, but different in critical ways.</w:t>
      </w:r>
      <w:r w:rsidRPr="00546952">
        <w:rPr>
          <w:rStyle w:val="FootnoteReference"/>
          <w:rFonts w:ascii="Palatino Linotype" w:hAnsi="Palatino Linotype" w:cs="Arial"/>
          <w:lang w:val="en-US"/>
        </w:rPr>
        <w:footnoteReference w:id="71"/>
      </w:r>
      <w:r w:rsidRPr="00546952">
        <w:rPr>
          <w:rFonts w:ascii="Palatino Linotype" w:hAnsi="Palatino Linotype" w:cs="Arial"/>
          <w:lang w:val="en-US"/>
        </w:rPr>
        <w:t xml:space="preserve"> Macfarlane suggests that there are three core dimensions to new lawyering: elevation of negotiation skills; communication skills; and skills to promote the lawyer client relationship.</w:t>
      </w:r>
      <w:r w:rsidRPr="00546952">
        <w:rPr>
          <w:rStyle w:val="FootnoteReference"/>
          <w:rFonts w:ascii="Palatino Linotype" w:hAnsi="Palatino Linotype" w:cs="Arial"/>
          <w:lang w:val="en-US"/>
        </w:rPr>
        <w:footnoteReference w:id="72"/>
      </w:r>
      <w:r w:rsidR="004B0FB6" w:rsidRPr="00546952">
        <w:rPr>
          <w:rFonts w:ascii="Palatino Linotype" w:hAnsi="Palatino Linotype" w:cs="Arial"/>
          <w:lang w:val="en-US"/>
        </w:rPr>
        <w:t xml:space="preserve"> </w:t>
      </w:r>
      <w:r w:rsidRPr="00546952">
        <w:rPr>
          <w:rFonts w:ascii="Palatino Linotype" w:hAnsi="Palatino Linotype" w:cs="Arial"/>
          <w:lang w:val="en-US"/>
        </w:rPr>
        <w:t xml:space="preserve">According to Macfarlane, the new lawyer </w:t>
      </w:r>
      <w:proofErr w:type="spellStart"/>
      <w:r w:rsidRPr="00546952">
        <w:rPr>
          <w:rFonts w:ascii="Palatino Linotype" w:hAnsi="Palatino Linotype" w:cs="Arial"/>
          <w:lang w:val="en-US"/>
        </w:rPr>
        <w:t>utilises</w:t>
      </w:r>
      <w:proofErr w:type="spellEnd"/>
      <w:r w:rsidRPr="00546952">
        <w:rPr>
          <w:rFonts w:ascii="Palatino Linotype" w:hAnsi="Palatino Linotype" w:cs="Arial"/>
          <w:lang w:val="en-US"/>
        </w:rPr>
        <w:t xml:space="preserve"> all three core dimensions: communication, persuasion, and relationship building to develop the best possible outcome for the client.</w:t>
      </w:r>
      <w:r w:rsidRPr="00546952">
        <w:rPr>
          <w:rFonts w:ascii="Palatino Linotype" w:hAnsi="Palatino Linotype" w:cs="Arial"/>
          <w:vertAlign w:val="superscript"/>
          <w:lang w:val="en-US"/>
        </w:rPr>
        <w:footnoteReference w:id="73"/>
      </w:r>
      <w:r w:rsidRPr="00546952">
        <w:rPr>
          <w:rFonts w:ascii="Palatino Linotype" w:hAnsi="Palatino Linotype" w:cs="Arial"/>
          <w:lang w:val="en-US"/>
        </w:rPr>
        <w:t xml:space="preserve"> It is crucial for the new lawyer to be adept at negotiation skills to be effective. There is now a </w:t>
      </w:r>
      <w:r w:rsidRPr="00546952">
        <w:rPr>
          <w:rFonts w:ascii="Palatino Linotype" w:hAnsi="Palatino Linotype" w:cs="Arial"/>
          <w:lang w:val="en-US"/>
        </w:rPr>
        <w:lastRenderedPageBreak/>
        <w:t>greater reliance on problem-solving strategies and more effort to directly include the client in face-to-face negotiation.</w:t>
      </w:r>
      <w:r w:rsidRPr="00546952">
        <w:rPr>
          <w:rStyle w:val="FootnoteReference"/>
          <w:rFonts w:ascii="Palatino Linotype" w:hAnsi="Palatino Linotype" w:cs="Arial"/>
          <w:lang w:val="en-US"/>
        </w:rPr>
        <w:footnoteReference w:id="74"/>
      </w:r>
      <w:r w:rsidRPr="00546952">
        <w:rPr>
          <w:rFonts w:ascii="Palatino Linotype" w:hAnsi="Palatino Linotype" w:cs="Arial"/>
          <w:lang w:val="en-US"/>
        </w:rPr>
        <w:t xml:space="preserve"> </w:t>
      </w:r>
    </w:p>
    <w:p w14:paraId="32FC464D" w14:textId="7FDBED7F"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Communication strategies such as </w:t>
      </w:r>
      <w:r w:rsidRPr="00546952">
        <w:rPr>
          <w:rFonts w:ascii="Palatino Linotype" w:hAnsi="Palatino Linotype" w:cs="Arial"/>
        </w:rPr>
        <w:t>listening, explaining, questioning and establishing rapport and trust are tools for lawyers to focus on in their work with clients. According to Macfarlane, in the past these have been viewed as only part of the more specialised skills of advocacy and procedural requirements.</w:t>
      </w:r>
      <w:r w:rsidRPr="00546952">
        <w:rPr>
          <w:rStyle w:val="FootnoteReference"/>
          <w:rFonts w:ascii="Palatino Linotype" w:hAnsi="Palatino Linotype" w:cs="Arial"/>
        </w:rPr>
        <w:footnoteReference w:id="75"/>
      </w:r>
      <w:r w:rsidRPr="00546952">
        <w:rPr>
          <w:rFonts w:ascii="Palatino Linotype" w:hAnsi="Palatino Linotype" w:cs="Arial"/>
        </w:rPr>
        <w:t xml:space="preserve"> The new lawyer now focuses on these skills and gives them priority so that they become the primary vehicle for resolving conflict.</w:t>
      </w:r>
      <w:r w:rsidRPr="00546952">
        <w:rPr>
          <w:rStyle w:val="FootnoteReference"/>
          <w:rFonts w:ascii="Palatino Linotype" w:hAnsi="Palatino Linotype" w:cs="Arial"/>
        </w:rPr>
        <w:footnoteReference w:id="76"/>
      </w:r>
      <w:r w:rsidRPr="00546952">
        <w:rPr>
          <w:rFonts w:ascii="Palatino Linotype" w:hAnsi="Palatino Linotype" w:cs="Arial"/>
        </w:rPr>
        <w:t xml:space="preserve"> Macfarlane argues that this recognition of the importance of persuasive communication in conflict resolution also means a greater concentration on the needs and wants of the other side.</w:t>
      </w:r>
      <w:r w:rsidRPr="00546952">
        <w:rPr>
          <w:rStyle w:val="FootnoteReference"/>
          <w:rFonts w:ascii="Palatino Linotype" w:hAnsi="Palatino Linotype" w:cs="Arial"/>
        </w:rPr>
        <w:footnoteReference w:id="77"/>
      </w:r>
      <w:r w:rsidRPr="00546952">
        <w:rPr>
          <w:rFonts w:ascii="Palatino Linotype" w:hAnsi="Palatino Linotype" w:cs="Arial"/>
        </w:rPr>
        <w:t xml:space="preserve"> The third factor is the new lawyer’s relationship with their client. This is where the new lawyer differs fundamentally from the traditional approach. According to Macfarlane, the new lawyer realises that a crucial part of their role is to assist clients to identify what they really need, while continuing to assess the risks and rewards as well as what they believe they </w:t>
      </w:r>
      <w:r w:rsidR="00704C12" w:rsidRPr="00546952">
        <w:rPr>
          <w:rFonts w:ascii="Palatino Linotype" w:hAnsi="Palatino Linotype" w:cs="Arial"/>
        </w:rPr>
        <w:t>‘</w:t>
      </w:r>
      <w:r w:rsidRPr="00546952">
        <w:rPr>
          <w:rFonts w:ascii="Palatino Linotype" w:hAnsi="Palatino Linotype" w:cs="Arial"/>
        </w:rPr>
        <w:t>deserve</w:t>
      </w:r>
      <w:r w:rsidR="00704C12" w:rsidRPr="00546952">
        <w:rPr>
          <w:rFonts w:ascii="Palatino Linotype" w:hAnsi="Palatino Linotype" w:cs="Arial"/>
        </w:rPr>
        <w:t>’</w:t>
      </w:r>
      <w:r w:rsidRPr="00546952">
        <w:rPr>
          <w:rFonts w:ascii="Palatino Linotype" w:hAnsi="Palatino Linotype" w:cs="Arial"/>
        </w:rPr>
        <w:t xml:space="preserve"> in some abstract sense.</w:t>
      </w:r>
      <w:r w:rsidRPr="00546952">
        <w:rPr>
          <w:rStyle w:val="FootnoteReference"/>
          <w:rFonts w:ascii="Palatino Linotype" w:hAnsi="Palatino Linotype" w:cs="Arial"/>
        </w:rPr>
        <w:footnoteReference w:id="78"/>
      </w:r>
      <w:r w:rsidRPr="00546952">
        <w:rPr>
          <w:rFonts w:ascii="Palatino Linotype" w:hAnsi="Palatino Linotype" w:cs="Arial"/>
        </w:rPr>
        <w:t xml:space="preserve"> The client is regarded as a partner in problem solving, as far as is feasible. Macfarlane describes this as a ‘mutuality of both purpose and action between lawyer and </w:t>
      </w:r>
      <w:r w:rsidRPr="00546952">
        <w:rPr>
          <w:rFonts w:ascii="Palatino Linotype" w:hAnsi="Palatino Linotype" w:cs="Arial"/>
        </w:rPr>
        <w:lastRenderedPageBreak/>
        <w:t>client.’</w:t>
      </w:r>
      <w:r w:rsidRPr="00546952">
        <w:rPr>
          <w:rStyle w:val="FootnoteReference"/>
          <w:rFonts w:ascii="Palatino Linotype" w:hAnsi="Palatino Linotype" w:cs="Arial"/>
        </w:rPr>
        <w:footnoteReference w:id="79"/>
      </w:r>
      <w:r w:rsidRPr="00546952">
        <w:rPr>
          <w:rFonts w:ascii="Palatino Linotype" w:hAnsi="Palatino Linotype" w:cs="Arial"/>
        </w:rPr>
        <w:t xml:space="preserve"> </w:t>
      </w:r>
      <w:r w:rsidRPr="00546952">
        <w:rPr>
          <w:rFonts w:ascii="Palatino Linotype" w:hAnsi="Palatino Linotype" w:cs="Arial"/>
          <w:lang w:val="en-US"/>
        </w:rPr>
        <w:t>This approach moves the lawyer away from the traditional, narrow, adversarial-based model towards a more flexible, conciliatory trajectory.</w:t>
      </w:r>
      <w:r w:rsidRPr="00546952">
        <w:rPr>
          <w:rStyle w:val="FootnoteReference"/>
          <w:rFonts w:ascii="Palatino Linotype" w:hAnsi="Palatino Linotype" w:cs="Arial"/>
          <w:lang w:val="en-US"/>
        </w:rPr>
        <w:footnoteReference w:id="80"/>
      </w:r>
      <w:r w:rsidRPr="00546952">
        <w:rPr>
          <w:rFonts w:ascii="Palatino Linotype" w:hAnsi="Palatino Linotype" w:cs="Arial"/>
          <w:lang w:val="en-US"/>
        </w:rPr>
        <w:t xml:space="preserve"> In seeking the best possible outcome, the new lawyer looks for options for the client based on the client’s needs and interests. As Macfarlane points out, ‘the new lawyer </w:t>
      </w:r>
      <w:proofErr w:type="spellStart"/>
      <w:r w:rsidRPr="00546952">
        <w:rPr>
          <w:rFonts w:ascii="Palatino Linotype" w:hAnsi="Palatino Linotype" w:cs="Arial"/>
          <w:lang w:val="en-US"/>
        </w:rPr>
        <w:t>practises</w:t>
      </w:r>
      <w:proofErr w:type="spellEnd"/>
      <w:r w:rsidRPr="00546952">
        <w:rPr>
          <w:rFonts w:ascii="Palatino Linotype" w:hAnsi="Palatino Linotype" w:cs="Arial"/>
          <w:lang w:val="en-US"/>
        </w:rPr>
        <w:t xml:space="preserve"> from the basis that almost every contentious matter will settle without a full trial, and some will settle without a judicial hearing of any kind.’</w:t>
      </w:r>
      <w:r w:rsidRPr="00546952">
        <w:rPr>
          <w:rStyle w:val="FootnoteReference"/>
          <w:rFonts w:ascii="Palatino Linotype" w:hAnsi="Palatino Linotype" w:cs="Arial"/>
          <w:lang w:val="en-US"/>
        </w:rPr>
        <w:footnoteReference w:id="81"/>
      </w:r>
      <w:r w:rsidRPr="00546952">
        <w:rPr>
          <w:rFonts w:ascii="Palatino Linotype" w:hAnsi="Palatino Linotype" w:cs="Arial"/>
          <w:lang w:val="en-US"/>
        </w:rPr>
        <w:t xml:space="preserve"> Therefore, the lawyer’s understanding of ADR affects the construction of their identity and influences the ways that they </w:t>
      </w:r>
      <w:proofErr w:type="spellStart"/>
      <w:r w:rsidRPr="00546952">
        <w:rPr>
          <w:rFonts w:ascii="Palatino Linotype" w:hAnsi="Palatino Linotype" w:cs="Arial"/>
          <w:lang w:val="en-US"/>
        </w:rPr>
        <w:t>practise</w:t>
      </w:r>
      <w:proofErr w:type="spellEnd"/>
      <w:r w:rsidRPr="00546952">
        <w:rPr>
          <w:rFonts w:ascii="Palatino Linotype" w:hAnsi="Palatino Linotype" w:cs="Arial"/>
          <w:lang w:val="en-US"/>
        </w:rPr>
        <w:t>.</w:t>
      </w:r>
      <w:r w:rsidRPr="00546952">
        <w:rPr>
          <w:rStyle w:val="FootnoteReference"/>
          <w:rFonts w:ascii="Palatino Linotype" w:hAnsi="Palatino Linotype" w:cs="Arial"/>
          <w:lang w:val="en-US"/>
        </w:rPr>
        <w:footnoteReference w:id="82"/>
      </w:r>
      <w:r w:rsidRPr="00546952">
        <w:rPr>
          <w:rFonts w:ascii="Palatino Linotype" w:hAnsi="Palatino Linotype" w:cs="Arial"/>
          <w:lang w:val="en-US"/>
        </w:rPr>
        <w:t xml:space="preserve">  </w:t>
      </w:r>
    </w:p>
    <w:p w14:paraId="24F87F7C" w14:textId="10E96626" w:rsidR="00456724"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bCs/>
          <w:lang w:val="en-US"/>
        </w:rPr>
        <w:t>Macfarlane advocates for law schools and clinics to embrace the changes taking place within the legal system.</w:t>
      </w:r>
      <w:r w:rsidRPr="00546952">
        <w:rPr>
          <w:rStyle w:val="FootnoteReference"/>
          <w:rFonts w:ascii="Palatino Linotype" w:hAnsi="Palatino Linotype" w:cs="Arial"/>
          <w:bCs/>
          <w:lang w:val="en-US"/>
        </w:rPr>
        <w:footnoteReference w:id="83"/>
      </w:r>
      <w:r w:rsidRPr="00546952">
        <w:rPr>
          <w:rFonts w:ascii="Palatino Linotype" w:hAnsi="Palatino Linotype" w:cs="Arial"/>
          <w:bCs/>
          <w:lang w:val="en-US"/>
        </w:rPr>
        <w:t xml:space="preserve"> These changes will prepare </w:t>
      </w:r>
      <w:r w:rsidR="0014700D" w:rsidRPr="00546952">
        <w:rPr>
          <w:rFonts w:ascii="Palatino Linotype" w:hAnsi="Palatino Linotype" w:cs="Arial"/>
          <w:bCs/>
          <w:lang w:val="en-US"/>
        </w:rPr>
        <w:t>‘</w:t>
      </w:r>
      <w:r w:rsidRPr="00546952">
        <w:rPr>
          <w:rFonts w:ascii="Palatino Linotype" w:hAnsi="Palatino Linotype" w:cs="Arial"/>
          <w:bCs/>
          <w:lang w:val="en-US"/>
        </w:rPr>
        <w:t>new lawyers</w:t>
      </w:r>
      <w:r w:rsidR="0014700D" w:rsidRPr="00546952">
        <w:rPr>
          <w:rFonts w:ascii="Palatino Linotype" w:hAnsi="Palatino Linotype" w:cs="Arial"/>
          <w:bCs/>
          <w:lang w:val="en-US"/>
        </w:rPr>
        <w:t>’</w:t>
      </w:r>
      <w:r w:rsidRPr="00546952">
        <w:rPr>
          <w:rFonts w:ascii="Palatino Linotype" w:hAnsi="Palatino Linotype" w:cs="Arial"/>
          <w:bCs/>
          <w:lang w:val="en-US"/>
        </w:rPr>
        <w:t xml:space="preserve"> for the responsibilities and competencies that are desirable for an effective lawyer.</w:t>
      </w:r>
      <w:r w:rsidRPr="00546952">
        <w:rPr>
          <w:rStyle w:val="FootnoteReference"/>
          <w:rFonts w:ascii="Palatino Linotype" w:hAnsi="Palatino Linotype" w:cs="Arial"/>
          <w:bCs/>
          <w:lang w:val="en-US"/>
        </w:rPr>
        <w:footnoteReference w:id="84"/>
      </w:r>
      <w:r w:rsidRPr="00546952">
        <w:rPr>
          <w:rFonts w:ascii="Palatino Linotype" w:hAnsi="Palatino Linotype" w:cs="Arial"/>
          <w:bCs/>
          <w:lang w:val="en-US"/>
        </w:rPr>
        <w:t xml:space="preserve"> </w:t>
      </w:r>
      <w:r w:rsidRPr="00546952">
        <w:rPr>
          <w:rFonts w:ascii="Palatino Linotype" w:hAnsi="Palatino Linotype" w:cs="Arial"/>
          <w:lang w:val="en-US"/>
        </w:rPr>
        <w:t>Taking from Macfarlane’s proposition that law schools and clinics should embrace the changes in preparation for the alternatives to litigation that the new lawyer will offer the client, we can ask</w:t>
      </w:r>
      <w:r w:rsidR="001273A2" w:rsidRPr="00546952">
        <w:rPr>
          <w:rFonts w:ascii="Palatino Linotype" w:hAnsi="Palatino Linotype" w:cs="Arial"/>
          <w:lang w:val="en-US"/>
        </w:rPr>
        <w:t>:</w:t>
      </w:r>
      <w:r w:rsidRPr="00546952">
        <w:rPr>
          <w:rFonts w:ascii="Palatino Linotype" w:hAnsi="Palatino Linotype" w:cs="Arial"/>
          <w:lang w:val="en-US"/>
        </w:rPr>
        <w:t xml:space="preserve"> has legal education </w:t>
      </w:r>
      <w:proofErr w:type="spellStart"/>
      <w:r w:rsidRPr="00546952">
        <w:rPr>
          <w:rFonts w:ascii="Palatino Linotype" w:hAnsi="Palatino Linotype" w:cs="Arial"/>
          <w:lang w:val="en-US"/>
        </w:rPr>
        <w:t>recognised</w:t>
      </w:r>
      <w:proofErr w:type="spellEnd"/>
      <w:r w:rsidRPr="00546952">
        <w:rPr>
          <w:rFonts w:ascii="Palatino Linotype" w:hAnsi="Palatino Linotype" w:cs="Arial"/>
          <w:lang w:val="en-US"/>
        </w:rPr>
        <w:t xml:space="preserve"> this? </w:t>
      </w:r>
    </w:p>
    <w:p w14:paraId="1613A0D5" w14:textId="77777777" w:rsidR="009C79F6" w:rsidRPr="00546952" w:rsidRDefault="009C79F6" w:rsidP="00546952">
      <w:pPr>
        <w:widowControl w:val="0"/>
        <w:autoSpaceDE w:val="0"/>
        <w:autoSpaceDN w:val="0"/>
        <w:adjustRightInd w:val="0"/>
        <w:spacing w:line="480" w:lineRule="auto"/>
        <w:jc w:val="both"/>
        <w:rPr>
          <w:rFonts w:ascii="Palatino Linotype" w:hAnsi="Palatino Linotype" w:cs="Arial"/>
          <w:b/>
          <w:lang w:val="en-US"/>
        </w:rPr>
      </w:pPr>
      <w:r w:rsidRPr="00546952">
        <w:rPr>
          <w:rFonts w:ascii="Palatino Linotype" w:hAnsi="Palatino Linotype" w:cs="Arial"/>
          <w:b/>
          <w:lang w:val="en-US"/>
        </w:rPr>
        <w:t>ADR AND LEGAL EDUCATION</w:t>
      </w:r>
    </w:p>
    <w:p w14:paraId="4D17A0F4" w14:textId="1BEFDF8B"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In Susskind’s book, </w:t>
      </w:r>
      <w:r w:rsidRPr="00546952">
        <w:rPr>
          <w:rFonts w:ascii="Palatino Linotype" w:hAnsi="Palatino Linotype" w:cs="Arial"/>
          <w:i/>
          <w:lang w:val="en-US"/>
        </w:rPr>
        <w:t>Tomorrow’s Lawyers</w:t>
      </w:r>
      <w:r w:rsidRPr="00546952">
        <w:rPr>
          <w:rFonts w:ascii="Palatino Linotype" w:hAnsi="Palatino Linotype" w:cs="Arial"/>
          <w:lang w:val="en-US"/>
        </w:rPr>
        <w:t xml:space="preserve">, he poses the question: What are we </w:t>
      </w:r>
      <w:r w:rsidRPr="00546952">
        <w:rPr>
          <w:rFonts w:ascii="Palatino Linotype" w:hAnsi="Palatino Linotype" w:cs="Arial"/>
          <w:lang w:val="en-US"/>
        </w:rPr>
        <w:lastRenderedPageBreak/>
        <w:t>training young lawyers to become?</w:t>
      </w:r>
      <w:r w:rsidRPr="00546952">
        <w:rPr>
          <w:rStyle w:val="FootnoteReference"/>
          <w:rFonts w:ascii="Palatino Linotype" w:hAnsi="Palatino Linotype" w:cs="Arial"/>
          <w:lang w:val="en-US"/>
        </w:rPr>
        <w:footnoteReference w:id="85"/>
      </w:r>
      <w:r w:rsidRPr="00546952">
        <w:rPr>
          <w:rFonts w:ascii="Palatino Linotype" w:hAnsi="Palatino Linotype" w:cs="Arial"/>
          <w:lang w:val="en-US"/>
        </w:rPr>
        <w:t xml:space="preserve"> Susskind asks, ‘Are we training these lawyers to become traditional one-to-one practitioners </w:t>
      </w:r>
      <w:proofErr w:type="spellStart"/>
      <w:r w:rsidRPr="00546952">
        <w:rPr>
          <w:rFonts w:ascii="Palatino Linotype" w:hAnsi="Palatino Linotype" w:cs="Arial"/>
          <w:lang w:val="en-US"/>
        </w:rPr>
        <w:t>specialising</w:t>
      </w:r>
      <w:proofErr w:type="spellEnd"/>
      <w:r w:rsidRPr="00546952">
        <w:rPr>
          <w:rFonts w:ascii="Palatino Linotype" w:hAnsi="Palatino Linotype" w:cs="Arial"/>
          <w:lang w:val="en-US"/>
        </w:rPr>
        <w:t xml:space="preserve"> in black-letter law and charging by the hour or are we preparing the next generation of lawyers to be flexible, team-based, hybrid professionals?’</w:t>
      </w:r>
      <w:r w:rsidRPr="00546952">
        <w:rPr>
          <w:rStyle w:val="FootnoteReference"/>
          <w:rFonts w:ascii="Palatino Linotype" w:hAnsi="Palatino Linotype" w:cs="Arial"/>
          <w:lang w:val="en-US"/>
        </w:rPr>
        <w:footnoteReference w:id="86"/>
      </w:r>
      <w:r w:rsidRPr="00546952">
        <w:rPr>
          <w:rFonts w:ascii="Palatino Linotype" w:hAnsi="Palatino Linotype" w:cs="Arial"/>
          <w:lang w:val="en-US"/>
        </w:rPr>
        <w:t xml:space="preserve"> Susskind suggests that emphasis in law schools is on the former, with very little regard for the latter.</w:t>
      </w:r>
      <w:r w:rsidRPr="00546952">
        <w:rPr>
          <w:rStyle w:val="FootnoteReference"/>
          <w:rFonts w:ascii="Palatino Linotype" w:hAnsi="Palatino Linotype" w:cs="Arial"/>
          <w:lang w:val="en-US"/>
        </w:rPr>
        <w:footnoteReference w:id="87"/>
      </w:r>
      <w:r w:rsidRPr="00546952">
        <w:rPr>
          <w:rFonts w:ascii="Palatino Linotype" w:hAnsi="Palatino Linotype" w:cs="Arial"/>
          <w:lang w:val="en-US"/>
        </w:rPr>
        <w:t xml:space="preserve"> He is concerned that many legal educators and policymakers do not even know there is a second option, and </w:t>
      </w:r>
      <w:r w:rsidR="001273A2" w:rsidRPr="00546952">
        <w:rPr>
          <w:rFonts w:ascii="Palatino Linotype" w:hAnsi="Palatino Linotype" w:cs="Arial"/>
          <w:lang w:val="en-US"/>
        </w:rPr>
        <w:t>that law schools are therefore</w:t>
      </w:r>
      <w:r w:rsidRPr="00546952">
        <w:rPr>
          <w:rFonts w:ascii="Palatino Linotype" w:hAnsi="Palatino Linotype" w:cs="Arial"/>
          <w:lang w:val="en-US"/>
        </w:rPr>
        <w:t xml:space="preserve"> training young lawyers to become </w:t>
      </w:r>
      <w:r w:rsidR="0014700D" w:rsidRPr="00546952">
        <w:rPr>
          <w:rFonts w:ascii="Palatino Linotype" w:hAnsi="Palatino Linotype" w:cs="Arial"/>
          <w:lang w:val="en-US"/>
        </w:rPr>
        <w:t>‘</w:t>
      </w:r>
      <w:r w:rsidRPr="00546952">
        <w:rPr>
          <w:rFonts w:ascii="Palatino Linotype" w:hAnsi="Palatino Linotype" w:cs="Arial"/>
          <w:lang w:val="en-US"/>
        </w:rPr>
        <w:t>20</w:t>
      </w:r>
      <w:r w:rsidRPr="00546952">
        <w:rPr>
          <w:rFonts w:ascii="Palatino Linotype" w:hAnsi="Palatino Linotype" w:cs="Arial"/>
          <w:vertAlign w:val="superscript"/>
          <w:lang w:val="en-US"/>
        </w:rPr>
        <w:t>th</w:t>
      </w:r>
      <w:r w:rsidRPr="00546952">
        <w:rPr>
          <w:rFonts w:ascii="Palatino Linotype" w:hAnsi="Palatino Linotype" w:cs="Arial"/>
          <w:lang w:val="en-US"/>
        </w:rPr>
        <w:t xml:space="preserve"> century lawyers</w:t>
      </w:r>
      <w:r w:rsidR="0014700D" w:rsidRPr="00546952">
        <w:rPr>
          <w:rFonts w:ascii="Palatino Linotype" w:hAnsi="Palatino Linotype" w:cs="Arial"/>
          <w:lang w:val="en-US"/>
        </w:rPr>
        <w:t>’</w:t>
      </w:r>
      <w:r w:rsidRPr="00546952">
        <w:rPr>
          <w:rFonts w:ascii="Palatino Linotype" w:hAnsi="Palatino Linotype" w:cs="Arial"/>
          <w:lang w:val="en-US"/>
        </w:rPr>
        <w:t xml:space="preserve"> and not </w:t>
      </w:r>
      <w:r w:rsidR="0014700D" w:rsidRPr="00546952">
        <w:rPr>
          <w:rFonts w:ascii="Palatino Linotype" w:hAnsi="Palatino Linotype" w:cs="Arial"/>
          <w:lang w:val="en-US"/>
        </w:rPr>
        <w:t>‘</w:t>
      </w:r>
      <w:r w:rsidRPr="00546952">
        <w:rPr>
          <w:rFonts w:ascii="Palatino Linotype" w:hAnsi="Palatino Linotype" w:cs="Arial"/>
          <w:lang w:val="en-US"/>
        </w:rPr>
        <w:t>21</w:t>
      </w:r>
      <w:r w:rsidRPr="00546952">
        <w:rPr>
          <w:rFonts w:ascii="Palatino Linotype" w:hAnsi="Palatino Linotype" w:cs="Arial"/>
          <w:vertAlign w:val="superscript"/>
          <w:lang w:val="en-US"/>
        </w:rPr>
        <w:t>st</w:t>
      </w:r>
      <w:r w:rsidRPr="00546952">
        <w:rPr>
          <w:rFonts w:ascii="Palatino Linotype" w:hAnsi="Palatino Linotype" w:cs="Arial"/>
          <w:lang w:val="en-US"/>
        </w:rPr>
        <w:t xml:space="preserve"> century lawyers</w:t>
      </w:r>
      <w:r w:rsidR="0014700D" w:rsidRPr="00546952">
        <w:rPr>
          <w:rFonts w:ascii="Palatino Linotype" w:hAnsi="Palatino Linotype" w:cs="Arial"/>
          <w:lang w:val="en-US"/>
        </w:rPr>
        <w:t>’</w:t>
      </w:r>
      <w:r w:rsidRPr="00546952">
        <w:rPr>
          <w:rFonts w:ascii="Palatino Linotype" w:hAnsi="Palatino Linotype" w:cs="Arial"/>
          <w:lang w:val="en-US"/>
        </w:rPr>
        <w:t>.</w:t>
      </w:r>
      <w:r w:rsidRPr="00546952">
        <w:rPr>
          <w:rStyle w:val="FootnoteReference"/>
          <w:rFonts w:ascii="Palatino Linotype" w:hAnsi="Palatino Linotype" w:cs="Arial"/>
          <w:lang w:val="en-US"/>
        </w:rPr>
        <w:footnoteReference w:id="88"/>
      </w:r>
      <w:r w:rsidRPr="00546952">
        <w:rPr>
          <w:rFonts w:ascii="Palatino Linotype" w:hAnsi="Palatino Linotype" w:cs="Arial"/>
          <w:lang w:val="en-US"/>
        </w:rPr>
        <w:t xml:space="preserve"> Susskind is not suggesting that core legal subjects such as contract and constitutional law should be </w:t>
      </w:r>
      <w:r w:rsidR="0014700D" w:rsidRPr="00546952">
        <w:rPr>
          <w:rFonts w:ascii="Palatino Linotype" w:hAnsi="Palatino Linotype" w:cs="Arial"/>
          <w:lang w:val="en-US"/>
        </w:rPr>
        <w:t>‘</w:t>
      </w:r>
      <w:r w:rsidRPr="00546952">
        <w:rPr>
          <w:rFonts w:ascii="Palatino Linotype" w:hAnsi="Palatino Linotype" w:cs="Arial"/>
          <w:lang w:val="en-US"/>
        </w:rPr>
        <w:t>jettisoned</w:t>
      </w:r>
      <w:r w:rsidR="0014700D" w:rsidRPr="00546952">
        <w:rPr>
          <w:rFonts w:ascii="Palatino Linotype" w:hAnsi="Palatino Linotype" w:cs="Arial"/>
          <w:lang w:val="en-US"/>
        </w:rPr>
        <w:t>’</w:t>
      </w:r>
      <w:r w:rsidRPr="00546952">
        <w:rPr>
          <w:rFonts w:ascii="Palatino Linotype" w:hAnsi="Palatino Linotype" w:cs="Arial"/>
          <w:lang w:val="en-US"/>
        </w:rPr>
        <w:t>, but that there is a need to focus on how best to prepare lawyers for legal practice in the coming decades.</w:t>
      </w:r>
      <w:r w:rsidRPr="00546952">
        <w:rPr>
          <w:rStyle w:val="FootnoteReference"/>
          <w:rFonts w:ascii="Palatino Linotype" w:hAnsi="Palatino Linotype" w:cs="Arial"/>
          <w:lang w:val="en-US"/>
        </w:rPr>
        <w:footnoteReference w:id="89"/>
      </w:r>
      <w:r w:rsidRPr="00546952">
        <w:rPr>
          <w:rFonts w:ascii="Palatino Linotype" w:hAnsi="Palatino Linotype" w:cs="Arial"/>
          <w:lang w:val="en-US"/>
        </w:rPr>
        <w:t xml:space="preserve"> Macfarlane echoes these concerns and concludes unequivocally that ‘there is an urgent need for lawyers to modify and evolve their professional role from adversarial </w:t>
      </w:r>
      <w:r w:rsidR="0014700D" w:rsidRPr="00546952">
        <w:rPr>
          <w:rFonts w:ascii="Palatino Linotype" w:hAnsi="Palatino Linotype" w:cs="Arial"/>
          <w:lang w:val="en-US"/>
        </w:rPr>
        <w:t>‘</w:t>
      </w:r>
      <w:r w:rsidRPr="00546952">
        <w:rPr>
          <w:rFonts w:ascii="Palatino Linotype" w:hAnsi="Palatino Linotype" w:cs="Arial"/>
          <w:lang w:val="en-US"/>
        </w:rPr>
        <w:t>pit bull</w:t>
      </w:r>
      <w:r w:rsidR="0014700D" w:rsidRPr="00546952">
        <w:rPr>
          <w:rFonts w:ascii="Palatino Linotype" w:hAnsi="Palatino Linotype" w:cs="Arial"/>
          <w:lang w:val="en-US"/>
        </w:rPr>
        <w:t>’</w:t>
      </w:r>
      <w:r w:rsidRPr="00546952">
        <w:rPr>
          <w:rFonts w:ascii="Palatino Linotype" w:hAnsi="Palatino Linotype" w:cs="Arial"/>
          <w:lang w:val="en-US"/>
        </w:rPr>
        <w:t xml:space="preserve"> to creative conflict resolver.’</w:t>
      </w:r>
      <w:r w:rsidRPr="00546952">
        <w:rPr>
          <w:rStyle w:val="FootnoteReference"/>
          <w:rFonts w:ascii="Palatino Linotype" w:hAnsi="Palatino Linotype" w:cs="Arial"/>
          <w:lang w:val="en-US"/>
        </w:rPr>
        <w:footnoteReference w:id="90"/>
      </w:r>
      <w:r w:rsidRPr="00546952">
        <w:rPr>
          <w:rFonts w:ascii="Palatino Linotype" w:hAnsi="Palatino Linotype" w:cs="Arial"/>
          <w:lang w:val="en-US"/>
        </w:rPr>
        <w:t xml:space="preserve"> She suggests that there needs to be ‘a dramatic overhaul of legal education to prepare new graduates for the negotiation and dispute resolution challenges they will face in practice and for their new roles and new identities as </w:t>
      </w:r>
      <w:r w:rsidR="0014700D" w:rsidRPr="00546952">
        <w:rPr>
          <w:rFonts w:ascii="Palatino Linotype" w:hAnsi="Palatino Linotype" w:cs="Arial"/>
          <w:lang w:val="en-US"/>
        </w:rPr>
        <w:t>‘</w:t>
      </w:r>
      <w:r w:rsidRPr="00546952">
        <w:rPr>
          <w:rFonts w:ascii="Palatino Linotype" w:hAnsi="Palatino Linotype" w:cs="Arial"/>
          <w:lang w:val="en-US"/>
        </w:rPr>
        <w:t>problem solvers</w:t>
      </w:r>
      <w:r w:rsidR="0014700D" w:rsidRPr="00546952">
        <w:rPr>
          <w:rFonts w:ascii="Palatino Linotype" w:hAnsi="Palatino Linotype" w:cs="Arial"/>
          <w:lang w:val="en-US"/>
        </w:rPr>
        <w:t>’</w:t>
      </w:r>
      <w:r w:rsidRPr="00546952">
        <w:rPr>
          <w:rFonts w:ascii="Palatino Linotype" w:hAnsi="Palatino Linotype" w:cs="Arial"/>
          <w:lang w:val="en-US"/>
        </w:rPr>
        <w:t xml:space="preserve"> in society.’</w:t>
      </w:r>
      <w:r w:rsidRPr="00546952">
        <w:rPr>
          <w:rStyle w:val="FootnoteReference"/>
          <w:rFonts w:ascii="Palatino Linotype" w:hAnsi="Palatino Linotype" w:cs="Arial"/>
          <w:lang w:val="en-US"/>
        </w:rPr>
        <w:footnoteReference w:id="91"/>
      </w:r>
    </w:p>
    <w:p w14:paraId="31A933C4" w14:textId="5A79EC13"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As discussed previously in this paper, the emphasis for the 21</w:t>
      </w:r>
      <w:r w:rsidRPr="00546952">
        <w:rPr>
          <w:rFonts w:ascii="Palatino Linotype" w:hAnsi="Palatino Linotype" w:cs="Arial"/>
          <w:vertAlign w:val="superscript"/>
          <w:lang w:val="en-US"/>
        </w:rPr>
        <w:t>st</w:t>
      </w:r>
      <w:r w:rsidRPr="00546952">
        <w:rPr>
          <w:rFonts w:ascii="Palatino Linotype" w:hAnsi="Palatino Linotype" w:cs="Arial"/>
          <w:lang w:val="en-US"/>
        </w:rPr>
        <w:t xml:space="preserve"> century lawyer </w:t>
      </w:r>
      <w:r w:rsidRPr="00546952">
        <w:rPr>
          <w:rFonts w:ascii="Palatino Linotype" w:hAnsi="Palatino Linotype" w:cs="Arial"/>
          <w:lang w:val="en-US"/>
        </w:rPr>
        <w:lastRenderedPageBreak/>
        <w:t xml:space="preserve">is </w:t>
      </w:r>
      <w:r w:rsidR="001273A2" w:rsidRPr="00546952">
        <w:rPr>
          <w:rFonts w:ascii="Palatino Linotype" w:hAnsi="Palatino Linotype" w:cs="Arial"/>
          <w:lang w:val="en-US"/>
        </w:rPr>
        <w:t xml:space="preserve">on </w:t>
      </w:r>
      <w:r w:rsidRPr="00546952">
        <w:rPr>
          <w:rFonts w:ascii="Palatino Linotype" w:hAnsi="Palatino Linotype" w:cs="Arial"/>
          <w:lang w:val="en-US"/>
        </w:rPr>
        <w:t xml:space="preserve">how to approach the changes occurring within the legal system, </w:t>
      </w:r>
      <w:r w:rsidR="003D6317" w:rsidRPr="00546952">
        <w:rPr>
          <w:rFonts w:ascii="Palatino Linotype" w:hAnsi="Palatino Linotype" w:cs="Arial"/>
          <w:lang w:val="en-US"/>
        </w:rPr>
        <w:t xml:space="preserve">and </w:t>
      </w:r>
      <w:r w:rsidRPr="00546952">
        <w:rPr>
          <w:rFonts w:ascii="Palatino Linotype" w:hAnsi="Palatino Linotype" w:cs="Arial"/>
          <w:lang w:val="en-US"/>
        </w:rPr>
        <w:t>how to become a practitioner who can address the needs of the client and focus on their interests. There is a need to increase the skillset of aspiring lawyers in order to empower them to deal with the developing and changing legal system. For over two decades, legal educators</w:t>
      </w:r>
      <w:r w:rsidR="004756E9" w:rsidRPr="00546952">
        <w:rPr>
          <w:rFonts w:ascii="Palatino Linotype" w:hAnsi="Palatino Linotype" w:cs="Arial"/>
          <w:lang w:val="en-US"/>
        </w:rPr>
        <w:t xml:space="preserve"> in Australia</w:t>
      </w:r>
      <w:r w:rsidRPr="00546952">
        <w:rPr>
          <w:rFonts w:ascii="Palatino Linotype" w:hAnsi="Palatino Linotype" w:cs="Arial"/>
          <w:lang w:val="en-US"/>
        </w:rPr>
        <w:t xml:space="preserve"> have </w:t>
      </w:r>
      <w:proofErr w:type="spellStart"/>
      <w:r w:rsidRPr="00546952">
        <w:rPr>
          <w:rFonts w:ascii="Palatino Linotype" w:hAnsi="Palatino Linotype" w:cs="Arial"/>
          <w:lang w:val="en-US"/>
        </w:rPr>
        <w:t>recognised</w:t>
      </w:r>
      <w:proofErr w:type="spellEnd"/>
      <w:r w:rsidRPr="00546952">
        <w:rPr>
          <w:rFonts w:ascii="Palatino Linotype" w:hAnsi="Palatino Linotype" w:cs="Arial"/>
          <w:lang w:val="en-US"/>
        </w:rPr>
        <w:t xml:space="preserve"> the need to re-think our teaching approach. In 1995, </w:t>
      </w:r>
      <w:r w:rsidR="003D6317" w:rsidRPr="00546952">
        <w:rPr>
          <w:rFonts w:ascii="Palatino Linotype" w:hAnsi="Palatino Linotype" w:cs="Arial"/>
          <w:lang w:val="en-US"/>
        </w:rPr>
        <w:t xml:space="preserve">for instance, </w:t>
      </w:r>
      <w:r w:rsidR="007B6C44" w:rsidRPr="00546952">
        <w:rPr>
          <w:rFonts w:ascii="Palatino Linotype" w:hAnsi="Palatino Linotype" w:cs="Arial"/>
          <w:lang w:val="en-US"/>
        </w:rPr>
        <w:t xml:space="preserve">Australian clinician </w:t>
      </w:r>
      <w:r w:rsidRPr="00546952">
        <w:rPr>
          <w:rFonts w:ascii="Palatino Linotype" w:hAnsi="Palatino Linotype" w:cs="Arial"/>
          <w:lang w:val="en-US"/>
        </w:rPr>
        <w:t xml:space="preserve">Ross </w:t>
      </w:r>
      <w:proofErr w:type="spellStart"/>
      <w:r w:rsidRPr="00546952">
        <w:rPr>
          <w:rFonts w:ascii="Palatino Linotype" w:hAnsi="Palatino Linotype" w:cs="Arial"/>
          <w:lang w:val="en-US"/>
        </w:rPr>
        <w:t>Hyams</w:t>
      </w:r>
      <w:proofErr w:type="spellEnd"/>
      <w:r w:rsidRPr="00546952">
        <w:rPr>
          <w:rStyle w:val="FootnoteReference"/>
          <w:rFonts w:ascii="Palatino Linotype" w:hAnsi="Palatino Linotype" w:cs="Arial"/>
          <w:lang w:val="en-US"/>
        </w:rPr>
        <w:footnoteReference w:id="92"/>
      </w:r>
      <w:r w:rsidRPr="00546952">
        <w:rPr>
          <w:rFonts w:ascii="Palatino Linotype" w:hAnsi="Palatino Linotype" w:cs="Arial"/>
          <w:lang w:val="en-US"/>
        </w:rPr>
        <w:t xml:space="preserve"> advocated for </w:t>
      </w:r>
      <w:proofErr w:type="spellStart"/>
      <w:r w:rsidRPr="00546952">
        <w:rPr>
          <w:rFonts w:ascii="Palatino Linotype" w:hAnsi="Palatino Linotype" w:cs="Arial"/>
          <w:lang w:val="en-US"/>
        </w:rPr>
        <w:t>utilising</w:t>
      </w:r>
      <w:proofErr w:type="spellEnd"/>
      <w:r w:rsidRPr="00546952">
        <w:rPr>
          <w:rFonts w:ascii="Palatino Linotype" w:hAnsi="Palatino Linotype" w:cs="Arial"/>
          <w:lang w:val="en-US"/>
        </w:rPr>
        <w:t xml:space="preserve"> various methodologies of law teaching ‘to make the legal system relevant for the students and to make the students relevant for the system’.</w:t>
      </w:r>
      <w:r w:rsidRPr="00546952">
        <w:rPr>
          <w:rStyle w:val="FootnoteReference"/>
          <w:rFonts w:ascii="Palatino Linotype" w:hAnsi="Palatino Linotype" w:cs="Arial"/>
          <w:lang w:val="en-US"/>
        </w:rPr>
        <w:footnoteReference w:id="93"/>
      </w:r>
      <w:r w:rsidRPr="00546952">
        <w:rPr>
          <w:rFonts w:ascii="Palatino Linotype" w:hAnsi="Palatino Linotype" w:cs="Arial"/>
          <w:lang w:val="en-US"/>
        </w:rPr>
        <w:t xml:space="preserve"> </w:t>
      </w:r>
      <w:proofErr w:type="spellStart"/>
      <w:r w:rsidRPr="00546952">
        <w:rPr>
          <w:rFonts w:ascii="Palatino Linotype" w:hAnsi="Palatino Linotype" w:cs="Arial"/>
          <w:lang w:val="en-US"/>
        </w:rPr>
        <w:t>Hyams</w:t>
      </w:r>
      <w:proofErr w:type="spellEnd"/>
      <w:r w:rsidRPr="00546952">
        <w:rPr>
          <w:rFonts w:ascii="Palatino Linotype" w:hAnsi="Palatino Linotype" w:cs="Arial"/>
          <w:lang w:val="en-US"/>
        </w:rPr>
        <w:t xml:space="preserve"> suggested that students be trained in the appropriate skills that they will need to survive in the professional environment.</w:t>
      </w:r>
      <w:r w:rsidRPr="00546952">
        <w:rPr>
          <w:rStyle w:val="FootnoteReference"/>
          <w:rFonts w:ascii="Palatino Linotype" w:hAnsi="Palatino Linotype" w:cs="Arial"/>
          <w:lang w:val="en-US"/>
        </w:rPr>
        <w:footnoteReference w:id="94"/>
      </w:r>
      <w:r w:rsidRPr="00546952">
        <w:rPr>
          <w:rFonts w:ascii="Palatino Linotype" w:hAnsi="Palatino Linotype" w:cs="Arial"/>
          <w:lang w:val="en-US"/>
        </w:rPr>
        <w:t xml:space="preserve"> </w:t>
      </w:r>
      <w:proofErr w:type="spellStart"/>
      <w:r w:rsidRPr="00546952">
        <w:rPr>
          <w:rFonts w:ascii="Palatino Linotype" w:hAnsi="Palatino Linotype" w:cs="Arial"/>
          <w:lang w:val="en-US"/>
        </w:rPr>
        <w:t>Hyams</w:t>
      </w:r>
      <w:proofErr w:type="spellEnd"/>
      <w:r w:rsidRPr="00546952">
        <w:rPr>
          <w:rFonts w:ascii="Palatino Linotype" w:hAnsi="Palatino Linotype" w:cs="Arial"/>
          <w:lang w:val="en-US"/>
        </w:rPr>
        <w:t xml:space="preserve"> </w:t>
      </w:r>
      <w:r w:rsidR="00A85EF7" w:rsidRPr="00546952">
        <w:rPr>
          <w:rFonts w:ascii="Palatino Linotype" w:hAnsi="Palatino Linotype" w:cs="Arial"/>
          <w:lang w:val="en-US"/>
        </w:rPr>
        <w:t xml:space="preserve">argued </w:t>
      </w:r>
      <w:r w:rsidRPr="00546952">
        <w:rPr>
          <w:rFonts w:ascii="Palatino Linotype" w:hAnsi="Palatino Linotype" w:cs="Arial"/>
          <w:lang w:val="en-US"/>
        </w:rPr>
        <w:t xml:space="preserve">that these reforms </w:t>
      </w:r>
      <w:r w:rsidR="00A85EF7" w:rsidRPr="00546952">
        <w:rPr>
          <w:rFonts w:ascii="Palatino Linotype" w:hAnsi="Palatino Linotype" w:cs="Arial"/>
          <w:lang w:val="en-US"/>
        </w:rPr>
        <w:t xml:space="preserve">needed to </w:t>
      </w:r>
      <w:r w:rsidRPr="00546952">
        <w:rPr>
          <w:rFonts w:ascii="Palatino Linotype" w:hAnsi="Palatino Linotype" w:cs="Arial"/>
          <w:lang w:val="en-US"/>
        </w:rPr>
        <w:t xml:space="preserve">go further than teaching students </w:t>
      </w:r>
      <w:r w:rsidR="00574AAD" w:rsidRPr="00546952">
        <w:rPr>
          <w:rFonts w:ascii="Palatino Linotype" w:hAnsi="Palatino Linotype" w:cs="Arial"/>
          <w:lang w:val="en-US"/>
        </w:rPr>
        <w:t>mere</w:t>
      </w:r>
      <w:r w:rsidR="0005652E" w:rsidRPr="00546952">
        <w:rPr>
          <w:rFonts w:ascii="Palatino Linotype" w:hAnsi="Palatino Linotype" w:cs="Arial"/>
          <w:lang w:val="en-US"/>
        </w:rPr>
        <w:t xml:space="preserve">ly </w:t>
      </w:r>
      <w:r w:rsidRPr="00546952">
        <w:rPr>
          <w:rFonts w:ascii="Palatino Linotype" w:hAnsi="Palatino Linotype" w:cs="Arial"/>
          <w:lang w:val="en-US"/>
        </w:rPr>
        <w:t xml:space="preserve">legal </w:t>
      </w:r>
      <w:r w:rsidR="005D390D" w:rsidRPr="00546952">
        <w:rPr>
          <w:rFonts w:ascii="Palatino Linotype" w:hAnsi="Palatino Linotype" w:cs="Arial"/>
          <w:lang w:val="en-US"/>
        </w:rPr>
        <w:t>‘</w:t>
      </w:r>
      <w:r w:rsidRPr="00546952">
        <w:rPr>
          <w:rFonts w:ascii="Palatino Linotype" w:hAnsi="Palatino Linotype" w:cs="Arial"/>
          <w:lang w:val="en-US"/>
        </w:rPr>
        <w:t>operations</w:t>
      </w:r>
      <w:r w:rsidR="005D390D" w:rsidRPr="00546952">
        <w:rPr>
          <w:rFonts w:ascii="Palatino Linotype" w:hAnsi="Palatino Linotype" w:cs="Arial"/>
          <w:lang w:val="en-US"/>
        </w:rPr>
        <w:t>’</w:t>
      </w:r>
      <w:r w:rsidRPr="00546952">
        <w:rPr>
          <w:rFonts w:ascii="Palatino Linotype" w:hAnsi="Palatino Linotype" w:cs="Arial"/>
          <w:lang w:val="en-US"/>
        </w:rPr>
        <w:t>.</w:t>
      </w:r>
      <w:r w:rsidRPr="00546952">
        <w:rPr>
          <w:rStyle w:val="FootnoteReference"/>
          <w:rFonts w:ascii="Palatino Linotype" w:hAnsi="Palatino Linotype" w:cs="Arial"/>
          <w:lang w:val="en-US"/>
        </w:rPr>
        <w:footnoteReference w:id="95"/>
      </w:r>
      <w:r w:rsidRPr="00546952">
        <w:rPr>
          <w:rFonts w:ascii="Palatino Linotype" w:hAnsi="Palatino Linotype" w:cs="Arial"/>
          <w:lang w:val="en-US"/>
        </w:rPr>
        <w:t xml:space="preserve"> Rather, interpersonal, ethical and communication skills which are integrated into each subject using various teaching methodologies can prepare students for their professional life, even if they do not choose to continue in the legal profession.</w:t>
      </w:r>
      <w:r w:rsidRPr="00546952">
        <w:rPr>
          <w:rStyle w:val="FootnoteReference"/>
          <w:rFonts w:ascii="Palatino Linotype" w:hAnsi="Palatino Linotype" w:cs="Arial"/>
          <w:lang w:val="en-US"/>
        </w:rPr>
        <w:footnoteReference w:id="96"/>
      </w:r>
      <w:r w:rsidRPr="00546952">
        <w:rPr>
          <w:rFonts w:ascii="Palatino Linotype" w:hAnsi="Palatino Linotype" w:cs="Arial"/>
          <w:lang w:val="en-US"/>
        </w:rPr>
        <w:t xml:space="preserve"> </w:t>
      </w:r>
    </w:p>
    <w:p w14:paraId="2F61A573" w14:textId="763B78B4" w:rsidR="009C79F6" w:rsidRPr="00546952" w:rsidRDefault="009C79F6" w:rsidP="00546952">
      <w:pPr>
        <w:widowControl w:val="0"/>
        <w:autoSpaceDE w:val="0"/>
        <w:autoSpaceDN w:val="0"/>
        <w:adjustRightInd w:val="0"/>
        <w:spacing w:line="480" w:lineRule="auto"/>
        <w:jc w:val="both"/>
        <w:rPr>
          <w:rFonts w:ascii="Palatino Linotype" w:hAnsi="Palatino Linotype" w:cs="Arial"/>
          <w:b/>
          <w:lang w:val="en-US"/>
        </w:rPr>
      </w:pPr>
      <w:r w:rsidRPr="00546952">
        <w:rPr>
          <w:rFonts w:ascii="Palatino Linotype" w:hAnsi="Palatino Linotype" w:cs="Arial"/>
          <w:b/>
          <w:lang w:val="en-US"/>
        </w:rPr>
        <w:t xml:space="preserve">TEACHING OF ADR IN AUSTRALIAN LEGAL EDUCATION </w:t>
      </w:r>
    </w:p>
    <w:p w14:paraId="51C2AC09" w14:textId="01A50F04" w:rsidR="009C79F6" w:rsidRPr="00546952" w:rsidRDefault="00CE4DB7"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In early 2010, </w:t>
      </w:r>
      <w:r w:rsidR="009C79F6" w:rsidRPr="00546952">
        <w:rPr>
          <w:rFonts w:ascii="Palatino Linotype" w:hAnsi="Palatino Linotype" w:cs="Arial"/>
          <w:lang w:val="en-US"/>
        </w:rPr>
        <w:t>Kathy Douglas</w:t>
      </w:r>
      <w:r w:rsidR="00B45A3D" w:rsidRPr="00546952">
        <w:rPr>
          <w:rFonts w:ascii="Palatino Linotype" w:hAnsi="Palatino Linotype" w:cs="Arial"/>
          <w:lang w:val="en-US"/>
        </w:rPr>
        <w:t xml:space="preserve"> </w:t>
      </w:r>
      <w:r w:rsidR="009C79F6" w:rsidRPr="00546952">
        <w:rPr>
          <w:rStyle w:val="FootnoteReference"/>
          <w:rFonts w:ascii="Palatino Linotype" w:hAnsi="Palatino Linotype" w:cs="Arial"/>
          <w:lang w:val="en-US"/>
        </w:rPr>
        <w:footnoteReference w:id="97"/>
      </w:r>
      <w:r w:rsidR="00116469" w:rsidRPr="00546952">
        <w:rPr>
          <w:rFonts w:ascii="Palatino Linotype" w:hAnsi="Palatino Linotype" w:cs="Arial"/>
          <w:lang w:val="en-US"/>
        </w:rPr>
        <w:t xml:space="preserve"> </w:t>
      </w:r>
      <w:r w:rsidR="009C79F6" w:rsidRPr="00546952">
        <w:rPr>
          <w:rFonts w:ascii="Palatino Linotype" w:hAnsi="Palatino Linotype" w:cs="Arial"/>
          <w:lang w:val="en-US"/>
        </w:rPr>
        <w:t xml:space="preserve">investigated 12 law schools in Victoria and </w:t>
      </w:r>
      <w:r w:rsidR="009C79F6" w:rsidRPr="00546952">
        <w:rPr>
          <w:rFonts w:ascii="Palatino Linotype" w:hAnsi="Palatino Linotype" w:cs="Arial"/>
          <w:lang w:val="en-US"/>
        </w:rPr>
        <w:lastRenderedPageBreak/>
        <w:t xml:space="preserve">Queensland </w:t>
      </w:r>
      <w:r w:rsidR="00580809" w:rsidRPr="00546952">
        <w:rPr>
          <w:rFonts w:ascii="Palatino Linotype" w:hAnsi="Palatino Linotype" w:cs="Arial"/>
          <w:lang w:val="en-US"/>
        </w:rPr>
        <w:t xml:space="preserve">and one in New South Wales. She found that ADR is taught </w:t>
      </w:r>
      <w:r w:rsidR="009C79F6" w:rsidRPr="00546952">
        <w:rPr>
          <w:rFonts w:ascii="Palatino Linotype" w:hAnsi="Palatino Linotype" w:cs="Arial"/>
          <w:lang w:val="en-US"/>
        </w:rPr>
        <w:t>as a compulsory stand-alone course, or combined with civil procedure or non-adversarial justice.</w:t>
      </w:r>
      <w:r w:rsidR="009C79F6" w:rsidRPr="00546952">
        <w:rPr>
          <w:rStyle w:val="FootnoteReference"/>
          <w:rFonts w:ascii="Palatino Linotype" w:hAnsi="Palatino Linotype" w:cs="Arial"/>
          <w:lang w:val="en-US"/>
        </w:rPr>
        <w:footnoteReference w:id="98"/>
      </w:r>
      <w:r w:rsidR="009C79F6" w:rsidRPr="00546952">
        <w:rPr>
          <w:rFonts w:ascii="Palatino Linotype" w:hAnsi="Palatino Linotype" w:cs="Arial"/>
          <w:lang w:val="en-US"/>
        </w:rPr>
        <w:t xml:space="preserve"> Douglas found that in some cases </w:t>
      </w:r>
      <w:r w:rsidR="003A717B" w:rsidRPr="00546952">
        <w:rPr>
          <w:rFonts w:ascii="Palatino Linotype" w:hAnsi="Palatino Linotype" w:cs="Arial"/>
          <w:lang w:val="en-US"/>
        </w:rPr>
        <w:t>ADR</w:t>
      </w:r>
      <w:r w:rsidR="009C79F6" w:rsidRPr="00546952">
        <w:rPr>
          <w:rFonts w:ascii="Palatino Linotype" w:hAnsi="Palatino Linotype" w:cs="Arial"/>
          <w:lang w:val="en-US"/>
        </w:rPr>
        <w:t xml:space="preserve"> was integrated into substantive law courses across the curriculum, with a later year stand-alone ADR elective available.</w:t>
      </w:r>
      <w:r w:rsidR="009C79F6" w:rsidRPr="00546952">
        <w:rPr>
          <w:rStyle w:val="FootnoteReference"/>
          <w:rFonts w:ascii="Palatino Linotype" w:hAnsi="Palatino Linotype" w:cs="Arial"/>
          <w:lang w:val="en-US"/>
        </w:rPr>
        <w:footnoteReference w:id="99"/>
      </w:r>
      <w:r w:rsidR="009C79F6" w:rsidRPr="00546952">
        <w:rPr>
          <w:rFonts w:ascii="Palatino Linotype" w:hAnsi="Palatino Linotype" w:cs="Arial"/>
          <w:lang w:val="en-US"/>
        </w:rPr>
        <w:t xml:space="preserve"> Douglas </w:t>
      </w:r>
      <w:r w:rsidR="00AE1C8C" w:rsidRPr="00546952">
        <w:rPr>
          <w:rFonts w:ascii="Palatino Linotype" w:hAnsi="Palatino Linotype" w:cs="Arial"/>
          <w:lang w:val="en-US"/>
        </w:rPr>
        <w:t xml:space="preserve">discovered </w:t>
      </w:r>
      <w:r w:rsidR="009C79F6" w:rsidRPr="00546952">
        <w:rPr>
          <w:rFonts w:ascii="Palatino Linotype" w:hAnsi="Palatino Linotype" w:cs="Arial"/>
          <w:lang w:val="en-US"/>
        </w:rPr>
        <w:t xml:space="preserve">that although </w:t>
      </w:r>
      <w:r w:rsidR="00F67DAE" w:rsidRPr="00546952">
        <w:rPr>
          <w:rFonts w:ascii="Palatino Linotype" w:hAnsi="Palatino Linotype" w:cs="Arial"/>
          <w:lang w:val="en-US"/>
        </w:rPr>
        <w:t xml:space="preserve">those </w:t>
      </w:r>
      <w:r w:rsidR="0098474A" w:rsidRPr="00546952">
        <w:rPr>
          <w:rFonts w:ascii="Palatino Linotype" w:hAnsi="Palatino Linotype" w:cs="Arial"/>
          <w:lang w:val="en-US"/>
        </w:rPr>
        <w:t xml:space="preserve">law courses </w:t>
      </w:r>
      <w:r w:rsidR="009C79F6" w:rsidRPr="00546952">
        <w:rPr>
          <w:rFonts w:ascii="Palatino Linotype" w:hAnsi="Palatino Linotype" w:cs="Arial"/>
          <w:lang w:val="en-US"/>
        </w:rPr>
        <w:t>included ADR in their</w:t>
      </w:r>
      <w:r w:rsidR="00E721F4" w:rsidRPr="00546952">
        <w:rPr>
          <w:rFonts w:ascii="Palatino Linotype" w:hAnsi="Palatino Linotype" w:cs="Arial"/>
          <w:lang w:val="en-US"/>
        </w:rPr>
        <w:t xml:space="preserve"> curriculum, the place of ADR was</w:t>
      </w:r>
      <w:r w:rsidR="009C79F6" w:rsidRPr="00546952">
        <w:rPr>
          <w:rFonts w:ascii="Palatino Linotype" w:hAnsi="Palatino Linotype" w:cs="Arial"/>
          <w:lang w:val="en-US"/>
        </w:rPr>
        <w:t xml:space="preserve"> sometimes uncertain.</w:t>
      </w:r>
      <w:r w:rsidR="009C79F6" w:rsidRPr="00546952">
        <w:rPr>
          <w:rStyle w:val="FootnoteReference"/>
          <w:rFonts w:ascii="Palatino Linotype" w:hAnsi="Palatino Linotype" w:cs="Arial"/>
          <w:lang w:val="en-US"/>
        </w:rPr>
        <w:footnoteReference w:id="100"/>
      </w:r>
      <w:r w:rsidR="009C79F6" w:rsidRPr="00546952">
        <w:rPr>
          <w:rFonts w:ascii="Palatino Linotype" w:hAnsi="Palatino Linotype" w:cs="Arial"/>
          <w:lang w:val="en-US"/>
        </w:rPr>
        <w:t xml:space="preserve"> </w:t>
      </w:r>
      <w:r w:rsidR="0069197A" w:rsidRPr="00546952">
        <w:rPr>
          <w:rFonts w:ascii="Palatino Linotype" w:hAnsi="Palatino Linotype" w:cs="Arial"/>
          <w:lang w:val="en-US"/>
        </w:rPr>
        <w:t xml:space="preserve">Douglas </w:t>
      </w:r>
      <w:r w:rsidR="00132CDD" w:rsidRPr="00546952">
        <w:rPr>
          <w:rFonts w:ascii="Palatino Linotype" w:hAnsi="Palatino Linotype" w:cs="Arial"/>
          <w:lang w:val="en-US"/>
        </w:rPr>
        <w:t>argued that this was probably because</w:t>
      </w:r>
      <w:r w:rsidR="005F2DB7" w:rsidRPr="00546952">
        <w:rPr>
          <w:rFonts w:ascii="Palatino Linotype" w:hAnsi="Palatino Linotype" w:cs="Arial"/>
          <w:lang w:val="en-US"/>
        </w:rPr>
        <w:t xml:space="preserve"> ADR </w:t>
      </w:r>
      <w:r w:rsidR="00132CDD" w:rsidRPr="00546952">
        <w:rPr>
          <w:rFonts w:ascii="Palatino Linotype" w:hAnsi="Palatino Linotype" w:cs="Arial"/>
          <w:lang w:val="en-US"/>
        </w:rPr>
        <w:t>was not</w:t>
      </w:r>
      <w:r w:rsidR="005F2DB7" w:rsidRPr="00546952">
        <w:rPr>
          <w:rFonts w:ascii="Palatino Linotype" w:hAnsi="Palatino Linotype" w:cs="Arial"/>
          <w:lang w:val="en-US"/>
        </w:rPr>
        <w:t xml:space="preserve"> </w:t>
      </w:r>
      <w:r w:rsidR="009C79F6" w:rsidRPr="00546952">
        <w:rPr>
          <w:rFonts w:ascii="Palatino Linotype" w:hAnsi="Palatino Linotype" w:cs="Arial"/>
          <w:lang w:val="en-US"/>
        </w:rPr>
        <w:t>one of the compulsory knowledge areas for accred</w:t>
      </w:r>
      <w:r w:rsidR="00E721F4" w:rsidRPr="00546952">
        <w:rPr>
          <w:rFonts w:ascii="Palatino Linotype" w:hAnsi="Palatino Linotype" w:cs="Arial"/>
          <w:lang w:val="en-US"/>
        </w:rPr>
        <w:t>itation as an Australian lawyer</w:t>
      </w:r>
      <w:r w:rsidR="002E4BAF" w:rsidRPr="00546952">
        <w:rPr>
          <w:rFonts w:ascii="Palatino Linotype" w:hAnsi="Palatino Linotype" w:cs="Arial"/>
          <w:lang w:val="en-US"/>
        </w:rPr>
        <w:t>. L</w:t>
      </w:r>
      <w:r w:rsidR="005F2DB7" w:rsidRPr="00546952">
        <w:rPr>
          <w:rFonts w:ascii="Palatino Linotype" w:hAnsi="Palatino Linotype" w:cs="Arial"/>
          <w:lang w:val="en-US"/>
        </w:rPr>
        <w:t xml:space="preserve">aw schools were </w:t>
      </w:r>
      <w:r w:rsidR="009C79F6" w:rsidRPr="00546952">
        <w:rPr>
          <w:rFonts w:ascii="Palatino Linotype" w:hAnsi="Palatino Linotype" w:cs="Arial"/>
          <w:lang w:val="en-US"/>
        </w:rPr>
        <w:t>free</w:t>
      </w:r>
      <w:r w:rsidR="00132CDD" w:rsidRPr="00546952">
        <w:rPr>
          <w:rFonts w:ascii="Palatino Linotype" w:hAnsi="Palatino Linotype" w:cs="Arial"/>
          <w:lang w:val="en-US"/>
        </w:rPr>
        <w:t>, in other words,</w:t>
      </w:r>
      <w:r w:rsidR="009C79F6" w:rsidRPr="00546952">
        <w:rPr>
          <w:rFonts w:ascii="Palatino Linotype" w:hAnsi="Palatino Linotype" w:cs="Arial"/>
          <w:lang w:val="en-US"/>
        </w:rPr>
        <w:t xml:space="preserve"> to exclude </w:t>
      </w:r>
      <w:r w:rsidR="00132CDD" w:rsidRPr="00546952">
        <w:rPr>
          <w:rFonts w:ascii="Palatino Linotype" w:hAnsi="Palatino Linotype" w:cs="Arial"/>
          <w:lang w:val="en-US"/>
        </w:rPr>
        <w:t>ADR</w:t>
      </w:r>
      <w:r w:rsidR="009C79F6" w:rsidRPr="00546952">
        <w:rPr>
          <w:rFonts w:ascii="Palatino Linotype" w:hAnsi="Palatino Linotype" w:cs="Arial"/>
          <w:lang w:val="en-US"/>
        </w:rPr>
        <w:t xml:space="preserve"> fr</w:t>
      </w:r>
      <w:r w:rsidR="007F350A" w:rsidRPr="00546952">
        <w:rPr>
          <w:rFonts w:ascii="Palatino Linotype" w:hAnsi="Palatino Linotype" w:cs="Arial"/>
          <w:lang w:val="en-US"/>
        </w:rPr>
        <w:t xml:space="preserve">om their core offerings and </w:t>
      </w:r>
      <w:r w:rsidR="009C79F6" w:rsidRPr="00546952">
        <w:rPr>
          <w:rFonts w:ascii="Palatino Linotype" w:hAnsi="Palatino Linotype" w:cs="Arial"/>
          <w:lang w:val="en-US"/>
        </w:rPr>
        <w:t>not mandated to provide ADR as an elective.</w:t>
      </w:r>
      <w:r w:rsidR="009C79F6" w:rsidRPr="00546952">
        <w:rPr>
          <w:rStyle w:val="FootnoteReference"/>
          <w:rFonts w:ascii="Palatino Linotype" w:hAnsi="Palatino Linotype" w:cs="Arial"/>
          <w:lang w:val="en-US"/>
        </w:rPr>
        <w:footnoteReference w:id="101"/>
      </w:r>
      <w:r w:rsidR="008D4714" w:rsidRPr="00546952">
        <w:rPr>
          <w:rFonts w:ascii="Palatino Linotype" w:hAnsi="Palatino Linotype" w:cs="Arial"/>
          <w:lang w:val="en-US"/>
        </w:rPr>
        <w:t xml:space="preserve"> </w:t>
      </w:r>
      <w:r w:rsidR="00D4770C" w:rsidRPr="00546952">
        <w:rPr>
          <w:rFonts w:ascii="Palatino Linotype" w:hAnsi="Palatino Linotype" w:cs="Arial"/>
          <w:lang w:val="en-US"/>
        </w:rPr>
        <w:t xml:space="preserve">Writers and educators such as </w:t>
      </w:r>
      <w:r w:rsidR="009C79F6" w:rsidRPr="00546952">
        <w:rPr>
          <w:rFonts w:ascii="Palatino Linotype" w:hAnsi="Palatino Linotype" w:cs="Arial"/>
          <w:lang w:val="en-US"/>
        </w:rPr>
        <w:t>King et al advocate</w:t>
      </w:r>
      <w:r w:rsidR="00D4770C" w:rsidRPr="00546952">
        <w:rPr>
          <w:rFonts w:ascii="Palatino Linotype" w:hAnsi="Palatino Linotype" w:cs="Arial"/>
          <w:lang w:val="en-US"/>
        </w:rPr>
        <w:t>d</w:t>
      </w:r>
      <w:r w:rsidR="009C79F6" w:rsidRPr="00546952">
        <w:rPr>
          <w:rFonts w:ascii="Palatino Linotype" w:hAnsi="Palatino Linotype" w:cs="Arial"/>
          <w:lang w:val="en-US"/>
        </w:rPr>
        <w:t xml:space="preserve"> strongly for ADR to be taught across the curriculum, </w:t>
      </w:r>
      <w:r w:rsidR="008D4714" w:rsidRPr="00546952">
        <w:rPr>
          <w:rFonts w:ascii="Palatino Linotype" w:hAnsi="Palatino Linotype" w:cs="Arial"/>
          <w:lang w:val="en-US"/>
        </w:rPr>
        <w:t xml:space="preserve">so that </w:t>
      </w:r>
      <w:r w:rsidR="00D4770C" w:rsidRPr="00546952">
        <w:rPr>
          <w:rFonts w:ascii="Palatino Linotype" w:hAnsi="Palatino Linotype" w:cs="Arial"/>
          <w:lang w:val="en-US"/>
        </w:rPr>
        <w:t xml:space="preserve">students would </w:t>
      </w:r>
      <w:r w:rsidR="009C79F6" w:rsidRPr="00546952">
        <w:rPr>
          <w:rFonts w:ascii="Palatino Linotype" w:hAnsi="Palatino Linotype" w:cs="Arial"/>
          <w:lang w:val="en-US"/>
        </w:rPr>
        <w:t xml:space="preserve">not only </w:t>
      </w:r>
      <w:r w:rsidR="00132CDD" w:rsidRPr="00546952">
        <w:rPr>
          <w:rFonts w:ascii="Palatino Linotype" w:hAnsi="Palatino Linotype" w:cs="Arial"/>
          <w:lang w:val="en-US"/>
        </w:rPr>
        <w:t xml:space="preserve">develop </w:t>
      </w:r>
      <w:r w:rsidR="009C79F6" w:rsidRPr="00546952">
        <w:rPr>
          <w:rFonts w:ascii="Palatino Linotype" w:hAnsi="Palatino Linotype" w:cs="Arial"/>
          <w:lang w:val="en-US"/>
        </w:rPr>
        <w:t>a comprehensive understanding of ADR processes, but a desire to incorporate them into their future legal practice as appropriate and fundamental methods of dispute resolution.</w:t>
      </w:r>
      <w:r w:rsidR="009C79F6" w:rsidRPr="00546952">
        <w:rPr>
          <w:rStyle w:val="FootnoteReference"/>
          <w:rFonts w:ascii="Palatino Linotype" w:hAnsi="Palatino Linotype" w:cs="Arial"/>
          <w:lang w:val="en-US"/>
        </w:rPr>
        <w:footnoteReference w:id="102"/>
      </w:r>
      <w:r w:rsidR="009C79F6" w:rsidRPr="00546952">
        <w:rPr>
          <w:rFonts w:ascii="Palatino Linotype" w:hAnsi="Palatino Linotype" w:cs="Arial"/>
          <w:lang w:val="en-US"/>
        </w:rPr>
        <w:t xml:space="preserve"> </w:t>
      </w:r>
    </w:p>
    <w:p w14:paraId="0ABFF4B6" w14:textId="77777777" w:rsidR="00B93A44"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In 2008, the </w:t>
      </w:r>
      <w:r w:rsidRPr="00546952">
        <w:rPr>
          <w:rFonts w:ascii="Palatino Linotype" w:hAnsi="Palatino Linotype" w:cs="Arial"/>
          <w:i/>
          <w:lang w:val="en-US"/>
        </w:rPr>
        <w:t>Review of Australian Higher Education</w:t>
      </w:r>
      <w:r w:rsidRPr="00546952">
        <w:rPr>
          <w:rFonts w:ascii="Palatino Linotype" w:hAnsi="Palatino Linotype" w:cs="Arial"/>
          <w:lang w:val="en-US"/>
        </w:rPr>
        <w:t xml:space="preserve"> (the Bradley Review)</w:t>
      </w:r>
      <w:r w:rsidRPr="00546952">
        <w:rPr>
          <w:rStyle w:val="FootnoteReference"/>
          <w:rFonts w:ascii="Palatino Linotype" w:hAnsi="Palatino Linotype" w:cs="Arial"/>
          <w:lang w:val="en-US"/>
        </w:rPr>
        <w:footnoteReference w:id="103"/>
      </w:r>
      <w:r w:rsidRPr="00546952">
        <w:rPr>
          <w:rFonts w:ascii="Palatino Linotype" w:hAnsi="Palatino Linotype" w:cs="Arial"/>
          <w:lang w:val="en-US"/>
        </w:rPr>
        <w:t xml:space="preserve"> was conducted to look at the quality of Australian higher education. According to the review, the standard of higher education in Australia had begun to lag </w:t>
      </w:r>
      <w:r w:rsidRPr="00546952">
        <w:rPr>
          <w:rFonts w:ascii="Palatino Linotype" w:hAnsi="Palatino Linotype" w:cs="Arial"/>
          <w:lang w:val="en-US"/>
        </w:rPr>
        <w:lastRenderedPageBreak/>
        <w:t xml:space="preserve">behind other </w:t>
      </w:r>
      <w:proofErr w:type="spellStart"/>
      <w:r w:rsidRPr="00546952">
        <w:rPr>
          <w:rFonts w:ascii="Palatino Linotype" w:hAnsi="Palatino Linotype" w:cs="Arial"/>
          <w:lang w:val="en-US"/>
        </w:rPr>
        <w:t>Organisation</w:t>
      </w:r>
      <w:proofErr w:type="spellEnd"/>
      <w:r w:rsidRPr="00546952">
        <w:rPr>
          <w:rFonts w:ascii="Palatino Linotype" w:hAnsi="Palatino Linotype" w:cs="Arial"/>
          <w:lang w:val="en-US"/>
        </w:rPr>
        <w:t xml:space="preserve"> for Economic Co-operation and Development (OECD) countries and Australia needed to increase funding, improve staff/student ratios and value teaching in universities and other providers.</w:t>
      </w:r>
      <w:r w:rsidRPr="00546952">
        <w:rPr>
          <w:rStyle w:val="FootnoteReference"/>
          <w:rFonts w:ascii="Palatino Linotype" w:hAnsi="Palatino Linotype" w:cs="Arial"/>
          <w:lang w:val="en-US"/>
        </w:rPr>
        <w:footnoteReference w:id="104"/>
      </w:r>
      <w:r w:rsidRPr="00546952">
        <w:rPr>
          <w:rFonts w:ascii="Palatino Linotype" w:hAnsi="Palatino Linotype" w:cs="Arial"/>
          <w:lang w:val="en-US"/>
        </w:rPr>
        <w:t xml:space="preserve"> </w:t>
      </w:r>
    </w:p>
    <w:p w14:paraId="4A5E4E4F" w14:textId="2F08242E"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In response to this report, the Australian Federal government introduced a new regulatory regime to ensure quality in the tertiary sector. This regime required all higher education providers to meet Threshold Standards in order to enter and remain in the sector.</w:t>
      </w:r>
      <w:r w:rsidRPr="00546952">
        <w:rPr>
          <w:rStyle w:val="FootnoteReference"/>
          <w:rFonts w:ascii="Palatino Linotype" w:hAnsi="Palatino Linotype" w:cs="Arial"/>
          <w:lang w:val="en-US"/>
        </w:rPr>
        <w:footnoteReference w:id="105"/>
      </w:r>
      <w:r w:rsidRPr="00546952">
        <w:rPr>
          <w:rFonts w:ascii="Palatino Linotype" w:hAnsi="Palatino Linotype" w:cs="Arial"/>
          <w:lang w:val="en-US"/>
        </w:rPr>
        <w:t xml:space="preserve"> Selected discipline areas were given articulated threshold learning outcomes (TLOs) including for the Bachelor of Laws, under the Federal Government Learning and Teaching Academic Standards project.</w:t>
      </w:r>
      <w:r w:rsidRPr="00546952">
        <w:rPr>
          <w:rStyle w:val="FootnoteReference"/>
          <w:rFonts w:ascii="Palatino Linotype" w:hAnsi="Palatino Linotype" w:cs="Arial"/>
          <w:lang w:val="en-US"/>
        </w:rPr>
        <w:footnoteReference w:id="106"/>
      </w:r>
      <w:r w:rsidRPr="00546952">
        <w:rPr>
          <w:rFonts w:ascii="Palatino Linotype" w:hAnsi="Palatino Linotype" w:cs="Arial"/>
          <w:lang w:val="en-US"/>
        </w:rPr>
        <w:t xml:space="preserve"> In 2010, funding was provided to develop benchmark standards in law, as part of a new Higher Education Quality and Regulatory Framework and these standards were completed in December 2010.</w:t>
      </w:r>
      <w:r w:rsidRPr="00546952">
        <w:rPr>
          <w:rStyle w:val="FootnoteReference"/>
          <w:rFonts w:ascii="Palatino Linotype" w:hAnsi="Palatino Linotype" w:cs="Arial"/>
          <w:lang w:val="en-US"/>
        </w:rPr>
        <w:footnoteReference w:id="107"/>
      </w:r>
      <w:r w:rsidR="00134610" w:rsidRPr="00546952">
        <w:rPr>
          <w:rFonts w:ascii="Palatino Linotype" w:hAnsi="Palatino Linotype" w:cs="Arial"/>
          <w:lang w:val="en-US"/>
        </w:rPr>
        <w:t xml:space="preserve"> </w:t>
      </w:r>
      <w:r w:rsidRPr="00546952">
        <w:rPr>
          <w:rFonts w:ascii="Palatino Linotype" w:hAnsi="Palatino Linotype" w:cs="Arial"/>
          <w:lang w:val="en-US"/>
        </w:rPr>
        <w:t>The Australian Qualifications Framework (AQF) provides a hierarchy of education qualification categories. For each qualification category, there are specified learning outcomes – that is, levels of attainment in defined areas of skills and knowledge that students are expected to achieve by completing the university course.</w:t>
      </w:r>
      <w:r w:rsidRPr="00546952">
        <w:rPr>
          <w:rStyle w:val="FootnoteReference"/>
          <w:rFonts w:ascii="Palatino Linotype" w:hAnsi="Palatino Linotype" w:cs="Arial"/>
          <w:lang w:val="en-US"/>
        </w:rPr>
        <w:footnoteReference w:id="108"/>
      </w:r>
      <w:r w:rsidRPr="00546952">
        <w:rPr>
          <w:rFonts w:ascii="Palatino Linotype" w:hAnsi="Palatino Linotype" w:cs="Arial"/>
          <w:lang w:val="en-US"/>
        </w:rPr>
        <w:t xml:space="preserve"> Since 1 July 2015, all university courses have been required to comply </w:t>
      </w:r>
      <w:r w:rsidRPr="00546952">
        <w:rPr>
          <w:rFonts w:ascii="Palatino Linotype" w:hAnsi="Palatino Linotype" w:cs="Arial"/>
          <w:lang w:val="en-US"/>
        </w:rPr>
        <w:lastRenderedPageBreak/>
        <w:t>with the AQF.</w:t>
      </w:r>
      <w:r w:rsidRPr="00546952">
        <w:rPr>
          <w:rStyle w:val="FootnoteReference"/>
          <w:rFonts w:ascii="Palatino Linotype" w:hAnsi="Palatino Linotype" w:cs="Arial"/>
          <w:lang w:val="en-US"/>
        </w:rPr>
        <w:footnoteReference w:id="109"/>
      </w:r>
      <w:r w:rsidRPr="00546952">
        <w:rPr>
          <w:rFonts w:ascii="Palatino Linotype" w:hAnsi="Palatino Linotype" w:cs="Arial"/>
          <w:lang w:val="en-US"/>
        </w:rPr>
        <w:t xml:space="preserve"> Education providers are required to demonstrate student achievement of the AQF learning outcomes specified for the relevant qualification category. The Australian Learning and Teaching Council (ALTC) established discipline forums to develop standards that define the skills and knowledge required for particular discipline areas. The ALTC discipline forum for law developed the </w:t>
      </w:r>
      <w:r w:rsidRPr="00546952">
        <w:rPr>
          <w:rFonts w:ascii="Palatino Linotype" w:hAnsi="Palatino Linotype" w:cs="Arial"/>
          <w:i/>
          <w:lang w:val="en-US"/>
        </w:rPr>
        <w:t>Bachelor of Laws Learning</w:t>
      </w:r>
      <w:r w:rsidRPr="00546952">
        <w:rPr>
          <w:rFonts w:ascii="Palatino Linotype" w:hAnsi="Palatino Linotype" w:cs="Arial"/>
          <w:lang w:val="en-US"/>
        </w:rPr>
        <w:t xml:space="preserve"> </w:t>
      </w:r>
      <w:r w:rsidRPr="00546952">
        <w:rPr>
          <w:rFonts w:ascii="Palatino Linotype" w:hAnsi="Palatino Linotype" w:cs="Arial"/>
          <w:i/>
          <w:lang w:val="en-US"/>
        </w:rPr>
        <w:t>and Teaching Academic Standards Statement</w:t>
      </w:r>
      <w:r w:rsidRPr="00546952">
        <w:rPr>
          <w:rFonts w:ascii="Palatino Linotype" w:hAnsi="Palatino Linotype" w:cs="Arial"/>
          <w:lang w:val="en-US"/>
        </w:rPr>
        <w:t xml:space="preserve"> (the ALTC Standards), a statement of threshold learning outcomes for LLB courses offered by Australian universities.</w:t>
      </w:r>
      <w:r w:rsidRPr="00546952">
        <w:rPr>
          <w:rStyle w:val="FootnoteReference"/>
          <w:rFonts w:ascii="Palatino Linotype" w:hAnsi="Palatino Linotype" w:cs="Arial"/>
          <w:lang w:val="en-US"/>
        </w:rPr>
        <w:footnoteReference w:id="110"/>
      </w:r>
      <w:r w:rsidRPr="00546952">
        <w:rPr>
          <w:rFonts w:ascii="Palatino Linotype" w:hAnsi="Palatino Linotype" w:cs="Arial"/>
          <w:lang w:val="en-US"/>
        </w:rPr>
        <w:t xml:space="preserve"> </w:t>
      </w:r>
    </w:p>
    <w:p w14:paraId="52453487" w14:textId="05BE74F2"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ADR </w:t>
      </w:r>
      <w:r w:rsidR="00B704D6" w:rsidRPr="00546952">
        <w:rPr>
          <w:rFonts w:ascii="Palatino Linotype" w:hAnsi="Palatino Linotype" w:cs="Arial"/>
          <w:lang w:val="en-US"/>
        </w:rPr>
        <w:t xml:space="preserve">can be seen </w:t>
      </w:r>
      <w:r w:rsidRPr="00546952">
        <w:rPr>
          <w:rFonts w:ascii="Palatino Linotype" w:hAnsi="Palatino Linotype" w:cs="Arial"/>
          <w:lang w:val="en-US"/>
        </w:rPr>
        <w:t xml:space="preserve">as both theory and skills education and </w:t>
      </w:r>
      <w:r w:rsidR="00E51AFB" w:rsidRPr="00546952">
        <w:rPr>
          <w:rFonts w:ascii="Palatino Linotype" w:hAnsi="Palatino Linotype" w:cs="Arial"/>
          <w:lang w:val="en-US"/>
        </w:rPr>
        <w:t xml:space="preserve">some scholars have </w:t>
      </w:r>
      <w:r w:rsidR="007852D2" w:rsidRPr="00546952">
        <w:rPr>
          <w:rFonts w:ascii="Palatino Linotype" w:hAnsi="Palatino Linotype" w:cs="Arial"/>
          <w:lang w:val="en-US"/>
        </w:rPr>
        <w:t>suggested</w:t>
      </w:r>
      <w:r w:rsidRPr="00546952">
        <w:rPr>
          <w:rFonts w:ascii="Palatino Linotype" w:hAnsi="Palatino Linotype" w:cs="Arial"/>
          <w:lang w:val="en-US"/>
        </w:rPr>
        <w:t xml:space="preserve"> that this discipline area covers a number of learning outcomes that a law student should master as part of their studies.</w:t>
      </w:r>
      <w:r w:rsidRPr="00546952">
        <w:rPr>
          <w:rStyle w:val="FootnoteReference"/>
          <w:rFonts w:ascii="Palatino Linotype" w:hAnsi="Palatino Linotype" w:cs="Arial"/>
          <w:lang w:val="en-US"/>
        </w:rPr>
        <w:footnoteReference w:id="111"/>
      </w:r>
      <w:r w:rsidRPr="00546952">
        <w:rPr>
          <w:rFonts w:ascii="Palatino Linotype" w:hAnsi="Palatino Linotype" w:cs="Arial"/>
          <w:lang w:val="en-US"/>
        </w:rPr>
        <w:t xml:space="preserve"> ADR is relevant in four prime areas out of the six TLOS. These include TLO 1: knowledge, TLO 3: thinking skills, TLO 5: communication and collaboration and TLO 6: self-management. </w:t>
      </w:r>
      <w:r w:rsidRPr="00546952">
        <w:rPr>
          <w:rStyle w:val="FootnoteReference"/>
          <w:rFonts w:ascii="Palatino Linotype" w:hAnsi="Palatino Linotype" w:cs="Arial"/>
          <w:lang w:val="en-US"/>
        </w:rPr>
        <w:footnoteReference w:id="112"/>
      </w:r>
      <w:r w:rsidRPr="00546952">
        <w:rPr>
          <w:rFonts w:ascii="Palatino Linotype" w:hAnsi="Palatino Linotype" w:cs="Arial"/>
          <w:lang w:val="en-US"/>
        </w:rPr>
        <w:t xml:space="preserve"> What this means is that even though ADR is not currently mandated for admission as a lawyer in Australia, learning outcomes from ADR courses </w:t>
      </w:r>
      <w:r w:rsidR="00E51AFB" w:rsidRPr="00546952">
        <w:rPr>
          <w:rFonts w:ascii="Palatino Linotype" w:hAnsi="Palatino Linotype" w:cs="Arial"/>
        </w:rPr>
        <w:t>align with the requirements of contemporary legal education.</w:t>
      </w:r>
      <w:r w:rsidRPr="00546952">
        <w:rPr>
          <w:rStyle w:val="FootnoteReference"/>
          <w:rFonts w:ascii="Palatino Linotype" w:hAnsi="Palatino Linotype" w:cs="Arial"/>
          <w:lang w:val="en-US"/>
        </w:rPr>
        <w:footnoteReference w:id="113"/>
      </w:r>
      <w:r w:rsidRPr="00546952">
        <w:rPr>
          <w:rFonts w:ascii="Palatino Linotype" w:hAnsi="Palatino Linotype" w:cs="Arial"/>
          <w:lang w:val="en-US"/>
        </w:rPr>
        <w:t xml:space="preserve"> </w:t>
      </w:r>
      <w:r w:rsidR="007852D2" w:rsidRPr="00546952">
        <w:rPr>
          <w:rFonts w:ascii="Palatino Linotype" w:hAnsi="Palatino Linotype" w:cs="Arial"/>
          <w:lang w:val="en-US"/>
        </w:rPr>
        <w:t>T</w:t>
      </w:r>
      <w:r w:rsidRPr="00546952">
        <w:rPr>
          <w:rFonts w:ascii="Palatino Linotype" w:hAnsi="Palatino Linotype" w:cs="Arial"/>
          <w:lang w:val="en-US"/>
        </w:rPr>
        <w:t>his initiative</w:t>
      </w:r>
      <w:r w:rsidR="007852D2" w:rsidRPr="00546952">
        <w:rPr>
          <w:rFonts w:ascii="Palatino Linotype" w:hAnsi="Palatino Linotype" w:cs="Arial"/>
          <w:lang w:val="en-US"/>
        </w:rPr>
        <w:t xml:space="preserve"> is seen</w:t>
      </w:r>
      <w:r w:rsidRPr="00546952">
        <w:rPr>
          <w:rFonts w:ascii="Palatino Linotype" w:hAnsi="Palatino Linotype" w:cs="Arial"/>
          <w:lang w:val="en-US"/>
        </w:rPr>
        <w:t xml:space="preserve"> as representing a significant increase in the status of ADR with many law schools likely to be influenced to include ADR in the compulsory </w:t>
      </w:r>
      <w:r w:rsidRPr="00546952">
        <w:rPr>
          <w:rFonts w:ascii="Palatino Linotype" w:hAnsi="Palatino Linotype" w:cs="Arial"/>
          <w:lang w:val="en-US"/>
        </w:rPr>
        <w:lastRenderedPageBreak/>
        <w:t>curriculum, in some form, due to the TLOs.</w:t>
      </w:r>
      <w:r w:rsidRPr="00546952">
        <w:rPr>
          <w:rStyle w:val="FootnoteReference"/>
          <w:rFonts w:ascii="Palatino Linotype" w:hAnsi="Palatino Linotype" w:cs="Arial"/>
          <w:lang w:val="en-US"/>
        </w:rPr>
        <w:footnoteReference w:id="114"/>
      </w:r>
      <w:r w:rsidRPr="00546952">
        <w:rPr>
          <w:rFonts w:ascii="Palatino Linotype" w:hAnsi="Palatino Linotype" w:cs="Arial"/>
          <w:lang w:val="en-US"/>
        </w:rPr>
        <w:t xml:space="preserve"> </w:t>
      </w:r>
      <w:r w:rsidR="00475934" w:rsidRPr="00546952">
        <w:rPr>
          <w:rFonts w:ascii="Palatino Linotype" w:hAnsi="Palatino Linotype" w:cs="Arial"/>
          <w:lang w:val="en-US"/>
        </w:rPr>
        <w:t xml:space="preserve">Importantly, </w:t>
      </w:r>
      <w:r w:rsidR="007852D2" w:rsidRPr="00546952">
        <w:rPr>
          <w:rFonts w:ascii="Palatino Linotype" w:hAnsi="Palatino Linotype" w:cs="Arial"/>
          <w:lang w:val="en-US"/>
        </w:rPr>
        <w:t xml:space="preserve">Douglas </w:t>
      </w:r>
      <w:r w:rsidRPr="00546952">
        <w:rPr>
          <w:rFonts w:ascii="Palatino Linotype" w:hAnsi="Palatino Linotype" w:cs="Arial"/>
          <w:lang w:val="en-US"/>
        </w:rPr>
        <w:t>tempers these findings with a warning that despite the potential for TLOs to encourage a deeper focus on ADR, law schools may meet these new requirements but still not offer students a quality experience of ADR theory and practice.</w:t>
      </w:r>
      <w:r w:rsidRPr="00546952">
        <w:rPr>
          <w:rStyle w:val="FootnoteReference"/>
          <w:rFonts w:ascii="Palatino Linotype" w:hAnsi="Palatino Linotype" w:cs="Arial"/>
          <w:lang w:val="en-US"/>
        </w:rPr>
        <w:footnoteReference w:id="115"/>
      </w:r>
      <w:r w:rsidRPr="00546952">
        <w:rPr>
          <w:rFonts w:ascii="Palatino Linotype" w:hAnsi="Palatino Linotype" w:cs="Arial"/>
          <w:lang w:val="en-US"/>
        </w:rPr>
        <w:t xml:space="preserve"> Douglas cautions against including ADR as an add-on to core law subjects such as civil procedure. She argues that if this were to happen, students would experience ADR within a litigation framework (given the specific subject being studied), and as a cursory treatment of ADR in the learning and teaching design.</w:t>
      </w:r>
      <w:r w:rsidRPr="00546952">
        <w:rPr>
          <w:rStyle w:val="FootnoteReference"/>
          <w:rFonts w:ascii="Palatino Linotype" w:hAnsi="Palatino Linotype" w:cs="Arial"/>
          <w:lang w:val="en-US"/>
        </w:rPr>
        <w:footnoteReference w:id="116"/>
      </w:r>
      <w:r w:rsidRPr="00546952">
        <w:rPr>
          <w:rFonts w:ascii="Palatino Linotype" w:hAnsi="Palatino Linotype" w:cs="Arial"/>
          <w:lang w:val="en-US"/>
        </w:rPr>
        <w:t xml:space="preserve"> According to Douglas, this integrated approach to ADR may mean that ADR is taught as a module that fails to address theoretical concerns in depth, and is unlikely to be taught by an ADR </w:t>
      </w:r>
      <w:r w:rsidR="00781084" w:rsidRPr="00546952">
        <w:rPr>
          <w:rFonts w:ascii="Palatino Linotype" w:hAnsi="Palatino Linotype" w:cs="Arial"/>
          <w:lang w:val="en-US"/>
        </w:rPr>
        <w:t>‘</w:t>
      </w:r>
      <w:r w:rsidRPr="00546952">
        <w:rPr>
          <w:rFonts w:ascii="Palatino Linotype" w:hAnsi="Palatino Linotype" w:cs="Arial"/>
          <w:lang w:val="en-US"/>
        </w:rPr>
        <w:t>expert</w:t>
      </w:r>
      <w:r w:rsidR="00781084" w:rsidRPr="00546952">
        <w:rPr>
          <w:rFonts w:ascii="Palatino Linotype" w:hAnsi="Palatino Linotype" w:cs="Arial"/>
          <w:lang w:val="en-US"/>
        </w:rPr>
        <w:t>’</w:t>
      </w:r>
      <w:r w:rsidRPr="00546952">
        <w:rPr>
          <w:rFonts w:ascii="Palatino Linotype" w:hAnsi="Palatino Linotype" w:cs="Arial"/>
          <w:lang w:val="en-US"/>
        </w:rPr>
        <w:t>, which may diminish the effectiveness of the learning and teaching design.</w:t>
      </w:r>
      <w:r w:rsidRPr="00546952">
        <w:rPr>
          <w:rStyle w:val="FootnoteReference"/>
          <w:rFonts w:ascii="Palatino Linotype" w:hAnsi="Palatino Linotype" w:cs="Arial"/>
          <w:lang w:val="en-US"/>
        </w:rPr>
        <w:footnoteReference w:id="117"/>
      </w:r>
      <w:r w:rsidRPr="00546952">
        <w:rPr>
          <w:rFonts w:ascii="Palatino Linotype" w:hAnsi="Palatino Linotype" w:cs="Arial"/>
          <w:lang w:val="en-US"/>
        </w:rPr>
        <w:t xml:space="preserve"> </w:t>
      </w:r>
    </w:p>
    <w:p w14:paraId="2638C1B9" w14:textId="096CFCC9" w:rsidR="00EF4431" w:rsidRPr="00546952" w:rsidRDefault="00DC67D3"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Over the last 10 years, a number of Australian law schools have included ADR as a focus in</w:t>
      </w:r>
      <w:r w:rsidR="00EF4431" w:rsidRPr="00546952">
        <w:rPr>
          <w:rFonts w:ascii="Palatino Linotype" w:hAnsi="Palatino Linotype" w:cs="Arial"/>
          <w:lang w:val="en-US"/>
        </w:rPr>
        <w:t xml:space="preserve"> the curricula. By way of example, </w:t>
      </w:r>
      <w:r w:rsidR="00EF4431" w:rsidRPr="00546952">
        <w:rPr>
          <w:rFonts w:ascii="Palatino Linotype" w:hAnsi="Palatino Linotype" w:cs="Arial"/>
          <w:bCs/>
          <w:lang w:val="en-US"/>
        </w:rPr>
        <w:t>La Trobe University Law School</w:t>
      </w:r>
      <w:r w:rsidR="00EF4431" w:rsidRPr="00546952">
        <w:rPr>
          <w:rFonts w:ascii="Palatino Linotype" w:hAnsi="Palatino Linotype" w:cs="Arial"/>
          <w:lang w:val="en-US"/>
        </w:rPr>
        <w:t xml:space="preserve"> was the first Australian law school to incorporate a compulsory dispute resolution subject into its law curriculum. Since 2005, all law students in La Trobe’s LLB program are required to </w:t>
      </w:r>
      <w:proofErr w:type="spellStart"/>
      <w:r w:rsidR="00EF4431" w:rsidRPr="00546952">
        <w:rPr>
          <w:rFonts w:ascii="Palatino Linotype" w:hAnsi="Palatino Linotype" w:cs="Arial"/>
          <w:lang w:val="en-US"/>
        </w:rPr>
        <w:t>enrol</w:t>
      </w:r>
      <w:proofErr w:type="spellEnd"/>
      <w:r w:rsidR="00EF4431" w:rsidRPr="00546952">
        <w:rPr>
          <w:rFonts w:ascii="Palatino Linotype" w:hAnsi="Palatino Linotype" w:cs="Arial"/>
          <w:lang w:val="en-US"/>
        </w:rPr>
        <w:t xml:space="preserve"> in the course, Dispute Resolution, which provides a general introduction to the theoretical and practical aspects of conflict and dispute resolution, including litigation.</w:t>
      </w:r>
      <w:r w:rsidR="00EF4431" w:rsidRPr="00546952">
        <w:rPr>
          <w:rStyle w:val="FootnoteReference"/>
          <w:rFonts w:ascii="Palatino Linotype" w:hAnsi="Palatino Linotype" w:cs="Arial"/>
          <w:lang w:val="en-US"/>
        </w:rPr>
        <w:footnoteReference w:id="118"/>
      </w:r>
      <w:r w:rsidR="00EF4431" w:rsidRPr="00546952">
        <w:rPr>
          <w:rFonts w:ascii="Palatino Linotype" w:hAnsi="Palatino Linotype" w:cs="Arial"/>
          <w:lang w:val="en-US"/>
        </w:rPr>
        <w:t xml:space="preserve"> More details of the </w:t>
      </w:r>
      <w:r w:rsidR="00EF4431" w:rsidRPr="00546952">
        <w:rPr>
          <w:rFonts w:ascii="Palatino Linotype" w:hAnsi="Palatino Linotype" w:cs="Arial"/>
          <w:lang w:val="en-US"/>
        </w:rPr>
        <w:lastRenderedPageBreak/>
        <w:t>structure of the course can be obtained</w:t>
      </w:r>
      <w:r w:rsidR="00EF4431" w:rsidRPr="00546952">
        <w:rPr>
          <w:rStyle w:val="FootnoteReference"/>
          <w:rFonts w:ascii="Palatino Linotype" w:hAnsi="Palatino Linotype" w:cs="Arial"/>
          <w:lang w:val="en-US"/>
        </w:rPr>
        <w:footnoteReference w:id="119"/>
      </w:r>
      <w:r w:rsidR="00EF4431" w:rsidRPr="00546952">
        <w:rPr>
          <w:rFonts w:ascii="Palatino Linotype" w:hAnsi="Palatino Linotype" w:cs="Arial"/>
          <w:lang w:val="en-US"/>
        </w:rPr>
        <w:t>, though it must be noted that processes of arbitration, conciliation, mediation and negotiation are described and evaluated in this course. Guest lecturers who are experienced practitioners in the field of mediation are used in a variety of areas including family law</w:t>
      </w:r>
      <w:r w:rsidR="00EF4431" w:rsidRPr="00546952">
        <w:rPr>
          <w:rStyle w:val="FootnoteReference"/>
          <w:rFonts w:ascii="Palatino Linotype" w:hAnsi="Palatino Linotype" w:cs="Arial"/>
          <w:lang w:val="en-US"/>
        </w:rPr>
        <w:footnoteReference w:id="120"/>
      </w:r>
      <w:r w:rsidR="00EF4431" w:rsidRPr="00546952">
        <w:rPr>
          <w:rFonts w:ascii="Palatino Linotype" w:hAnsi="Palatino Linotype" w:cs="Arial"/>
          <w:lang w:val="en-US"/>
        </w:rPr>
        <w:t xml:space="preserve"> Skills- based training in negotiation and mediation is a major and compulsory component of the course. It is noted by </w:t>
      </w:r>
      <w:proofErr w:type="spellStart"/>
      <w:r w:rsidR="00EF4431" w:rsidRPr="00546952">
        <w:rPr>
          <w:rFonts w:ascii="Palatino Linotype" w:hAnsi="Palatino Linotype" w:cs="Arial"/>
          <w:lang w:val="en-US"/>
        </w:rPr>
        <w:t>Gutman</w:t>
      </w:r>
      <w:proofErr w:type="spellEnd"/>
      <w:r w:rsidR="00EF4431" w:rsidRPr="00546952">
        <w:rPr>
          <w:rFonts w:ascii="Palatino Linotype" w:hAnsi="Palatino Linotype" w:cs="Arial"/>
          <w:lang w:val="en-US"/>
        </w:rPr>
        <w:t xml:space="preserve"> and Riddle that ‘the </w:t>
      </w:r>
      <w:r w:rsidR="00781084" w:rsidRPr="00546952">
        <w:rPr>
          <w:rFonts w:ascii="Palatino Linotype" w:hAnsi="Palatino Linotype" w:cs="Arial"/>
          <w:lang w:val="en-US"/>
        </w:rPr>
        <w:t>‘</w:t>
      </w:r>
      <w:r w:rsidR="00EF4431" w:rsidRPr="00546952">
        <w:rPr>
          <w:rFonts w:ascii="Palatino Linotype" w:hAnsi="Palatino Linotype" w:cs="Arial"/>
          <w:lang w:val="en-US"/>
        </w:rPr>
        <w:t>learning by doing</w:t>
      </w:r>
      <w:r w:rsidR="00522E88" w:rsidRPr="00546952">
        <w:rPr>
          <w:rFonts w:ascii="Palatino Linotype" w:hAnsi="Palatino Linotype" w:cs="Arial"/>
          <w:lang w:val="en-US"/>
        </w:rPr>
        <w:t>’</w:t>
      </w:r>
      <w:r w:rsidR="00EF4431" w:rsidRPr="00546952">
        <w:rPr>
          <w:rFonts w:ascii="Palatino Linotype" w:hAnsi="Palatino Linotype" w:cs="Arial"/>
          <w:lang w:val="en-US"/>
        </w:rPr>
        <w:t xml:space="preserve"> teaching philosophy behind the program is the central point of teaching and learning in the subject.’</w:t>
      </w:r>
      <w:r w:rsidR="00EF4431" w:rsidRPr="00546952">
        <w:rPr>
          <w:rStyle w:val="FootnoteReference"/>
          <w:rFonts w:ascii="Palatino Linotype" w:hAnsi="Palatino Linotype" w:cs="Arial"/>
          <w:lang w:val="en-US"/>
        </w:rPr>
        <w:footnoteReference w:id="121"/>
      </w:r>
      <w:r w:rsidR="00EF4431" w:rsidRPr="00546952">
        <w:rPr>
          <w:rFonts w:ascii="Palatino Linotype" w:hAnsi="Palatino Linotype" w:cs="Arial"/>
          <w:lang w:val="en-US"/>
        </w:rPr>
        <w:t xml:space="preserve"> This is brought about by the exploration of theoretical concepts in lectures and discussing readings on the lecture topics in seminars. The seminars allow the students to develop fundamental skills such as communication, negotiation and mediation in a smaller environment.</w:t>
      </w:r>
      <w:r w:rsidR="00EF4431" w:rsidRPr="00546952">
        <w:rPr>
          <w:rStyle w:val="FootnoteReference"/>
          <w:rFonts w:ascii="Palatino Linotype" w:hAnsi="Palatino Linotype" w:cs="Arial"/>
          <w:lang w:val="en-US"/>
        </w:rPr>
        <w:footnoteReference w:id="122"/>
      </w:r>
      <w:r w:rsidR="00EF4431" w:rsidRPr="00546952">
        <w:rPr>
          <w:rFonts w:ascii="Palatino Linotype" w:hAnsi="Palatino Linotype" w:cs="Arial"/>
          <w:lang w:val="en-US"/>
        </w:rPr>
        <w:t xml:space="preserve">  According to </w:t>
      </w:r>
      <w:proofErr w:type="spellStart"/>
      <w:r w:rsidR="00EF4431" w:rsidRPr="00546952">
        <w:rPr>
          <w:rFonts w:ascii="Palatino Linotype" w:hAnsi="Palatino Linotype" w:cs="Arial"/>
          <w:lang w:val="en-US"/>
        </w:rPr>
        <w:t>Gutman</w:t>
      </w:r>
      <w:proofErr w:type="spellEnd"/>
      <w:r w:rsidR="00EF4431" w:rsidRPr="00546952">
        <w:rPr>
          <w:rFonts w:ascii="Palatino Linotype" w:hAnsi="Palatino Linotype" w:cs="Arial"/>
          <w:lang w:val="en-US"/>
        </w:rPr>
        <w:t xml:space="preserve"> and Riddle ‘student evaluations of this course </w:t>
      </w:r>
      <w:r w:rsidR="00522E88" w:rsidRPr="00546952">
        <w:rPr>
          <w:rFonts w:ascii="Palatino Linotype" w:hAnsi="Palatino Linotype" w:cs="Arial"/>
          <w:lang w:val="en-US"/>
        </w:rPr>
        <w:t>‘</w:t>
      </w:r>
      <w:r w:rsidR="00EF4431" w:rsidRPr="00546952">
        <w:rPr>
          <w:rFonts w:ascii="Palatino Linotype" w:hAnsi="Palatino Linotype" w:cs="Arial"/>
          <w:lang w:val="en-US"/>
        </w:rPr>
        <w:t>have been overwhelmingly positive</w:t>
      </w:r>
      <w:r w:rsidR="00522E88" w:rsidRPr="00546952">
        <w:rPr>
          <w:rFonts w:ascii="Palatino Linotype" w:hAnsi="Palatino Linotype" w:cs="Arial"/>
          <w:lang w:val="en-US"/>
        </w:rPr>
        <w:t>’</w:t>
      </w:r>
      <w:r w:rsidR="00EF4431" w:rsidRPr="00546952">
        <w:rPr>
          <w:rFonts w:ascii="Palatino Linotype" w:hAnsi="Palatino Linotype" w:cs="Arial"/>
          <w:lang w:val="en-US"/>
        </w:rPr>
        <w:t>.’</w:t>
      </w:r>
      <w:r w:rsidR="00EF4431" w:rsidRPr="00546952">
        <w:rPr>
          <w:rStyle w:val="FootnoteReference"/>
          <w:rFonts w:ascii="Palatino Linotype" w:hAnsi="Palatino Linotype" w:cs="Arial"/>
          <w:lang w:val="en-US"/>
        </w:rPr>
        <w:footnoteReference w:id="123"/>
      </w:r>
      <w:r w:rsidR="00EF4431" w:rsidRPr="00546952">
        <w:rPr>
          <w:rFonts w:ascii="Palatino Linotype" w:hAnsi="Palatino Linotype" w:cs="Arial"/>
          <w:lang w:val="en-US"/>
        </w:rPr>
        <w:t xml:space="preserve"> </w:t>
      </w:r>
    </w:p>
    <w:p w14:paraId="51024C0B" w14:textId="77777777" w:rsidR="00B87CC4" w:rsidRPr="00546952" w:rsidRDefault="002A70D7"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In 2016, </w:t>
      </w:r>
      <w:r w:rsidRPr="00546952">
        <w:rPr>
          <w:rFonts w:ascii="Palatino Linotype" w:hAnsi="Palatino Linotype" w:cs="Arial"/>
          <w:bCs/>
          <w:lang w:val="en-US"/>
        </w:rPr>
        <w:t>Monash University</w:t>
      </w:r>
      <w:r w:rsidRPr="00546952">
        <w:rPr>
          <w:rFonts w:ascii="Palatino Linotype" w:hAnsi="Palatino Linotype" w:cs="Arial"/>
          <w:lang w:val="en-US"/>
        </w:rPr>
        <w:t xml:space="preserve"> incorporated ADR into the Civil Procedure Unit for LLB and JD students. The teaching approach to the Unit includes lectures conducted in lecture/seminar style with three tutorials supporting the student’s learning. </w:t>
      </w:r>
      <w:r w:rsidR="001D67CF" w:rsidRPr="00546952">
        <w:rPr>
          <w:rFonts w:ascii="Palatino Linotype" w:hAnsi="Palatino Linotype" w:cs="Arial"/>
          <w:lang w:val="en-US"/>
        </w:rPr>
        <w:t>S</w:t>
      </w:r>
      <w:r w:rsidRPr="00546952">
        <w:rPr>
          <w:rFonts w:ascii="Palatino Linotype" w:hAnsi="Palatino Linotype" w:cs="Arial"/>
          <w:lang w:val="en-US"/>
        </w:rPr>
        <w:t xml:space="preserve">tudents are given lectures on Introduction to the Civil Justice System and Alternative Dispute Resolution. </w:t>
      </w:r>
      <w:r w:rsidR="00B808B2" w:rsidRPr="00546952">
        <w:rPr>
          <w:rFonts w:ascii="Palatino Linotype" w:hAnsi="Palatino Linotype" w:cs="Arial"/>
          <w:lang w:val="en-US"/>
        </w:rPr>
        <w:t>In a</w:t>
      </w:r>
      <w:r w:rsidR="001D67CF" w:rsidRPr="00546952">
        <w:rPr>
          <w:rFonts w:ascii="Palatino Linotype" w:hAnsi="Palatino Linotype" w:cs="Arial"/>
          <w:lang w:val="en-US"/>
        </w:rPr>
        <w:t xml:space="preserve"> </w:t>
      </w:r>
      <w:r w:rsidRPr="00546952">
        <w:rPr>
          <w:rFonts w:ascii="Palatino Linotype" w:hAnsi="Palatino Linotype" w:cs="Arial"/>
          <w:lang w:val="en-US"/>
        </w:rPr>
        <w:t xml:space="preserve">tutorial focusing on ADR, a simulated </w:t>
      </w:r>
      <w:r w:rsidRPr="00546952">
        <w:rPr>
          <w:rFonts w:ascii="Palatino Linotype" w:hAnsi="Palatino Linotype" w:cs="Arial"/>
          <w:lang w:val="en-US"/>
        </w:rPr>
        <w:lastRenderedPageBreak/>
        <w:t xml:space="preserve">dispute is given to the students and there is an online component to the ADR exercise, which must be completed prior to </w:t>
      </w:r>
      <w:r w:rsidR="00B808B2" w:rsidRPr="00546952">
        <w:rPr>
          <w:rFonts w:ascii="Palatino Linotype" w:hAnsi="Palatino Linotype" w:cs="Arial"/>
          <w:lang w:val="en-US"/>
        </w:rPr>
        <w:t>the tutorial</w:t>
      </w:r>
      <w:r w:rsidRPr="00546952">
        <w:rPr>
          <w:rFonts w:ascii="Palatino Linotype" w:hAnsi="Palatino Linotype" w:cs="Arial"/>
          <w:lang w:val="en-US"/>
        </w:rPr>
        <w:t>. Students w</w:t>
      </w:r>
      <w:r w:rsidR="006E5D9F" w:rsidRPr="00546952">
        <w:rPr>
          <w:rFonts w:ascii="Palatino Linotype" w:hAnsi="Palatino Linotype" w:cs="Arial"/>
          <w:lang w:val="en-US"/>
        </w:rPr>
        <w:t>ork in small groups to resolve the</w:t>
      </w:r>
      <w:r w:rsidRPr="00546952">
        <w:rPr>
          <w:rFonts w:ascii="Palatino Linotype" w:hAnsi="Palatino Linotype" w:cs="Arial"/>
          <w:lang w:val="en-US"/>
        </w:rPr>
        <w:t xml:space="preserve"> online dispute using negotiation and mediation</w:t>
      </w:r>
      <w:r w:rsidR="00DF2649" w:rsidRPr="00546952">
        <w:rPr>
          <w:rFonts w:ascii="Palatino Linotype" w:hAnsi="Palatino Linotype" w:cs="Arial"/>
          <w:lang w:val="en-US"/>
        </w:rPr>
        <w:t xml:space="preserve"> strategies</w:t>
      </w:r>
      <w:r w:rsidRPr="00546952">
        <w:rPr>
          <w:rFonts w:ascii="Palatino Linotype" w:hAnsi="Palatino Linotype" w:cs="Arial"/>
          <w:lang w:val="en-US"/>
        </w:rPr>
        <w:t>. The students then attend the tutorial and complete the mediation with face-to-face ADR. After completion of the activity, students are required to submit a short reflective journal about their experiences in the exercise.</w:t>
      </w:r>
      <w:r w:rsidR="00DF2649" w:rsidRPr="00546952">
        <w:rPr>
          <w:rStyle w:val="FootnoteReference"/>
          <w:rFonts w:ascii="Palatino Linotype" w:hAnsi="Palatino Linotype" w:cs="Arial"/>
          <w:lang w:val="en-US"/>
        </w:rPr>
        <w:footnoteReference w:id="124"/>
      </w:r>
      <w:r w:rsidR="00DF2649" w:rsidRPr="00546952">
        <w:rPr>
          <w:rFonts w:ascii="Palatino Linotype" w:hAnsi="Palatino Linotype" w:cs="Arial"/>
          <w:lang w:val="en-US"/>
        </w:rPr>
        <w:t xml:space="preserve"> </w:t>
      </w:r>
    </w:p>
    <w:p w14:paraId="526458E2" w14:textId="2B796284" w:rsidR="00EF4431" w:rsidRPr="00546952" w:rsidRDefault="00DF2649"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Both Monash University </w:t>
      </w:r>
      <w:r w:rsidR="00B60631" w:rsidRPr="00546952">
        <w:rPr>
          <w:rFonts w:ascii="Palatino Linotype" w:hAnsi="Palatino Linotype" w:cs="Arial"/>
          <w:lang w:val="en-US"/>
        </w:rPr>
        <w:t xml:space="preserve">and Melbourne University </w:t>
      </w:r>
      <w:r w:rsidRPr="00546952">
        <w:rPr>
          <w:rFonts w:ascii="Palatino Linotype" w:hAnsi="Palatino Linotype" w:cs="Arial"/>
          <w:lang w:val="en-US"/>
        </w:rPr>
        <w:t>offer</w:t>
      </w:r>
      <w:r w:rsidR="00B60631" w:rsidRPr="00546952">
        <w:rPr>
          <w:rFonts w:ascii="Palatino Linotype" w:hAnsi="Palatino Linotype" w:cs="Arial"/>
          <w:lang w:val="en-US"/>
        </w:rPr>
        <w:t xml:space="preserve"> postgraduate courses in ADR. Monash University offers a </w:t>
      </w:r>
      <w:r w:rsidRPr="00546952">
        <w:rPr>
          <w:rFonts w:ascii="Palatino Linotype" w:hAnsi="Palatino Linotype" w:cs="Arial"/>
          <w:lang w:val="en-US"/>
        </w:rPr>
        <w:t xml:space="preserve">Masters of Dispute Resolution. </w:t>
      </w:r>
      <w:r w:rsidR="0029297C" w:rsidRPr="00546952">
        <w:rPr>
          <w:rFonts w:ascii="Palatino Linotype" w:hAnsi="Palatino Linotype" w:cs="Arial"/>
          <w:lang w:val="en-US"/>
        </w:rPr>
        <w:t xml:space="preserve">The guidelines for this Course state </w:t>
      </w:r>
      <w:r w:rsidR="00475934" w:rsidRPr="00546952">
        <w:rPr>
          <w:rFonts w:ascii="Palatino Linotype" w:hAnsi="Palatino Linotype" w:cs="Arial"/>
          <w:lang w:val="en-US"/>
        </w:rPr>
        <w:t xml:space="preserve">that </w:t>
      </w:r>
      <w:r w:rsidR="0029297C" w:rsidRPr="00546952">
        <w:rPr>
          <w:rFonts w:ascii="Palatino Linotype" w:hAnsi="Palatino Linotype" w:cs="Arial"/>
          <w:lang w:val="en-US"/>
        </w:rPr>
        <w:t xml:space="preserve">it </w:t>
      </w:r>
      <w:r w:rsidR="00B87CC4" w:rsidRPr="00546952">
        <w:rPr>
          <w:rFonts w:ascii="Palatino Linotype" w:hAnsi="Palatino Linotype" w:cs="Arial"/>
          <w:lang w:val="en-US"/>
        </w:rPr>
        <w:t>provide</w:t>
      </w:r>
      <w:r w:rsidR="0029297C" w:rsidRPr="00546952">
        <w:rPr>
          <w:rFonts w:ascii="Palatino Linotype" w:hAnsi="Palatino Linotype" w:cs="Arial"/>
          <w:lang w:val="en-US"/>
        </w:rPr>
        <w:t>s</w:t>
      </w:r>
      <w:r w:rsidR="00B87CC4" w:rsidRPr="00546952">
        <w:rPr>
          <w:rFonts w:ascii="Palatino Linotype" w:hAnsi="Palatino Linotype" w:cs="Arial"/>
          <w:lang w:val="en-US"/>
        </w:rPr>
        <w:t xml:space="preserve"> </w:t>
      </w:r>
      <w:r w:rsidRPr="00546952">
        <w:rPr>
          <w:rFonts w:ascii="Palatino Linotype" w:hAnsi="Palatino Linotype" w:cs="Arial"/>
          <w:lang w:val="en-US"/>
        </w:rPr>
        <w:t>a thorough theoretical and practical grounding in</w:t>
      </w:r>
      <w:r w:rsidR="00B87CC4" w:rsidRPr="00546952">
        <w:rPr>
          <w:rFonts w:ascii="Palatino Linotype" w:hAnsi="Palatino Linotype" w:cs="Arial"/>
          <w:lang w:val="en-US"/>
        </w:rPr>
        <w:t xml:space="preserve"> dispute resolution and develops</w:t>
      </w:r>
      <w:r w:rsidRPr="00546952">
        <w:rPr>
          <w:rFonts w:ascii="Palatino Linotype" w:hAnsi="Palatino Linotype" w:cs="Arial"/>
          <w:lang w:val="en-US"/>
        </w:rPr>
        <w:t xml:space="preserve"> the advanced professional skills and specialist knowledge required for working as a dispute resolution practitioner, including as an arbitrator, mediator or other dispute resolution practitioner. It is suitable for graduates interested in developing or enhancing specialist careers in dispute resolution</w:t>
      </w:r>
      <w:r w:rsidR="00B87CC4" w:rsidRPr="00546952">
        <w:rPr>
          <w:rFonts w:ascii="Palatino Linotype" w:hAnsi="Palatino Linotype" w:cs="Arial"/>
          <w:lang w:val="en-US"/>
        </w:rPr>
        <w:t>.</w:t>
      </w:r>
      <w:r w:rsidR="00B87CC4" w:rsidRPr="00546952">
        <w:rPr>
          <w:rStyle w:val="FootnoteReference"/>
          <w:rFonts w:ascii="Palatino Linotype" w:hAnsi="Palatino Linotype" w:cs="Arial"/>
          <w:lang w:val="en-US"/>
        </w:rPr>
        <w:footnoteReference w:id="125"/>
      </w:r>
    </w:p>
    <w:p w14:paraId="6454EC03" w14:textId="77777777" w:rsidR="00984896" w:rsidRPr="00546952" w:rsidRDefault="00B60631"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Melbourne University offers a Graduate Diploma in Dispute Resolution. According to the synopsis</w:t>
      </w:r>
    </w:p>
    <w:p w14:paraId="04F0A8AE" w14:textId="02E7CA2C" w:rsidR="00EF4431" w:rsidRPr="004C2630" w:rsidRDefault="009967E3" w:rsidP="004C2630">
      <w:pPr>
        <w:widowControl w:val="0"/>
        <w:autoSpaceDE w:val="0"/>
        <w:autoSpaceDN w:val="0"/>
        <w:adjustRightInd w:val="0"/>
        <w:spacing w:line="360" w:lineRule="auto"/>
        <w:ind w:left="720"/>
        <w:jc w:val="both"/>
        <w:rPr>
          <w:rFonts w:ascii="Palatino Linotype" w:hAnsi="Palatino Linotype" w:cs="Arial"/>
          <w:sz w:val="22"/>
          <w:lang w:val="en-US"/>
        </w:rPr>
      </w:pPr>
      <w:r w:rsidRPr="004C2630">
        <w:rPr>
          <w:rFonts w:ascii="Palatino Linotype" w:hAnsi="Palatino Linotype" w:cs="Arial"/>
          <w:sz w:val="22"/>
          <w:lang w:val="en-US"/>
        </w:rPr>
        <w:t>This</w:t>
      </w:r>
      <w:r w:rsidR="00B60631" w:rsidRPr="004C2630">
        <w:rPr>
          <w:rFonts w:ascii="Palatino Linotype" w:hAnsi="Palatino Linotype" w:cs="Arial"/>
          <w:sz w:val="22"/>
          <w:lang w:val="en-US"/>
        </w:rPr>
        <w:t xml:space="preserve"> </w:t>
      </w:r>
      <w:proofErr w:type="spellStart"/>
      <w:r w:rsidR="00B60631" w:rsidRPr="004C2630">
        <w:rPr>
          <w:rFonts w:ascii="Palatino Linotype" w:hAnsi="Palatino Linotype" w:cs="Arial"/>
          <w:sz w:val="22"/>
          <w:lang w:val="en-US"/>
        </w:rPr>
        <w:t>specialisation</w:t>
      </w:r>
      <w:proofErr w:type="spellEnd"/>
      <w:r w:rsidR="00B60631" w:rsidRPr="004C2630">
        <w:rPr>
          <w:rFonts w:ascii="Palatino Linotype" w:hAnsi="Palatino Linotype" w:cs="Arial"/>
          <w:sz w:val="22"/>
          <w:lang w:val="en-US"/>
        </w:rPr>
        <w:t xml:space="preserve"> in dispute resolution works from the principles that underpin dispute resolution and management. The subjects examine how these principles inform the theoretical and practical aspects of this rapidly changing area of law. This course is relevant to legal practitioners and will appeal to others working in the design, reform and practice of dispute resolution. Judges, legal practitioners and legal researchers teach a broad range </w:t>
      </w:r>
      <w:r w:rsidR="00B60631" w:rsidRPr="004C2630">
        <w:rPr>
          <w:rFonts w:ascii="Palatino Linotype" w:hAnsi="Palatino Linotype" w:cs="Arial"/>
          <w:sz w:val="22"/>
          <w:lang w:val="en-US"/>
        </w:rPr>
        <w:lastRenderedPageBreak/>
        <w:t>of subjects spanning litigation and alternative dispute resolution</w:t>
      </w:r>
      <w:r w:rsidR="00B60631" w:rsidRPr="004C2630">
        <w:rPr>
          <w:rStyle w:val="FootnoteReference"/>
          <w:rFonts w:ascii="Palatino Linotype" w:hAnsi="Palatino Linotype" w:cs="Arial"/>
          <w:sz w:val="22"/>
          <w:lang w:val="en-US"/>
        </w:rPr>
        <w:footnoteReference w:id="126"/>
      </w:r>
    </w:p>
    <w:p w14:paraId="5E31E1C0" w14:textId="3290227C" w:rsidR="009C79F6" w:rsidRPr="00546952" w:rsidRDefault="009C79F6" w:rsidP="00546952">
      <w:pPr>
        <w:widowControl w:val="0"/>
        <w:autoSpaceDE w:val="0"/>
        <w:autoSpaceDN w:val="0"/>
        <w:adjustRightInd w:val="0"/>
        <w:spacing w:line="480" w:lineRule="auto"/>
        <w:jc w:val="both"/>
        <w:rPr>
          <w:rFonts w:ascii="Palatino Linotype" w:hAnsi="Palatino Linotype" w:cs="Arial"/>
          <w:bCs/>
          <w:lang w:val="en-US"/>
        </w:rPr>
      </w:pPr>
      <w:r w:rsidRPr="00546952">
        <w:rPr>
          <w:rFonts w:ascii="Palatino Linotype" w:hAnsi="Palatino Linotype" w:cs="Arial"/>
          <w:lang w:val="en-US"/>
        </w:rPr>
        <w:t xml:space="preserve">From this discussion it is clear that the teaching of ADR at law school has been </w:t>
      </w:r>
      <w:proofErr w:type="spellStart"/>
      <w:r w:rsidRPr="00546952">
        <w:rPr>
          <w:rFonts w:ascii="Palatino Linotype" w:hAnsi="Palatino Linotype" w:cs="Arial"/>
          <w:lang w:val="en-US"/>
        </w:rPr>
        <w:t>recognised</w:t>
      </w:r>
      <w:proofErr w:type="spellEnd"/>
      <w:r w:rsidRPr="00546952">
        <w:rPr>
          <w:rFonts w:ascii="Palatino Linotype" w:hAnsi="Palatino Linotype" w:cs="Arial"/>
          <w:lang w:val="en-US"/>
        </w:rPr>
        <w:t xml:space="preserve"> as adding value to students’ legal education and so should have a key position in the legal curriculum. </w:t>
      </w:r>
      <w:r w:rsidR="00A57340" w:rsidRPr="00546952">
        <w:rPr>
          <w:rFonts w:ascii="Palatino Linotype" w:hAnsi="Palatino Linotype" w:cs="Arial"/>
          <w:lang w:val="en-US"/>
        </w:rPr>
        <w:t xml:space="preserve">There have been some attempts to incorporate ADR into existing curricula at some Australian universities. </w:t>
      </w:r>
      <w:r w:rsidRPr="00546952">
        <w:rPr>
          <w:rFonts w:ascii="Palatino Linotype" w:hAnsi="Palatino Linotype" w:cs="Arial"/>
          <w:lang w:val="en-US"/>
        </w:rPr>
        <w:t xml:space="preserve">In the next section I will look more </w:t>
      </w:r>
      <w:r w:rsidRPr="00546952">
        <w:rPr>
          <w:rFonts w:ascii="Palatino Linotype" w:hAnsi="Palatino Linotype" w:cs="Arial"/>
          <w:bCs/>
          <w:lang w:val="en-US"/>
        </w:rPr>
        <w:t xml:space="preserve">closely at the place of ADR in Australian clinical legal education. I will focus on how the teaching of ADR can add value to students’ clinical legal education and be brought in line with the integration of theory and practice. </w:t>
      </w:r>
    </w:p>
    <w:p w14:paraId="5078C3A0" w14:textId="30A02DA1" w:rsidR="009C79F6" w:rsidRPr="00546952" w:rsidRDefault="009C79F6" w:rsidP="00546952">
      <w:pPr>
        <w:widowControl w:val="0"/>
        <w:autoSpaceDE w:val="0"/>
        <w:autoSpaceDN w:val="0"/>
        <w:adjustRightInd w:val="0"/>
        <w:spacing w:line="480" w:lineRule="auto"/>
        <w:jc w:val="both"/>
        <w:rPr>
          <w:rFonts w:ascii="Palatino Linotype" w:hAnsi="Palatino Linotype" w:cs="Arial"/>
          <w:b/>
        </w:rPr>
      </w:pPr>
      <w:r w:rsidRPr="00546952">
        <w:rPr>
          <w:rFonts w:ascii="Palatino Linotype" w:hAnsi="Palatino Linotype" w:cs="Arial"/>
          <w:b/>
        </w:rPr>
        <w:t xml:space="preserve">ADR and CLINICAL LEGAL EDUCATION </w:t>
      </w:r>
      <w:r w:rsidR="00A6266C" w:rsidRPr="00546952">
        <w:rPr>
          <w:rFonts w:ascii="Palatino Linotype" w:hAnsi="Palatino Linotype" w:cs="Arial"/>
          <w:b/>
        </w:rPr>
        <w:t>IN AUSTRALIA</w:t>
      </w:r>
    </w:p>
    <w:p w14:paraId="46612CBA" w14:textId="37821979" w:rsidR="009C79F6" w:rsidRPr="00546952" w:rsidRDefault="009C79F6" w:rsidP="00546952">
      <w:pPr>
        <w:widowControl w:val="0"/>
        <w:autoSpaceDE w:val="0"/>
        <w:autoSpaceDN w:val="0"/>
        <w:adjustRightInd w:val="0"/>
        <w:spacing w:line="480" w:lineRule="auto"/>
        <w:jc w:val="both"/>
        <w:rPr>
          <w:rFonts w:ascii="Palatino Linotype" w:hAnsi="Palatino Linotype" w:cs="Arial"/>
        </w:rPr>
      </w:pPr>
      <w:r w:rsidRPr="00546952">
        <w:rPr>
          <w:rFonts w:ascii="Palatino Linotype" w:hAnsi="Palatino Linotype" w:cs="Arial"/>
        </w:rPr>
        <w:t xml:space="preserve">In line with support for the notion of </w:t>
      </w:r>
      <w:r w:rsidR="00930C1D" w:rsidRPr="00546952">
        <w:rPr>
          <w:rFonts w:ascii="Palatino Linotype" w:hAnsi="Palatino Linotype" w:cs="Arial"/>
        </w:rPr>
        <w:t>‘</w:t>
      </w:r>
      <w:r w:rsidRPr="00546952">
        <w:rPr>
          <w:rFonts w:ascii="Palatino Linotype" w:hAnsi="Palatino Linotype" w:cs="Arial"/>
        </w:rPr>
        <w:t>learning by doing</w:t>
      </w:r>
      <w:r w:rsidR="00930C1D" w:rsidRPr="00546952">
        <w:rPr>
          <w:rFonts w:ascii="Palatino Linotype" w:hAnsi="Palatino Linotype" w:cs="Arial"/>
        </w:rPr>
        <w:t>’</w:t>
      </w:r>
      <w:r w:rsidRPr="00546952">
        <w:rPr>
          <w:rFonts w:ascii="Palatino Linotype" w:hAnsi="Palatino Linotype" w:cs="Arial"/>
        </w:rPr>
        <w:t xml:space="preserve"> and the views of writers, academics and commentators that a legal education should also teach students what lawyers actually do in practice, a strong practice-oriented trend of legal education has developed in Australia.</w:t>
      </w:r>
      <w:r w:rsidRPr="00546952">
        <w:rPr>
          <w:rStyle w:val="FootnoteReference"/>
          <w:rFonts w:ascii="Palatino Linotype" w:hAnsi="Palatino Linotype" w:cs="Arial"/>
        </w:rPr>
        <w:footnoteReference w:id="127"/>
      </w:r>
      <w:r w:rsidRPr="00546952">
        <w:rPr>
          <w:rFonts w:ascii="Palatino Linotype" w:hAnsi="Palatino Linotype" w:cs="Arial"/>
        </w:rPr>
        <w:t xml:space="preserve"> According to the Best Practices </w:t>
      </w:r>
      <w:r w:rsidRPr="00546952">
        <w:rPr>
          <w:rFonts w:ascii="Palatino Linotype" w:hAnsi="Palatino Linotype" w:cs="Arial"/>
        </w:rPr>
        <w:lastRenderedPageBreak/>
        <w:t>Report</w:t>
      </w:r>
      <w:r w:rsidRPr="00546952">
        <w:rPr>
          <w:rStyle w:val="FootnoteReference"/>
          <w:rFonts w:ascii="Palatino Linotype" w:hAnsi="Palatino Linotype" w:cs="Arial"/>
        </w:rPr>
        <w:footnoteReference w:id="128"/>
      </w:r>
      <w:r w:rsidRPr="00546952">
        <w:rPr>
          <w:rFonts w:ascii="Palatino Linotype" w:hAnsi="Palatino Linotype" w:cs="Arial"/>
        </w:rPr>
        <w:t xml:space="preserve"> in Australia: </w:t>
      </w:r>
    </w:p>
    <w:p w14:paraId="0163E31F" w14:textId="3713515D" w:rsidR="009C79F6" w:rsidRPr="004C2630" w:rsidRDefault="00C41977" w:rsidP="004C2630">
      <w:pPr>
        <w:widowControl w:val="0"/>
        <w:autoSpaceDE w:val="0"/>
        <w:autoSpaceDN w:val="0"/>
        <w:adjustRightInd w:val="0"/>
        <w:spacing w:line="360" w:lineRule="auto"/>
        <w:ind w:left="709"/>
        <w:jc w:val="both"/>
        <w:rPr>
          <w:rFonts w:ascii="Palatino Linotype" w:hAnsi="Palatino Linotype" w:cs="Arial"/>
          <w:sz w:val="22"/>
        </w:rPr>
      </w:pPr>
      <w:r w:rsidRPr="004C2630">
        <w:rPr>
          <w:rFonts w:ascii="Palatino Linotype" w:hAnsi="Palatino Linotype" w:cs="Arial"/>
          <w:sz w:val="22"/>
        </w:rPr>
        <w:t>‘</w:t>
      </w:r>
      <w:r w:rsidR="009C79F6" w:rsidRPr="004C2630">
        <w:rPr>
          <w:rFonts w:ascii="Palatino Linotype" w:hAnsi="Palatino Linotype" w:cs="Arial"/>
          <w:sz w:val="22"/>
        </w:rPr>
        <w:t>Clinic</w:t>
      </w:r>
      <w:r w:rsidRPr="004C2630">
        <w:rPr>
          <w:rFonts w:ascii="Palatino Linotype" w:hAnsi="Palatino Linotype" w:cs="Arial"/>
          <w:sz w:val="22"/>
        </w:rPr>
        <w:t>’</w:t>
      </w:r>
      <w:r w:rsidR="009C79F6" w:rsidRPr="004C2630">
        <w:rPr>
          <w:rFonts w:ascii="Palatino Linotype" w:hAnsi="Palatino Linotype" w:cs="Arial"/>
          <w:sz w:val="22"/>
        </w:rPr>
        <w:t xml:space="preserve"> or clinical legal education (CLE) is a significant experiential method of</w:t>
      </w:r>
      <w:r w:rsidRPr="004C2630">
        <w:rPr>
          <w:rFonts w:ascii="Palatino Linotype" w:hAnsi="Palatino Linotype" w:cs="Arial"/>
          <w:sz w:val="22"/>
        </w:rPr>
        <w:t xml:space="preserve"> </w:t>
      </w:r>
      <w:r w:rsidR="009C79F6" w:rsidRPr="004C2630">
        <w:rPr>
          <w:rFonts w:ascii="Palatino Linotype" w:hAnsi="Palatino Linotype" w:cs="Arial"/>
          <w:sz w:val="22"/>
        </w:rPr>
        <w:t>learning and teaching. CLE places law students in close contact with the realities, demands and compromises of legal practice. In so doing, CLE provides students with real-life reference points for learning the law. CLE also invites students to see the wider context and everyday realities of accessing an imperfect legal system. Clinical pedagogy involves a system of self-critique and supervisory feedback so that law students may learn how to learn from their experiences of simulated environments, observation and, at its most effective level, personal responsibility for real clients and their legal problems. CLE is, in summary, a learning methodology for law students that compels them, through a constant reality check, to integrate their learning of substantive law with the justice or otherwise of its practical operation.</w:t>
      </w:r>
      <w:r w:rsidR="009C79F6" w:rsidRPr="004C2630">
        <w:rPr>
          <w:rStyle w:val="FootnoteReference"/>
          <w:rFonts w:ascii="Palatino Linotype" w:hAnsi="Palatino Linotype" w:cs="Arial"/>
          <w:sz w:val="22"/>
        </w:rPr>
        <w:footnoteReference w:id="129"/>
      </w:r>
    </w:p>
    <w:p w14:paraId="38CC1D57" w14:textId="77777777"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rPr>
        <w:t>Clinical legal education programs have grown in Australian university curricula, in keeping with the notion that law schools must teach more than theory.</w:t>
      </w:r>
      <w:r w:rsidRPr="00546952">
        <w:rPr>
          <w:rStyle w:val="FootnoteReference"/>
          <w:rFonts w:ascii="Palatino Linotype" w:hAnsi="Palatino Linotype" w:cs="Arial"/>
        </w:rPr>
        <w:footnoteReference w:id="130"/>
      </w:r>
      <w:r w:rsidRPr="00546952">
        <w:rPr>
          <w:rFonts w:ascii="Palatino Linotype" w:hAnsi="Palatino Linotype" w:cs="Arial"/>
        </w:rPr>
        <w:t xml:space="preserve"> </w:t>
      </w:r>
      <w:r w:rsidRPr="00546952">
        <w:rPr>
          <w:rFonts w:ascii="Palatino Linotype" w:hAnsi="Palatino Linotype" w:cs="Arial"/>
          <w:lang w:val="en-US"/>
        </w:rPr>
        <w:t>The clinical model of legal education commenced in Australia in the early 1970s with the first Australian clinical program commencing at Monash University in 1975, followed by programs at La Trobe University (1978) and the University of New South Wales (UNSW</w:t>
      </w:r>
      <w:proofErr w:type="gramStart"/>
      <w:r w:rsidRPr="00546952">
        <w:rPr>
          <w:rFonts w:ascii="Palatino Linotype" w:hAnsi="Palatino Linotype" w:cs="Arial"/>
          <w:lang w:val="en-US"/>
        </w:rPr>
        <w:t>)(</w:t>
      </w:r>
      <w:proofErr w:type="gramEnd"/>
      <w:r w:rsidRPr="00546952">
        <w:rPr>
          <w:rFonts w:ascii="Palatino Linotype" w:hAnsi="Palatino Linotype" w:cs="Arial"/>
          <w:lang w:val="en-US"/>
        </w:rPr>
        <w:t>1981).</w:t>
      </w:r>
      <w:r w:rsidRPr="00546952">
        <w:rPr>
          <w:rStyle w:val="FootnoteReference"/>
          <w:rFonts w:ascii="Palatino Linotype" w:hAnsi="Palatino Linotype" w:cs="Arial"/>
          <w:lang w:val="en-US"/>
        </w:rPr>
        <w:footnoteReference w:id="131"/>
      </w:r>
      <w:r w:rsidRPr="00546952">
        <w:rPr>
          <w:rFonts w:ascii="Palatino Linotype" w:hAnsi="Palatino Linotype" w:cs="Arial"/>
          <w:lang w:val="en-US"/>
        </w:rPr>
        <w:t xml:space="preserve"> This model embraced a strong emphasis on service and access to justice with the clinics at these universities being onsite live client clinics. Small clinical programs have since emerged in law schools around Australia. In recent years, there has been an </w:t>
      </w:r>
      <w:r w:rsidRPr="00546952">
        <w:rPr>
          <w:rFonts w:ascii="Palatino Linotype" w:hAnsi="Palatino Linotype" w:cs="Arial"/>
          <w:lang w:val="en-US"/>
        </w:rPr>
        <w:lastRenderedPageBreak/>
        <w:t>increase in external clinical placements with some being incorporated into existing community and government agencies.</w:t>
      </w:r>
      <w:r w:rsidRPr="00546952">
        <w:rPr>
          <w:rStyle w:val="FootnoteReference"/>
          <w:rFonts w:ascii="Palatino Linotype" w:hAnsi="Palatino Linotype" w:cs="Arial"/>
          <w:lang w:val="en-US"/>
        </w:rPr>
        <w:footnoteReference w:id="132"/>
      </w:r>
      <w:r w:rsidRPr="00546952">
        <w:rPr>
          <w:rFonts w:ascii="Palatino Linotype" w:hAnsi="Palatino Linotype" w:cs="Arial"/>
          <w:lang w:val="en-US"/>
        </w:rPr>
        <w:t xml:space="preserve"> It is </w:t>
      </w:r>
      <w:proofErr w:type="spellStart"/>
      <w:r w:rsidRPr="00546952">
        <w:rPr>
          <w:rFonts w:ascii="Palatino Linotype" w:hAnsi="Palatino Linotype" w:cs="Arial"/>
          <w:lang w:val="en-US"/>
        </w:rPr>
        <w:t>recognised</w:t>
      </w:r>
      <w:proofErr w:type="spellEnd"/>
      <w:r w:rsidRPr="00546952">
        <w:rPr>
          <w:rFonts w:ascii="Palatino Linotype" w:hAnsi="Palatino Linotype" w:cs="Arial"/>
          <w:lang w:val="en-US"/>
        </w:rPr>
        <w:t xml:space="preserve"> that clinical methodologies provide a forum for student learning about the effects that laws and legal processes have on people, moving further from cases to considering issues that exist both before and after any formal legal processes.</w:t>
      </w:r>
      <w:r w:rsidRPr="00546952">
        <w:rPr>
          <w:rStyle w:val="FootnoteReference"/>
          <w:rFonts w:ascii="Palatino Linotype" w:hAnsi="Palatino Linotype" w:cs="Arial"/>
          <w:lang w:val="en-US"/>
        </w:rPr>
        <w:footnoteReference w:id="133"/>
      </w:r>
      <w:r w:rsidRPr="00546952">
        <w:rPr>
          <w:rFonts w:ascii="Palatino Linotype" w:hAnsi="Palatino Linotype" w:cs="Arial"/>
          <w:lang w:val="en-US"/>
        </w:rPr>
        <w:t xml:space="preserve"> </w:t>
      </w:r>
    </w:p>
    <w:p w14:paraId="36287701" w14:textId="77777777"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Dickson provides a view of clinical legal education in Australia as ‘a legal practice based method of legal education in which students assume the role of a lawyer and are required to take on the responsibility, under supervision, for providing legal services to real clients.’</w:t>
      </w:r>
      <w:r w:rsidRPr="00546952">
        <w:rPr>
          <w:rStyle w:val="FootnoteReference"/>
          <w:rFonts w:ascii="Palatino Linotype" w:hAnsi="Palatino Linotype" w:cs="Arial"/>
          <w:lang w:val="en-US"/>
        </w:rPr>
        <w:footnoteReference w:id="134"/>
      </w:r>
      <w:r w:rsidRPr="00546952">
        <w:rPr>
          <w:rFonts w:ascii="Palatino Linotype" w:hAnsi="Palatino Linotype" w:cs="Arial"/>
          <w:lang w:val="en-US"/>
        </w:rPr>
        <w:t xml:space="preserve"> It is through this model of legal education that students learn fundamental practical skills </w:t>
      </w:r>
      <w:proofErr w:type="spellStart"/>
      <w:r w:rsidRPr="00546952">
        <w:rPr>
          <w:rFonts w:ascii="Palatino Linotype" w:hAnsi="Palatino Linotype" w:cs="Arial"/>
          <w:lang w:val="en-US"/>
        </w:rPr>
        <w:t>recognised</w:t>
      </w:r>
      <w:proofErr w:type="spellEnd"/>
      <w:r w:rsidRPr="00546952">
        <w:rPr>
          <w:rFonts w:ascii="Palatino Linotype" w:hAnsi="Palatino Linotype" w:cs="Arial"/>
          <w:lang w:val="en-US"/>
        </w:rPr>
        <w:t xml:space="preserve"> as of equal value to their comprehension of substantive law.</w:t>
      </w:r>
      <w:r w:rsidRPr="00546952">
        <w:rPr>
          <w:rStyle w:val="FootnoteReference"/>
          <w:rFonts w:ascii="Palatino Linotype" w:hAnsi="Palatino Linotype" w:cs="Arial"/>
          <w:lang w:val="en-US"/>
        </w:rPr>
        <w:footnoteReference w:id="135"/>
      </w:r>
      <w:r w:rsidRPr="00546952">
        <w:rPr>
          <w:rFonts w:ascii="Palatino Linotype" w:hAnsi="Palatino Linotype" w:cs="Arial"/>
          <w:lang w:val="en-US"/>
        </w:rPr>
        <w:t xml:space="preserve"> As </w:t>
      </w:r>
      <w:proofErr w:type="spellStart"/>
      <w:r w:rsidRPr="00546952">
        <w:rPr>
          <w:rFonts w:ascii="Palatino Linotype" w:hAnsi="Palatino Linotype" w:cs="Arial"/>
          <w:lang w:val="en-US"/>
        </w:rPr>
        <w:t>Hyams</w:t>
      </w:r>
      <w:proofErr w:type="spellEnd"/>
      <w:r w:rsidRPr="00546952">
        <w:rPr>
          <w:rFonts w:ascii="Palatino Linotype" w:hAnsi="Palatino Linotype" w:cs="Arial"/>
          <w:lang w:val="en-US"/>
        </w:rPr>
        <w:t xml:space="preserve"> et al </w:t>
      </w:r>
      <w:proofErr w:type="spellStart"/>
      <w:r w:rsidRPr="00546952">
        <w:rPr>
          <w:rFonts w:ascii="Palatino Linotype" w:hAnsi="Palatino Linotype" w:cs="Arial"/>
          <w:lang w:val="en-US"/>
        </w:rPr>
        <w:t>emphasise</w:t>
      </w:r>
      <w:proofErr w:type="spellEnd"/>
      <w:r w:rsidRPr="00546952">
        <w:rPr>
          <w:rFonts w:ascii="Palatino Linotype" w:hAnsi="Palatino Linotype" w:cs="Arial"/>
          <w:lang w:val="en-US"/>
        </w:rPr>
        <w:t xml:space="preserve">, ‘…those learning the law at any stage of life as a law student, graduate or new lawyer are often a little surprised to </w:t>
      </w:r>
      <w:proofErr w:type="spellStart"/>
      <w:r w:rsidRPr="00546952">
        <w:rPr>
          <w:rFonts w:ascii="Palatino Linotype" w:hAnsi="Palatino Linotype" w:cs="Arial"/>
          <w:lang w:val="en-US"/>
        </w:rPr>
        <w:t>realise</w:t>
      </w:r>
      <w:proofErr w:type="spellEnd"/>
      <w:r w:rsidRPr="00546952">
        <w:rPr>
          <w:rFonts w:ascii="Palatino Linotype" w:hAnsi="Palatino Linotype" w:cs="Arial"/>
          <w:lang w:val="en-US"/>
        </w:rPr>
        <w:t xml:space="preserve"> that it’s not just what they know about the law that matters, but also how they learn it and apply it.’</w:t>
      </w:r>
      <w:r w:rsidRPr="00546952">
        <w:rPr>
          <w:rStyle w:val="FootnoteReference"/>
          <w:rFonts w:ascii="Palatino Linotype" w:hAnsi="Palatino Linotype" w:cs="Arial"/>
          <w:lang w:val="en-US"/>
        </w:rPr>
        <w:footnoteReference w:id="136"/>
      </w:r>
      <w:r w:rsidRPr="00546952">
        <w:rPr>
          <w:rFonts w:ascii="Palatino Linotype" w:hAnsi="Palatino Linotype" w:cs="Arial"/>
          <w:lang w:val="en-US"/>
        </w:rPr>
        <w:t xml:space="preserve"> </w:t>
      </w:r>
    </w:p>
    <w:p w14:paraId="08BC2A9B" w14:textId="4215115E"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The most clearly </w:t>
      </w:r>
      <w:proofErr w:type="spellStart"/>
      <w:r w:rsidRPr="00546952">
        <w:rPr>
          <w:rFonts w:ascii="Palatino Linotype" w:hAnsi="Palatino Linotype" w:cs="Arial"/>
          <w:lang w:val="en-US"/>
        </w:rPr>
        <w:t>recognised</w:t>
      </w:r>
      <w:proofErr w:type="spellEnd"/>
      <w:r w:rsidRPr="00546952">
        <w:rPr>
          <w:rFonts w:ascii="Palatino Linotype" w:hAnsi="Palatino Linotype" w:cs="Arial"/>
          <w:lang w:val="en-US"/>
        </w:rPr>
        <w:t xml:space="preserve"> model of clinical legal education known as the </w:t>
      </w:r>
      <w:r w:rsidR="00DC5E1C" w:rsidRPr="00546952">
        <w:rPr>
          <w:rFonts w:ascii="Palatino Linotype" w:hAnsi="Palatino Linotype" w:cs="Arial"/>
          <w:lang w:val="en-US"/>
        </w:rPr>
        <w:t>‘</w:t>
      </w:r>
      <w:r w:rsidRPr="00546952">
        <w:rPr>
          <w:rFonts w:ascii="Palatino Linotype" w:hAnsi="Palatino Linotype" w:cs="Arial"/>
          <w:lang w:val="en-US"/>
        </w:rPr>
        <w:t xml:space="preserve">live </w:t>
      </w:r>
      <w:r w:rsidRPr="00546952">
        <w:rPr>
          <w:rFonts w:ascii="Palatino Linotype" w:hAnsi="Palatino Linotype" w:cs="Arial"/>
          <w:lang w:val="en-US"/>
        </w:rPr>
        <w:lastRenderedPageBreak/>
        <w:t>client</w:t>
      </w:r>
      <w:r w:rsidR="00DC5E1C" w:rsidRPr="00546952">
        <w:rPr>
          <w:rFonts w:ascii="Palatino Linotype" w:hAnsi="Palatino Linotype" w:cs="Arial"/>
          <w:lang w:val="en-US"/>
        </w:rPr>
        <w:t>’</w:t>
      </w:r>
      <w:r w:rsidRPr="00546952">
        <w:rPr>
          <w:rFonts w:ascii="Palatino Linotype" w:hAnsi="Palatino Linotype" w:cs="Arial"/>
          <w:lang w:val="en-US"/>
        </w:rPr>
        <w:t xml:space="preserve"> clinic involves working with real clients.</w:t>
      </w:r>
      <w:r w:rsidRPr="00546952">
        <w:rPr>
          <w:rStyle w:val="FootnoteReference"/>
          <w:rFonts w:ascii="Palatino Linotype" w:hAnsi="Palatino Linotype" w:cs="Arial"/>
          <w:lang w:val="en-US"/>
        </w:rPr>
        <w:footnoteReference w:id="137"/>
      </w:r>
      <w:r w:rsidR="00C25975" w:rsidRPr="00546952">
        <w:rPr>
          <w:rFonts w:ascii="Palatino Linotype" w:hAnsi="Palatino Linotype" w:cs="Arial"/>
          <w:lang w:val="en-US"/>
        </w:rPr>
        <w:t xml:space="preserve"> </w:t>
      </w:r>
      <w:r w:rsidRPr="00546952">
        <w:rPr>
          <w:rFonts w:ascii="Palatino Linotype" w:hAnsi="Palatino Linotype" w:cs="Arial"/>
          <w:lang w:val="en-US"/>
        </w:rPr>
        <w:t xml:space="preserve">According to Giddings, the complexities of working with real </w:t>
      </w:r>
      <w:proofErr w:type="spellStart"/>
      <w:r w:rsidRPr="00546952">
        <w:rPr>
          <w:rFonts w:ascii="Palatino Linotype" w:hAnsi="Palatino Linotype" w:cs="Arial"/>
          <w:lang w:val="en-US"/>
        </w:rPr>
        <w:t>clients</w:t>
      </w:r>
      <w:proofErr w:type="spellEnd"/>
      <w:r w:rsidRPr="00546952">
        <w:rPr>
          <w:rFonts w:ascii="Palatino Linotype" w:hAnsi="Palatino Linotype" w:cs="Arial"/>
          <w:lang w:val="en-US"/>
        </w:rPr>
        <w:t xml:space="preserve"> needs to be acknowledged as enabling students to deepen understandings already developed elsewhere in the curriculum.</w:t>
      </w:r>
      <w:r w:rsidRPr="00546952">
        <w:rPr>
          <w:rStyle w:val="FootnoteReference"/>
          <w:rFonts w:ascii="Palatino Linotype" w:hAnsi="Palatino Linotype" w:cs="Arial"/>
          <w:lang w:val="en-US"/>
        </w:rPr>
        <w:footnoteReference w:id="138"/>
      </w:r>
      <w:r w:rsidRPr="00546952">
        <w:rPr>
          <w:rFonts w:ascii="Palatino Linotype" w:hAnsi="Palatino Linotype" w:cs="Arial"/>
          <w:lang w:val="en-US"/>
        </w:rPr>
        <w:t xml:space="preserve"> The </w:t>
      </w:r>
      <w:r w:rsidR="00DC5E1C" w:rsidRPr="00546952">
        <w:rPr>
          <w:rFonts w:ascii="Palatino Linotype" w:hAnsi="Palatino Linotype" w:cs="Arial"/>
          <w:lang w:val="en-US"/>
        </w:rPr>
        <w:t>‘</w:t>
      </w:r>
      <w:r w:rsidRPr="00546952">
        <w:rPr>
          <w:rFonts w:ascii="Palatino Linotype" w:hAnsi="Palatino Linotype" w:cs="Arial"/>
          <w:lang w:val="en-US"/>
        </w:rPr>
        <w:t>live client</w:t>
      </w:r>
      <w:r w:rsidR="00DC5E1C" w:rsidRPr="00546952">
        <w:rPr>
          <w:rFonts w:ascii="Palatino Linotype" w:hAnsi="Palatino Linotype" w:cs="Arial"/>
          <w:lang w:val="en-US"/>
        </w:rPr>
        <w:t>’</w:t>
      </w:r>
      <w:r w:rsidRPr="00546952">
        <w:rPr>
          <w:rFonts w:ascii="Palatino Linotype" w:hAnsi="Palatino Linotype" w:cs="Arial"/>
          <w:lang w:val="en-US"/>
        </w:rPr>
        <w:t xml:space="preserve"> clinic model is </w:t>
      </w:r>
      <w:proofErr w:type="spellStart"/>
      <w:r w:rsidRPr="00546952">
        <w:rPr>
          <w:rFonts w:ascii="Palatino Linotype" w:hAnsi="Palatino Linotype" w:cs="Arial"/>
          <w:lang w:val="en-US"/>
        </w:rPr>
        <w:t>recognised</w:t>
      </w:r>
      <w:proofErr w:type="spellEnd"/>
      <w:r w:rsidRPr="00546952">
        <w:rPr>
          <w:rFonts w:ascii="Palatino Linotype" w:hAnsi="Palatino Linotype" w:cs="Arial"/>
          <w:lang w:val="en-US"/>
        </w:rPr>
        <w:t xml:space="preserve"> as developing key understandings and skills (such as structuring and conducting an interview, preparing to negotiate and reflecting on personal performance) in order to then extrapolate and </w:t>
      </w:r>
      <w:proofErr w:type="spellStart"/>
      <w:r w:rsidRPr="00546952">
        <w:rPr>
          <w:rFonts w:ascii="Palatino Linotype" w:hAnsi="Palatino Linotype" w:cs="Arial"/>
          <w:lang w:val="en-US"/>
        </w:rPr>
        <w:t>generalise</w:t>
      </w:r>
      <w:proofErr w:type="spellEnd"/>
      <w:r w:rsidRPr="00546952">
        <w:rPr>
          <w:rFonts w:ascii="Palatino Linotype" w:hAnsi="Palatino Linotype" w:cs="Arial"/>
          <w:lang w:val="en-US"/>
        </w:rPr>
        <w:t xml:space="preserve"> from those experiences.</w:t>
      </w:r>
      <w:r w:rsidRPr="00546952">
        <w:rPr>
          <w:rStyle w:val="FootnoteReference"/>
          <w:rFonts w:ascii="Palatino Linotype" w:hAnsi="Palatino Linotype" w:cs="Arial"/>
          <w:lang w:val="en-US"/>
        </w:rPr>
        <w:footnoteReference w:id="139"/>
      </w:r>
      <w:r w:rsidRPr="00546952">
        <w:rPr>
          <w:rFonts w:ascii="Palatino Linotype" w:hAnsi="Palatino Linotype" w:cs="Arial"/>
          <w:lang w:val="en-US"/>
        </w:rPr>
        <w:t xml:space="preserve"> In the United States, a 2007 report by the Carnegie Foundation</w:t>
      </w:r>
      <w:r w:rsidRPr="00546952">
        <w:rPr>
          <w:rStyle w:val="FootnoteReference"/>
          <w:rFonts w:ascii="Palatino Linotype" w:hAnsi="Palatino Linotype" w:cs="Arial"/>
          <w:lang w:val="en-US"/>
        </w:rPr>
        <w:footnoteReference w:id="140"/>
      </w:r>
      <w:r w:rsidRPr="00546952">
        <w:rPr>
          <w:rFonts w:ascii="Palatino Linotype" w:hAnsi="Palatino Linotype" w:cs="Arial"/>
          <w:lang w:val="en-US"/>
        </w:rPr>
        <w:t xml:space="preserve"> into legal education </w:t>
      </w:r>
      <w:proofErr w:type="spellStart"/>
      <w:r w:rsidRPr="00546952">
        <w:rPr>
          <w:rFonts w:ascii="Palatino Linotype" w:hAnsi="Palatino Linotype" w:cs="Arial"/>
          <w:lang w:val="en-US"/>
        </w:rPr>
        <w:t>emphasised</w:t>
      </w:r>
      <w:proofErr w:type="spellEnd"/>
      <w:r w:rsidRPr="00546952">
        <w:rPr>
          <w:rFonts w:ascii="Palatino Linotype" w:hAnsi="Palatino Linotype" w:cs="Arial"/>
          <w:lang w:val="en-US"/>
        </w:rPr>
        <w:t xml:space="preserve"> the importance of legal skills. It was argued in this report that clinics ‘can be a key setting for integrating all the elements of legal education, as students draw on and develop their doctrinal reasoning, lawyering skills, and ethical engagement, extending to contextual issues such as the policy environment’.</w:t>
      </w:r>
      <w:r w:rsidRPr="00546952">
        <w:rPr>
          <w:rStyle w:val="FootnoteReference"/>
          <w:rFonts w:ascii="Palatino Linotype" w:hAnsi="Palatino Linotype" w:cs="Arial"/>
          <w:lang w:val="en-US"/>
        </w:rPr>
        <w:footnoteReference w:id="141"/>
      </w:r>
      <w:r w:rsidRPr="00546952">
        <w:rPr>
          <w:rFonts w:ascii="Palatino Linotype" w:hAnsi="Palatino Linotype" w:cs="Arial"/>
          <w:lang w:val="en-US"/>
        </w:rPr>
        <w:t xml:space="preserve"> Giddings takes this further by stating that work with real clients in this context of learning provides particular opportunities for students to develop their understanding of the lawyer-client relationship and to refine their legal practice-related skills.</w:t>
      </w:r>
      <w:r w:rsidRPr="00546952">
        <w:rPr>
          <w:rStyle w:val="FootnoteReference"/>
          <w:rFonts w:ascii="Palatino Linotype" w:hAnsi="Palatino Linotype" w:cs="Arial"/>
          <w:lang w:val="en-US"/>
        </w:rPr>
        <w:footnoteReference w:id="142"/>
      </w:r>
      <w:r w:rsidRPr="00546952">
        <w:rPr>
          <w:rFonts w:ascii="Palatino Linotype" w:hAnsi="Palatino Linotype" w:cs="Arial"/>
          <w:lang w:val="en-US"/>
        </w:rPr>
        <w:t xml:space="preserve"> As such, these clinics are seen as enhancing ‘the </w:t>
      </w:r>
      <w:r w:rsidRPr="00546952">
        <w:rPr>
          <w:rFonts w:ascii="Palatino Linotype" w:hAnsi="Palatino Linotype" w:cs="Arial"/>
          <w:lang w:val="en-US"/>
        </w:rPr>
        <w:lastRenderedPageBreak/>
        <w:t>learning experience because of the way in which the student must interact with the client’.</w:t>
      </w:r>
      <w:r w:rsidRPr="00546952">
        <w:rPr>
          <w:rStyle w:val="FootnoteReference"/>
          <w:rFonts w:ascii="Palatino Linotype" w:hAnsi="Palatino Linotype" w:cs="Arial"/>
          <w:lang w:val="en-US"/>
        </w:rPr>
        <w:footnoteReference w:id="143"/>
      </w:r>
      <w:r w:rsidRPr="00546952">
        <w:rPr>
          <w:rFonts w:ascii="Palatino Linotype" w:hAnsi="Palatino Linotype" w:cs="Arial"/>
          <w:lang w:val="en-US"/>
        </w:rPr>
        <w:t xml:space="preserve"> The student is made acutely aware of the individuality of the relationship between lawyer and client and the need for the competent lawyer to respond to the particular set of facts that arise in each case.</w:t>
      </w:r>
      <w:r w:rsidRPr="00546952">
        <w:rPr>
          <w:rStyle w:val="FootnoteReference"/>
          <w:rFonts w:ascii="Palatino Linotype" w:hAnsi="Palatino Linotype" w:cs="Arial"/>
          <w:lang w:val="en-US"/>
        </w:rPr>
        <w:footnoteReference w:id="144"/>
      </w:r>
      <w:r w:rsidRPr="00546952">
        <w:rPr>
          <w:rFonts w:ascii="Palatino Linotype" w:hAnsi="Palatino Linotype" w:cs="Arial"/>
          <w:lang w:val="en-US"/>
        </w:rPr>
        <w:t xml:space="preserve"> Clinical legal education and pedagogy</w:t>
      </w:r>
      <w:r w:rsidRPr="00546952">
        <w:rPr>
          <w:rStyle w:val="FootnoteReference"/>
          <w:rFonts w:ascii="Palatino Linotype" w:hAnsi="Palatino Linotype" w:cs="Arial"/>
          <w:lang w:val="en-US"/>
        </w:rPr>
        <w:footnoteReference w:id="145"/>
      </w:r>
      <w:r w:rsidRPr="00546952">
        <w:rPr>
          <w:rFonts w:ascii="Palatino Linotype" w:hAnsi="Palatino Linotype" w:cs="Arial"/>
          <w:lang w:val="en-US"/>
        </w:rPr>
        <w:t xml:space="preserve"> lends itself to the </w:t>
      </w:r>
      <w:r w:rsidR="00DC5E1C" w:rsidRPr="00546952">
        <w:rPr>
          <w:rFonts w:ascii="Palatino Linotype" w:hAnsi="Palatino Linotype" w:cs="Arial"/>
          <w:lang w:val="en-US"/>
        </w:rPr>
        <w:t>‘</w:t>
      </w:r>
      <w:r w:rsidRPr="00546952">
        <w:rPr>
          <w:rFonts w:ascii="Palatino Linotype" w:hAnsi="Palatino Linotype" w:cs="Arial"/>
          <w:lang w:val="en-US"/>
        </w:rPr>
        <w:t>interconnectedness of theory and practice</w:t>
      </w:r>
      <w:r w:rsidR="00DC5E1C" w:rsidRPr="00546952">
        <w:rPr>
          <w:rFonts w:ascii="Palatino Linotype" w:hAnsi="Palatino Linotype" w:cs="Arial"/>
          <w:lang w:val="en-US"/>
        </w:rPr>
        <w:t>’</w:t>
      </w:r>
      <w:r w:rsidRPr="00546952">
        <w:rPr>
          <w:rFonts w:ascii="Palatino Linotype" w:hAnsi="Palatino Linotype" w:cs="Arial"/>
          <w:lang w:val="en-US"/>
        </w:rPr>
        <w:t>.</w:t>
      </w:r>
      <w:r w:rsidRPr="00546952">
        <w:rPr>
          <w:rStyle w:val="FootnoteReference"/>
          <w:rFonts w:ascii="Palatino Linotype" w:hAnsi="Palatino Linotype" w:cs="Arial"/>
          <w:lang w:val="en-US"/>
        </w:rPr>
        <w:footnoteReference w:id="146"/>
      </w:r>
      <w:r w:rsidRPr="00546952">
        <w:rPr>
          <w:rFonts w:ascii="Palatino Linotype" w:hAnsi="Palatino Linotype" w:cs="Arial"/>
          <w:lang w:val="en-US"/>
        </w:rPr>
        <w:t xml:space="preserve"> In the teaching of ADR, this connection can occur by shaping students’ knowledge, skills and attitudes towards non- adversarial options for resolving clients’ legal issues.</w:t>
      </w:r>
      <w:r w:rsidRPr="00546952">
        <w:rPr>
          <w:rStyle w:val="FootnoteReference"/>
          <w:rFonts w:ascii="Palatino Linotype" w:hAnsi="Palatino Linotype" w:cs="Arial"/>
          <w:lang w:val="en-US"/>
        </w:rPr>
        <w:footnoteReference w:id="147"/>
      </w:r>
    </w:p>
    <w:p w14:paraId="69A83A99" w14:textId="57615D19"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Macfarlane states that debate over learning about law can be reframed within a </w:t>
      </w:r>
      <w:proofErr w:type="spellStart"/>
      <w:r w:rsidRPr="00546952">
        <w:rPr>
          <w:rFonts w:ascii="Palatino Linotype" w:hAnsi="Palatino Linotype" w:cs="Arial"/>
          <w:lang w:val="en-US"/>
        </w:rPr>
        <w:t>realisation</w:t>
      </w:r>
      <w:proofErr w:type="spellEnd"/>
      <w:r w:rsidRPr="00546952">
        <w:rPr>
          <w:rFonts w:ascii="Palatino Linotype" w:hAnsi="Palatino Linotype" w:cs="Arial"/>
          <w:lang w:val="en-US"/>
        </w:rPr>
        <w:t xml:space="preserve"> of the </w:t>
      </w:r>
      <w:r w:rsidR="00DC5E1C" w:rsidRPr="00546952">
        <w:rPr>
          <w:rFonts w:ascii="Palatino Linotype" w:hAnsi="Palatino Linotype" w:cs="Arial"/>
          <w:lang w:val="en-US"/>
        </w:rPr>
        <w:t>‘</w:t>
      </w:r>
      <w:r w:rsidRPr="00546952">
        <w:rPr>
          <w:rFonts w:ascii="Palatino Linotype" w:hAnsi="Palatino Linotype" w:cs="Arial"/>
          <w:lang w:val="en-US"/>
        </w:rPr>
        <w:t>interconnectedness of theory and practice</w:t>
      </w:r>
      <w:r w:rsidR="00DC5E1C" w:rsidRPr="00546952">
        <w:rPr>
          <w:rFonts w:ascii="Palatino Linotype" w:hAnsi="Palatino Linotype" w:cs="Arial"/>
          <w:lang w:val="en-US"/>
        </w:rPr>
        <w:t>’</w:t>
      </w:r>
      <w:r w:rsidRPr="00546952">
        <w:rPr>
          <w:rFonts w:ascii="Palatino Linotype" w:hAnsi="Palatino Linotype" w:cs="Arial"/>
          <w:lang w:val="en-US"/>
        </w:rPr>
        <w:t>.</w:t>
      </w:r>
      <w:r w:rsidRPr="00546952">
        <w:rPr>
          <w:rStyle w:val="FootnoteReference"/>
          <w:rFonts w:ascii="Palatino Linotype" w:hAnsi="Palatino Linotype" w:cs="Arial"/>
          <w:lang w:val="en-US"/>
        </w:rPr>
        <w:footnoteReference w:id="148"/>
      </w:r>
      <w:r w:rsidRPr="00546952">
        <w:rPr>
          <w:rFonts w:ascii="Palatino Linotype" w:hAnsi="Palatino Linotype" w:cs="Arial"/>
          <w:lang w:val="en-US"/>
        </w:rPr>
        <w:t xml:space="preserve"> It is important to explore whether this </w:t>
      </w:r>
      <w:r w:rsidR="00F12E17" w:rsidRPr="00546952">
        <w:rPr>
          <w:rFonts w:ascii="Palatino Linotype" w:hAnsi="Palatino Linotype" w:cs="Arial"/>
          <w:lang w:val="en-US"/>
        </w:rPr>
        <w:t>‘</w:t>
      </w:r>
      <w:r w:rsidRPr="00546952">
        <w:rPr>
          <w:rFonts w:ascii="Palatino Linotype" w:hAnsi="Palatino Linotype" w:cs="Arial"/>
          <w:lang w:val="en-US"/>
        </w:rPr>
        <w:t>connectedness</w:t>
      </w:r>
      <w:r w:rsidR="00F12E17" w:rsidRPr="00546952">
        <w:rPr>
          <w:rFonts w:ascii="Palatino Linotype" w:hAnsi="Palatino Linotype" w:cs="Arial"/>
          <w:lang w:val="en-US"/>
        </w:rPr>
        <w:t>’</w:t>
      </w:r>
      <w:r w:rsidRPr="00546952">
        <w:rPr>
          <w:rFonts w:ascii="Palatino Linotype" w:hAnsi="Palatino Linotype" w:cs="Arial"/>
          <w:lang w:val="en-US"/>
        </w:rPr>
        <w:t xml:space="preserve"> between the teaching and practice of ADR is in fact happening in various clinics in Australia. Macfarlane strongly advocates for clinical legal education to be warned against becoming </w:t>
      </w:r>
      <w:r w:rsidR="00DC5E1C" w:rsidRPr="00546952">
        <w:rPr>
          <w:rFonts w:ascii="Palatino Linotype" w:hAnsi="Palatino Linotype" w:cs="Arial"/>
          <w:lang w:val="en-US"/>
        </w:rPr>
        <w:t>‘</w:t>
      </w:r>
      <w:r w:rsidRPr="00546952">
        <w:rPr>
          <w:rFonts w:ascii="Palatino Linotype" w:hAnsi="Palatino Linotype" w:cs="Arial"/>
          <w:lang w:val="en-US"/>
        </w:rPr>
        <w:t>stuck</w:t>
      </w:r>
      <w:r w:rsidR="00DC5E1C" w:rsidRPr="00546952">
        <w:rPr>
          <w:rFonts w:ascii="Palatino Linotype" w:hAnsi="Palatino Linotype" w:cs="Arial"/>
          <w:lang w:val="en-US"/>
        </w:rPr>
        <w:t xml:space="preserve">’ </w:t>
      </w:r>
      <w:r w:rsidRPr="00546952">
        <w:rPr>
          <w:rFonts w:ascii="Palatino Linotype" w:hAnsi="Palatino Linotype" w:cs="Arial"/>
          <w:lang w:val="en-US"/>
        </w:rPr>
        <w:t>in a conception of social justice lawyering that is heavily dependent on rights-based strategies and traditional hierarchical conceptions of the lawyer/client relationship.</w:t>
      </w:r>
      <w:r w:rsidRPr="00546952">
        <w:rPr>
          <w:rStyle w:val="FootnoteReference"/>
          <w:rFonts w:ascii="Palatino Linotype" w:hAnsi="Palatino Linotype" w:cs="Arial"/>
          <w:lang w:val="en-US"/>
        </w:rPr>
        <w:footnoteReference w:id="149"/>
      </w:r>
      <w:r w:rsidRPr="00546952">
        <w:rPr>
          <w:rFonts w:ascii="Palatino Linotype" w:hAnsi="Palatino Linotype" w:cs="Arial"/>
          <w:lang w:val="en-US"/>
        </w:rPr>
        <w:t xml:space="preserve"> Macfarlane traces the history of early clinics, which she notes </w:t>
      </w:r>
      <w:r w:rsidRPr="00546952">
        <w:rPr>
          <w:rFonts w:ascii="Palatino Linotype" w:hAnsi="Palatino Linotype" w:cs="Arial"/>
          <w:lang w:val="en-US"/>
        </w:rPr>
        <w:lastRenderedPageBreak/>
        <w:t xml:space="preserve">were motivated by an ‘ethos of public service and a desire to bring access to justice to underserved and </w:t>
      </w:r>
      <w:proofErr w:type="spellStart"/>
      <w:r w:rsidRPr="00546952">
        <w:rPr>
          <w:rFonts w:ascii="Palatino Linotype" w:hAnsi="Palatino Linotype" w:cs="Arial"/>
          <w:lang w:val="en-US"/>
        </w:rPr>
        <w:t>marginalised</w:t>
      </w:r>
      <w:proofErr w:type="spellEnd"/>
      <w:r w:rsidRPr="00546952">
        <w:rPr>
          <w:rFonts w:ascii="Palatino Linotype" w:hAnsi="Palatino Linotype" w:cs="Arial"/>
          <w:lang w:val="en-US"/>
        </w:rPr>
        <w:t xml:space="preserve"> groups within the community.’</w:t>
      </w:r>
      <w:r w:rsidRPr="00546952">
        <w:rPr>
          <w:rStyle w:val="FootnoteReference"/>
          <w:rFonts w:ascii="Palatino Linotype" w:hAnsi="Palatino Linotype" w:cs="Arial"/>
          <w:lang w:val="en-US"/>
        </w:rPr>
        <w:footnoteReference w:id="150"/>
      </w:r>
      <w:r w:rsidRPr="00546952">
        <w:rPr>
          <w:rFonts w:ascii="Palatino Linotype" w:hAnsi="Palatino Linotype" w:cs="Arial"/>
          <w:lang w:val="en-US"/>
        </w:rPr>
        <w:t xml:space="preserve"> In the process, Macfarlane notes, students would acquire important practical skills and skills teaching was seen as an effective answer to demands for competency that were gathering pace as a result of reports such as the </w:t>
      </w:r>
      <w:proofErr w:type="spellStart"/>
      <w:r w:rsidRPr="00546952">
        <w:rPr>
          <w:rFonts w:ascii="Palatino Linotype" w:hAnsi="Palatino Linotype" w:cs="Arial"/>
          <w:lang w:val="en-US"/>
        </w:rPr>
        <w:t>MacCrate</w:t>
      </w:r>
      <w:proofErr w:type="spellEnd"/>
      <w:r w:rsidRPr="00546952">
        <w:rPr>
          <w:rFonts w:ascii="Palatino Linotype" w:hAnsi="Palatino Linotype" w:cs="Arial"/>
          <w:lang w:val="en-US"/>
        </w:rPr>
        <w:t xml:space="preserve"> Report </w:t>
      </w:r>
      <w:r w:rsidRPr="00546952">
        <w:rPr>
          <w:rStyle w:val="FootnoteReference"/>
          <w:rFonts w:ascii="Palatino Linotype" w:hAnsi="Palatino Linotype" w:cs="Arial"/>
          <w:lang w:val="en-US"/>
        </w:rPr>
        <w:footnoteReference w:id="151"/>
      </w:r>
      <w:r w:rsidRPr="00546952">
        <w:rPr>
          <w:rFonts w:ascii="Palatino Linotype" w:hAnsi="Palatino Linotype" w:cs="Arial"/>
          <w:lang w:val="en-US"/>
        </w:rPr>
        <w:t xml:space="preserve"> in the US and the </w:t>
      </w:r>
      <w:proofErr w:type="spellStart"/>
      <w:r w:rsidRPr="00546952">
        <w:rPr>
          <w:rFonts w:ascii="Palatino Linotype" w:hAnsi="Palatino Linotype" w:cs="Arial"/>
          <w:lang w:val="en-US"/>
        </w:rPr>
        <w:t>Marre</w:t>
      </w:r>
      <w:proofErr w:type="spellEnd"/>
      <w:r w:rsidRPr="00546952">
        <w:rPr>
          <w:rFonts w:ascii="Palatino Linotype" w:hAnsi="Palatino Linotype" w:cs="Arial"/>
          <w:lang w:val="en-US"/>
        </w:rPr>
        <w:t xml:space="preserve"> Report </w:t>
      </w:r>
      <w:r w:rsidRPr="00546952">
        <w:rPr>
          <w:rStyle w:val="FootnoteReference"/>
          <w:rFonts w:ascii="Palatino Linotype" w:hAnsi="Palatino Linotype" w:cs="Arial"/>
          <w:lang w:val="en-US"/>
        </w:rPr>
        <w:footnoteReference w:id="152"/>
      </w:r>
      <w:r w:rsidRPr="00546952">
        <w:rPr>
          <w:rFonts w:ascii="Palatino Linotype" w:hAnsi="Palatino Linotype" w:cs="Arial"/>
          <w:lang w:val="en-US"/>
        </w:rPr>
        <w:t xml:space="preserve"> in the UK. According to Macfarlane:</w:t>
      </w:r>
    </w:p>
    <w:p w14:paraId="373FB6DE" w14:textId="48E27953" w:rsidR="009C79F6" w:rsidRPr="004C2630" w:rsidRDefault="004C2630" w:rsidP="004C2630">
      <w:pPr>
        <w:widowControl w:val="0"/>
        <w:autoSpaceDE w:val="0"/>
        <w:autoSpaceDN w:val="0"/>
        <w:adjustRightInd w:val="0"/>
        <w:spacing w:line="360" w:lineRule="auto"/>
        <w:ind w:left="720"/>
        <w:jc w:val="both"/>
        <w:rPr>
          <w:rFonts w:ascii="Palatino Linotype" w:hAnsi="Palatino Linotype" w:cs="Arial"/>
          <w:sz w:val="22"/>
          <w:szCs w:val="22"/>
          <w:lang w:val="en-US"/>
        </w:rPr>
      </w:pPr>
      <w:r>
        <w:rPr>
          <w:rFonts w:ascii="Palatino Linotype" w:hAnsi="Palatino Linotype" w:cs="Arial"/>
          <w:sz w:val="22"/>
          <w:szCs w:val="22"/>
          <w:lang w:val="en-US"/>
        </w:rPr>
        <w:t>‘</w:t>
      </w:r>
      <w:r w:rsidR="00BA0026" w:rsidRPr="004C2630">
        <w:rPr>
          <w:rFonts w:ascii="Palatino Linotype" w:hAnsi="Palatino Linotype" w:cs="Arial"/>
          <w:sz w:val="22"/>
          <w:szCs w:val="22"/>
          <w:lang w:val="en-US"/>
        </w:rPr>
        <w:t>C</w:t>
      </w:r>
      <w:r w:rsidR="009C79F6" w:rsidRPr="004C2630">
        <w:rPr>
          <w:rFonts w:ascii="Palatino Linotype" w:hAnsi="Palatino Linotype" w:cs="Arial"/>
          <w:sz w:val="22"/>
          <w:szCs w:val="22"/>
          <w:lang w:val="en-US"/>
        </w:rPr>
        <w:t xml:space="preserve">linics need to keep pace with the changing environment of legal service, and continue to capture the imagination of law students and funders, there needs to be a re-evaluation and </w:t>
      </w:r>
      <w:proofErr w:type="spellStart"/>
      <w:r w:rsidR="009C79F6" w:rsidRPr="004C2630">
        <w:rPr>
          <w:rFonts w:ascii="Palatino Linotype" w:hAnsi="Palatino Linotype" w:cs="Arial"/>
          <w:sz w:val="22"/>
          <w:szCs w:val="22"/>
          <w:lang w:val="en-US"/>
        </w:rPr>
        <w:t>modernisation</w:t>
      </w:r>
      <w:proofErr w:type="spellEnd"/>
      <w:r w:rsidR="009C79F6" w:rsidRPr="004C2630">
        <w:rPr>
          <w:rFonts w:ascii="Palatino Linotype" w:hAnsi="Palatino Linotype" w:cs="Arial"/>
          <w:sz w:val="22"/>
          <w:szCs w:val="22"/>
          <w:lang w:val="en-US"/>
        </w:rPr>
        <w:t xml:space="preserve"> of how we think about both the service and the educational goals of the law clinic.</w:t>
      </w:r>
      <w:r>
        <w:rPr>
          <w:rFonts w:ascii="Palatino Linotype" w:hAnsi="Palatino Linotype" w:cs="Arial"/>
          <w:sz w:val="22"/>
          <w:szCs w:val="22"/>
          <w:lang w:val="en-US"/>
        </w:rPr>
        <w:t>’</w:t>
      </w:r>
      <w:r w:rsidR="009C79F6" w:rsidRPr="004C2630">
        <w:rPr>
          <w:rStyle w:val="FootnoteReference"/>
          <w:rFonts w:ascii="Palatino Linotype" w:hAnsi="Palatino Linotype" w:cs="Arial"/>
          <w:sz w:val="22"/>
          <w:szCs w:val="22"/>
          <w:lang w:val="en-US"/>
        </w:rPr>
        <w:footnoteReference w:id="153"/>
      </w:r>
      <w:r w:rsidR="009C79F6" w:rsidRPr="004C2630">
        <w:rPr>
          <w:rFonts w:ascii="Palatino Linotype" w:hAnsi="Palatino Linotype" w:cs="Arial"/>
          <w:sz w:val="22"/>
          <w:szCs w:val="22"/>
          <w:lang w:val="en-US"/>
        </w:rPr>
        <w:t xml:space="preserve"> </w:t>
      </w:r>
    </w:p>
    <w:p w14:paraId="08EECB1E" w14:textId="72C148D8"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Macfarlane suggests that clinics need to remain relevant and vital in their dual mission of legal education and justice. </w:t>
      </w:r>
      <w:r w:rsidR="0076489B" w:rsidRPr="00546952">
        <w:rPr>
          <w:rFonts w:ascii="Palatino Linotype" w:hAnsi="Palatino Linotype" w:cs="Arial"/>
          <w:lang w:val="en-US"/>
        </w:rPr>
        <w:t>C</w:t>
      </w:r>
      <w:r w:rsidRPr="00546952">
        <w:rPr>
          <w:rFonts w:ascii="Palatino Linotype" w:hAnsi="Palatino Linotype" w:cs="Arial"/>
          <w:lang w:val="en-US"/>
        </w:rPr>
        <w:t xml:space="preserve">linics need to examine how far the ideology of a </w:t>
      </w:r>
      <w:r w:rsidR="00BB44C7" w:rsidRPr="00546952">
        <w:rPr>
          <w:rFonts w:ascii="Palatino Linotype" w:hAnsi="Palatino Linotype" w:cs="Arial"/>
          <w:lang w:val="en-US"/>
        </w:rPr>
        <w:t>‘</w:t>
      </w:r>
      <w:r w:rsidRPr="00546952">
        <w:rPr>
          <w:rFonts w:ascii="Palatino Linotype" w:hAnsi="Palatino Linotype" w:cs="Arial"/>
          <w:lang w:val="en-US"/>
        </w:rPr>
        <w:t>default to rights</w:t>
      </w:r>
      <w:r w:rsidR="00BB44C7" w:rsidRPr="00546952">
        <w:rPr>
          <w:rFonts w:ascii="Palatino Linotype" w:hAnsi="Palatino Linotype" w:cs="Arial"/>
          <w:lang w:val="en-US"/>
        </w:rPr>
        <w:t>’</w:t>
      </w:r>
      <w:r w:rsidRPr="00546952">
        <w:rPr>
          <w:rFonts w:ascii="Palatino Linotype" w:hAnsi="Palatino Linotype" w:cs="Arial"/>
          <w:lang w:val="en-US"/>
        </w:rPr>
        <w:t xml:space="preserve">, and an assumption that the lawyer is </w:t>
      </w:r>
      <w:r w:rsidR="00BB44C7" w:rsidRPr="00546952">
        <w:rPr>
          <w:rFonts w:ascii="Palatino Linotype" w:hAnsi="Palatino Linotype" w:cs="Arial"/>
          <w:lang w:val="en-US"/>
        </w:rPr>
        <w:t>‘</w:t>
      </w:r>
      <w:r w:rsidRPr="00546952">
        <w:rPr>
          <w:rFonts w:ascii="Palatino Linotype" w:hAnsi="Palatino Linotype" w:cs="Arial"/>
          <w:lang w:val="en-US"/>
        </w:rPr>
        <w:t>in charge</w:t>
      </w:r>
      <w:r w:rsidR="00BB44C7" w:rsidRPr="00546952">
        <w:rPr>
          <w:rFonts w:ascii="Palatino Linotype" w:hAnsi="Palatino Linotype" w:cs="Arial"/>
          <w:lang w:val="en-US"/>
        </w:rPr>
        <w:t>’</w:t>
      </w:r>
      <w:r w:rsidRPr="00546952">
        <w:rPr>
          <w:rFonts w:ascii="Palatino Linotype" w:hAnsi="Palatino Linotype" w:cs="Arial"/>
          <w:lang w:val="en-US"/>
        </w:rPr>
        <w:t xml:space="preserve"> in the professional relationship still drive their decision-making and sense of worth.</w:t>
      </w:r>
      <w:r w:rsidRPr="00546952">
        <w:rPr>
          <w:rStyle w:val="FootnoteReference"/>
          <w:rFonts w:ascii="Palatino Linotype" w:hAnsi="Palatino Linotype" w:cs="Arial"/>
          <w:lang w:val="en-US"/>
        </w:rPr>
        <w:footnoteReference w:id="154"/>
      </w:r>
      <w:r w:rsidRPr="00546952">
        <w:rPr>
          <w:rFonts w:ascii="Palatino Linotype" w:hAnsi="Palatino Linotype" w:cs="Arial"/>
          <w:lang w:val="en-US"/>
        </w:rPr>
        <w:t xml:space="preserve"> The challenge for clinics is to be willing to reevaluate how, in this new environment, they can fulfill their dual mission of education and service most effectively and with the greatest potential for transformation.</w:t>
      </w:r>
      <w:r w:rsidRPr="00546952">
        <w:rPr>
          <w:rStyle w:val="FootnoteReference"/>
          <w:rFonts w:ascii="Palatino Linotype" w:hAnsi="Palatino Linotype" w:cs="Arial"/>
          <w:lang w:val="en-US"/>
        </w:rPr>
        <w:footnoteReference w:id="155"/>
      </w:r>
      <w:r w:rsidRPr="00546952">
        <w:rPr>
          <w:rFonts w:ascii="Palatino Linotype" w:hAnsi="Palatino Linotype" w:cs="Arial"/>
          <w:lang w:val="en-US"/>
        </w:rPr>
        <w:t xml:space="preserve"> Legal clinics need to be brought into the 21</w:t>
      </w:r>
      <w:r w:rsidRPr="00546952">
        <w:rPr>
          <w:rFonts w:ascii="Palatino Linotype" w:hAnsi="Palatino Linotype" w:cs="Arial"/>
          <w:vertAlign w:val="superscript"/>
          <w:lang w:val="en-US"/>
        </w:rPr>
        <w:t>st</w:t>
      </w:r>
      <w:r w:rsidRPr="00546952">
        <w:rPr>
          <w:rFonts w:ascii="Palatino Linotype" w:hAnsi="Palatino Linotype" w:cs="Arial"/>
          <w:lang w:val="en-US"/>
        </w:rPr>
        <w:t xml:space="preserve"> century and to revisit the ‘sacred beliefs that </w:t>
      </w:r>
      <w:r w:rsidRPr="00546952">
        <w:rPr>
          <w:rFonts w:ascii="Palatino Linotype" w:hAnsi="Palatino Linotype" w:cs="Arial"/>
          <w:lang w:val="en-US"/>
        </w:rPr>
        <w:lastRenderedPageBreak/>
        <w:t>drive both the law school curriculum and the operation of the legal clinics.’</w:t>
      </w:r>
      <w:r w:rsidRPr="00546952">
        <w:rPr>
          <w:rStyle w:val="FootnoteReference"/>
          <w:rFonts w:ascii="Palatino Linotype" w:hAnsi="Palatino Linotype" w:cs="Arial"/>
          <w:lang w:val="en-US"/>
        </w:rPr>
        <w:footnoteReference w:id="156"/>
      </w:r>
    </w:p>
    <w:p w14:paraId="445BE7F1" w14:textId="1A7EFCE1"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In order for legal clinics to prepare their students to be 21</w:t>
      </w:r>
      <w:r w:rsidRPr="00546952">
        <w:rPr>
          <w:rFonts w:ascii="Palatino Linotype" w:hAnsi="Palatino Linotype" w:cs="Arial"/>
          <w:vertAlign w:val="superscript"/>
          <w:lang w:val="en-US"/>
        </w:rPr>
        <w:t>st</w:t>
      </w:r>
      <w:r w:rsidRPr="00546952">
        <w:rPr>
          <w:rFonts w:ascii="Palatino Linotype" w:hAnsi="Palatino Linotype" w:cs="Arial"/>
          <w:lang w:val="en-US"/>
        </w:rPr>
        <w:t xml:space="preserve"> century lawyers, there needs to be a move away from the </w:t>
      </w:r>
      <w:r w:rsidR="00BB44C7" w:rsidRPr="00546952">
        <w:rPr>
          <w:rFonts w:ascii="Palatino Linotype" w:hAnsi="Palatino Linotype" w:cs="Arial"/>
          <w:lang w:val="en-US"/>
        </w:rPr>
        <w:t>‘</w:t>
      </w:r>
      <w:r w:rsidRPr="00546952">
        <w:rPr>
          <w:rFonts w:ascii="Palatino Linotype" w:hAnsi="Palatino Linotype" w:cs="Arial"/>
          <w:lang w:val="en-US"/>
        </w:rPr>
        <w:t>default to rights</w:t>
      </w:r>
      <w:r w:rsidR="00BB44C7" w:rsidRPr="00546952">
        <w:rPr>
          <w:rFonts w:ascii="Palatino Linotype" w:hAnsi="Palatino Linotype" w:cs="Arial"/>
          <w:lang w:val="en-US"/>
        </w:rPr>
        <w:t>’</w:t>
      </w:r>
      <w:r w:rsidRPr="00546952">
        <w:rPr>
          <w:rFonts w:ascii="Palatino Linotype" w:hAnsi="Palatino Linotype" w:cs="Arial"/>
          <w:lang w:val="en-US"/>
        </w:rPr>
        <w:t>.</w:t>
      </w:r>
      <w:r w:rsidRPr="00546952">
        <w:rPr>
          <w:rStyle w:val="FootnoteReference"/>
          <w:rFonts w:ascii="Palatino Linotype" w:hAnsi="Palatino Linotype" w:cs="Arial"/>
          <w:lang w:val="en-US"/>
        </w:rPr>
        <w:footnoteReference w:id="157"/>
      </w:r>
      <w:r w:rsidRPr="00546952">
        <w:rPr>
          <w:rFonts w:ascii="Palatino Linotype" w:hAnsi="Palatino Linotype" w:cs="Arial"/>
          <w:lang w:val="en-US"/>
        </w:rPr>
        <w:t xml:space="preserve"> In other words, clinics need to move away from assuming a ‘relentlessly normative view of conflict, in which one side is right and the other is wrong, and in which therefore there must always be a winner and a loser’.</w:t>
      </w:r>
      <w:r w:rsidRPr="00546952">
        <w:rPr>
          <w:rStyle w:val="FootnoteReference"/>
          <w:rFonts w:ascii="Palatino Linotype" w:hAnsi="Palatino Linotype" w:cs="Arial"/>
          <w:lang w:val="en-US"/>
        </w:rPr>
        <w:footnoteReference w:id="158"/>
      </w:r>
      <w:r w:rsidRPr="00546952">
        <w:rPr>
          <w:rFonts w:ascii="Palatino Linotype" w:hAnsi="Palatino Linotype" w:cs="Arial"/>
          <w:lang w:val="en-US"/>
        </w:rPr>
        <w:t xml:space="preserve"> An alternative and more beneficial approach would be for clinic clients to be advised of a range of options, including litigation, negotiation and dialogue, all with the overall commitment to practical problem solving.</w:t>
      </w:r>
      <w:r w:rsidRPr="00546952">
        <w:rPr>
          <w:rStyle w:val="FootnoteReference"/>
          <w:rFonts w:ascii="Palatino Linotype" w:hAnsi="Palatino Linotype" w:cs="Arial"/>
          <w:lang w:val="en-US"/>
        </w:rPr>
        <w:footnoteReference w:id="159"/>
      </w:r>
      <w:r w:rsidRPr="00546952">
        <w:rPr>
          <w:rFonts w:ascii="Palatino Linotype" w:hAnsi="Palatino Linotype" w:cs="Arial"/>
          <w:lang w:val="en-US"/>
        </w:rPr>
        <w:t xml:space="preserve"> Indeed, and as I explained earlier, there are some areas of law in which this is not only the </w:t>
      </w:r>
      <w:r w:rsidRPr="00546952">
        <w:rPr>
          <w:rFonts w:ascii="Palatino Linotype" w:hAnsi="Palatino Linotype" w:cs="Arial"/>
          <w:i/>
          <w:lang w:val="en-US"/>
        </w:rPr>
        <w:t>ideal</w:t>
      </w:r>
      <w:r w:rsidRPr="00546952">
        <w:rPr>
          <w:rFonts w:ascii="Palatino Linotype" w:hAnsi="Palatino Linotype" w:cs="Arial"/>
          <w:lang w:val="en-US"/>
        </w:rPr>
        <w:t>, but where it is also a legislative requirement. In the 21</w:t>
      </w:r>
      <w:r w:rsidRPr="00546952">
        <w:rPr>
          <w:rFonts w:ascii="Palatino Linotype" w:hAnsi="Palatino Linotype" w:cs="Arial"/>
          <w:vertAlign w:val="superscript"/>
          <w:lang w:val="en-US"/>
        </w:rPr>
        <w:t>st</w:t>
      </w:r>
      <w:r w:rsidRPr="00546952">
        <w:rPr>
          <w:rFonts w:ascii="Palatino Linotype" w:hAnsi="Palatino Linotype" w:cs="Arial"/>
          <w:lang w:val="en-US"/>
        </w:rPr>
        <w:t xml:space="preserve"> century, there is a move towards ‘wise and transparent bargaining…towards finding the best possible settlement, this is a better strategy and may more directly address client’s needs, both legal and non-legal.’</w:t>
      </w:r>
      <w:r w:rsidRPr="00546952">
        <w:rPr>
          <w:rStyle w:val="FootnoteReference"/>
          <w:rFonts w:ascii="Palatino Linotype" w:hAnsi="Palatino Linotype" w:cs="Arial"/>
          <w:lang w:val="en-US"/>
        </w:rPr>
        <w:footnoteReference w:id="160"/>
      </w:r>
      <w:r w:rsidRPr="00546952">
        <w:rPr>
          <w:rFonts w:ascii="Palatino Linotype" w:hAnsi="Palatino Linotype" w:cs="Arial"/>
          <w:lang w:val="en-US"/>
        </w:rPr>
        <w:t xml:space="preserve"> It is interesting to note that in their research regarding ADR in clinical legal education programs in Australia, King et al observe that clinical supervisors will state that they have been teaching </w:t>
      </w:r>
      <w:r w:rsidR="00CD0D89" w:rsidRPr="00546952">
        <w:rPr>
          <w:rFonts w:ascii="Palatino Linotype" w:hAnsi="Palatino Linotype" w:cs="Arial"/>
          <w:lang w:val="en-US"/>
        </w:rPr>
        <w:t xml:space="preserve">ADR </w:t>
      </w:r>
      <w:r w:rsidRPr="00546952">
        <w:rPr>
          <w:rFonts w:ascii="Palatino Linotype" w:hAnsi="Palatino Linotype" w:cs="Arial"/>
          <w:lang w:val="en-US"/>
        </w:rPr>
        <w:t xml:space="preserve">for many years and that the type of law that they have been modeling and teaching students simply did not have the label of </w:t>
      </w:r>
      <w:r w:rsidR="00BB44C7" w:rsidRPr="00546952">
        <w:rPr>
          <w:rFonts w:ascii="Palatino Linotype" w:hAnsi="Palatino Linotype" w:cs="Arial"/>
          <w:lang w:val="en-US"/>
        </w:rPr>
        <w:t>‘</w:t>
      </w:r>
      <w:r w:rsidRPr="00546952">
        <w:rPr>
          <w:rFonts w:ascii="Palatino Linotype" w:hAnsi="Palatino Linotype" w:cs="Arial"/>
          <w:lang w:val="en-US"/>
        </w:rPr>
        <w:t>non-adversarial</w:t>
      </w:r>
      <w:r w:rsidR="00BB44C7" w:rsidRPr="00546952">
        <w:rPr>
          <w:rFonts w:ascii="Palatino Linotype" w:hAnsi="Palatino Linotype" w:cs="Arial"/>
          <w:lang w:val="en-US"/>
        </w:rPr>
        <w:t>’</w:t>
      </w:r>
      <w:r w:rsidRPr="00546952">
        <w:rPr>
          <w:rFonts w:ascii="Palatino Linotype" w:hAnsi="Palatino Linotype" w:cs="Arial"/>
          <w:lang w:val="en-US"/>
        </w:rPr>
        <w:t xml:space="preserve"> until recently.</w:t>
      </w:r>
      <w:r w:rsidRPr="00546952">
        <w:rPr>
          <w:rStyle w:val="FootnoteReference"/>
          <w:rFonts w:ascii="Palatino Linotype" w:hAnsi="Palatino Linotype" w:cs="Arial"/>
          <w:lang w:val="en-US"/>
        </w:rPr>
        <w:footnoteReference w:id="161"/>
      </w:r>
      <w:r w:rsidRPr="00546952">
        <w:rPr>
          <w:rFonts w:ascii="Palatino Linotype" w:hAnsi="Palatino Linotype" w:cs="Arial"/>
          <w:lang w:val="en-US"/>
        </w:rPr>
        <w:t xml:space="preserve"> This view is based </w:t>
      </w:r>
      <w:r w:rsidRPr="00546952">
        <w:rPr>
          <w:rFonts w:ascii="Palatino Linotype" w:hAnsi="Palatino Linotype" w:cs="Arial"/>
          <w:lang w:val="en-US"/>
        </w:rPr>
        <w:lastRenderedPageBreak/>
        <w:t xml:space="preserve">on the </w:t>
      </w:r>
      <w:r w:rsidR="007D08E9" w:rsidRPr="00546952">
        <w:rPr>
          <w:rFonts w:ascii="Palatino Linotype" w:hAnsi="Palatino Linotype" w:cs="Arial"/>
          <w:lang w:val="en-US"/>
        </w:rPr>
        <w:t xml:space="preserve">fact that </w:t>
      </w:r>
      <w:r w:rsidRPr="00546952">
        <w:rPr>
          <w:rFonts w:ascii="Palatino Linotype" w:hAnsi="Palatino Linotype" w:cs="Arial"/>
          <w:lang w:val="en-US"/>
        </w:rPr>
        <w:t xml:space="preserve">clinicians in these programs </w:t>
      </w:r>
      <w:r w:rsidR="007D08E9" w:rsidRPr="00546952">
        <w:rPr>
          <w:rFonts w:ascii="Palatino Linotype" w:hAnsi="Palatino Linotype" w:cs="Arial"/>
          <w:lang w:val="en-US"/>
        </w:rPr>
        <w:t xml:space="preserve">often </w:t>
      </w:r>
      <w:r w:rsidRPr="00546952">
        <w:rPr>
          <w:rFonts w:ascii="Palatino Linotype" w:hAnsi="Palatino Linotype" w:cs="Arial"/>
          <w:lang w:val="en-US"/>
        </w:rPr>
        <w:t xml:space="preserve">attempt to resolve client problems without </w:t>
      </w:r>
      <w:r w:rsidR="007D08E9" w:rsidRPr="00546952">
        <w:rPr>
          <w:rFonts w:ascii="Palatino Linotype" w:hAnsi="Palatino Linotype" w:cs="Arial"/>
          <w:lang w:val="en-US"/>
        </w:rPr>
        <w:t>resorting to</w:t>
      </w:r>
      <w:r w:rsidRPr="00546952">
        <w:rPr>
          <w:rFonts w:ascii="Palatino Linotype" w:hAnsi="Palatino Linotype" w:cs="Arial"/>
          <w:lang w:val="en-US"/>
        </w:rPr>
        <w:t xml:space="preserve"> litigation</w:t>
      </w:r>
      <w:r w:rsidR="007D08E9" w:rsidRPr="00546952">
        <w:rPr>
          <w:rFonts w:ascii="Palatino Linotype" w:hAnsi="Palatino Linotype" w:cs="Arial"/>
          <w:lang w:val="en-US"/>
        </w:rPr>
        <w:t>, because</w:t>
      </w:r>
      <w:r w:rsidRPr="00546952">
        <w:rPr>
          <w:rFonts w:ascii="Palatino Linotype" w:hAnsi="Palatino Linotype" w:cs="Arial"/>
          <w:lang w:val="en-US"/>
        </w:rPr>
        <w:t xml:space="preserve"> most clients of clinics cannot afford the time or expense of court proceedings.</w:t>
      </w:r>
      <w:r w:rsidRPr="00546952">
        <w:rPr>
          <w:rStyle w:val="FootnoteReference"/>
          <w:rFonts w:ascii="Palatino Linotype" w:hAnsi="Palatino Linotype" w:cs="Arial"/>
          <w:lang w:val="en-US"/>
        </w:rPr>
        <w:footnoteReference w:id="162"/>
      </w:r>
      <w:r w:rsidR="00BB44C7" w:rsidRPr="00546952">
        <w:rPr>
          <w:rFonts w:ascii="Palatino Linotype" w:hAnsi="Palatino Linotype" w:cs="Arial"/>
          <w:lang w:val="en-US"/>
        </w:rPr>
        <w:t xml:space="preserve"> </w:t>
      </w:r>
      <w:r w:rsidRPr="00546952">
        <w:rPr>
          <w:rFonts w:ascii="Palatino Linotype" w:hAnsi="Palatino Linotype" w:cs="Arial"/>
          <w:lang w:val="en-US"/>
        </w:rPr>
        <w:t>King et al</w:t>
      </w:r>
      <w:r w:rsidR="007D08E9" w:rsidRPr="00546952">
        <w:rPr>
          <w:rFonts w:ascii="Palatino Linotype" w:hAnsi="Palatino Linotype" w:cs="Arial"/>
          <w:lang w:val="en-US"/>
        </w:rPr>
        <w:t>.</w:t>
      </w:r>
      <w:r w:rsidRPr="00546952">
        <w:rPr>
          <w:rFonts w:ascii="Palatino Linotype" w:hAnsi="Palatino Linotype" w:cs="Arial"/>
          <w:lang w:val="en-US"/>
        </w:rPr>
        <w:t xml:space="preserve"> suggest that many clinicians would argue that there are overlaps between non-adversarial ideologies and clinical legal education and that these techniques have been an implicit part of clinical pedagogy for years.</w:t>
      </w:r>
      <w:r w:rsidRPr="00546952">
        <w:rPr>
          <w:rStyle w:val="FootnoteReference"/>
          <w:rFonts w:ascii="Palatino Linotype" w:hAnsi="Palatino Linotype" w:cs="Arial"/>
          <w:lang w:val="en-US"/>
        </w:rPr>
        <w:footnoteReference w:id="163"/>
      </w:r>
      <w:r w:rsidRPr="00546952">
        <w:rPr>
          <w:rFonts w:ascii="Palatino Linotype" w:hAnsi="Palatino Linotype" w:cs="Arial"/>
          <w:lang w:val="en-US"/>
        </w:rPr>
        <w:t xml:space="preserve"> </w:t>
      </w:r>
      <w:r w:rsidR="007D08E9" w:rsidRPr="00546952">
        <w:rPr>
          <w:rFonts w:ascii="Palatino Linotype" w:hAnsi="Palatino Linotype" w:cs="Arial"/>
          <w:lang w:val="en-US"/>
        </w:rPr>
        <w:t>They also argue that</w:t>
      </w:r>
      <w:r w:rsidRPr="00546952">
        <w:rPr>
          <w:rFonts w:ascii="Palatino Linotype" w:hAnsi="Palatino Linotype" w:cs="Arial"/>
          <w:lang w:val="en-US"/>
        </w:rPr>
        <w:t xml:space="preserve"> it is not sufficient for clinical legal educators to point to this holistic and client-centered way of lawyering and state that they are teaching ADR skills.</w:t>
      </w:r>
      <w:r w:rsidRPr="00546952">
        <w:rPr>
          <w:rStyle w:val="FootnoteReference"/>
          <w:rFonts w:ascii="Palatino Linotype" w:hAnsi="Palatino Linotype" w:cs="Arial"/>
          <w:lang w:val="en-US"/>
        </w:rPr>
        <w:footnoteReference w:id="164"/>
      </w:r>
      <w:r w:rsidRPr="00546952">
        <w:rPr>
          <w:rFonts w:ascii="Palatino Linotype" w:hAnsi="Palatino Linotype" w:cs="Arial"/>
          <w:lang w:val="en-US"/>
        </w:rPr>
        <w:t xml:space="preserve"> Instead, they </w:t>
      </w:r>
      <w:r w:rsidR="007D08E9" w:rsidRPr="00546952">
        <w:rPr>
          <w:rFonts w:ascii="Palatino Linotype" w:hAnsi="Palatino Linotype" w:cs="Arial"/>
          <w:lang w:val="en-US"/>
        </w:rPr>
        <w:t xml:space="preserve">suggest </w:t>
      </w:r>
      <w:r w:rsidRPr="00546952">
        <w:rPr>
          <w:rFonts w:ascii="Palatino Linotype" w:hAnsi="Palatino Linotype" w:cs="Arial"/>
          <w:lang w:val="en-US"/>
        </w:rPr>
        <w:t xml:space="preserve">that </w:t>
      </w:r>
      <w:r w:rsidR="007D08E9" w:rsidRPr="00546952">
        <w:rPr>
          <w:rFonts w:ascii="Palatino Linotype" w:hAnsi="Palatino Linotype" w:cs="Arial"/>
          <w:lang w:val="en-US"/>
        </w:rPr>
        <w:t xml:space="preserve">the teaching of </w:t>
      </w:r>
      <w:r w:rsidRPr="00546952">
        <w:rPr>
          <w:rFonts w:ascii="Palatino Linotype" w:hAnsi="Palatino Linotype" w:cs="Arial"/>
          <w:lang w:val="en-US"/>
        </w:rPr>
        <w:t>ADR needs to be explicit, rather than implicit. They go further to suggest that</w:t>
      </w:r>
    </w:p>
    <w:p w14:paraId="1DA4FAA0" w14:textId="37351A27" w:rsidR="009C79F6" w:rsidRPr="00546952" w:rsidRDefault="004C2630" w:rsidP="004C2630">
      <w:pPr>
        <w:widowControl w:val="0"/>
        <w:autoSpaceDE w:val="0"/>
        <w:autoSpaceDN w:val="0"/>
        <w:adjustRightInd w:val="0"/>
        <w:spacing w:line="360" w:lineRule="auto"/>
        <w:ind w:left="720"/>
        <w:jc w:val="both"/>
        <w:rPr>
          <w:rFonts w:ascii="Palatino Linotype" w:hAnsi="Palatino Linotype" w:cs="Arial"/>
          <w:lang w:val="en-US"/>
        </w:rPr>
      </w:pPr>
      <w:r>
        <w:rPr>
          <w:rFonts w:ascii="Palatino Linotype" w:hAnsi="Palatino Linotype" w:cs="Arial"/>
          <w:sz w:val="22"/>
          <w:szCs w:val="22"/>
          <w:lang w:val="en-US"/>
        </w:rPr>
        <w:t>‘</w:t>
      </w:r>
      <w:r w:rsidR="00BB44C7" w:rsidRPr="004C2630">
        <w:rPr>
          <w:rFonts w:ascii="Palatino Linotype" w:hAnsi="Palatino Linotype" w:cs="Arial"/>
          <w:sz w:val="22"/>
          <w:szCs w:val="22"/>
          <w:lang w:val="en-US"/>
        </w:rPr>
        <w:t>I</w:t>
      </w:r>
      <w:r w:rsidR="009C79F6" w:rsidRPr="004C2630">
        <w:rPr>
          <w:rFonts w:ascii="Palatino Linotype" w:hAnsi="Palatino Linotype" w:cs="Arial"/>
          <w:sz w:val="22"/>
          <w:szCs w:val="22"/>
          <w:lang w:val="en-US"/>
        </w:rPr>
        <w:t>t is crucial for clinics to incorporate theories of non-adversarial justice not only in the practice of clinical legal education but in the scholarship and research, clinical legal education can provide students with more depth to their understanding of both practical legal skills and non-adversarial legal scholarship</w:t>
      </w:r>
      <w:r w:rsidR="009C79F6" w:rsidRPr="00546952">
        <w:rPr>
          <w:rFonts w:ascii="Palatino Linotype" w:hAnsi="Palatino Linotype" w:cs="Arial"/>
          <w:lang w:val="en-US"/>
        </w:rPr>
        <w:t>.</w:t>
      </w:r>
      <w:r>
        <w:rPr>
          <w:rFonts w:ascii="Palatino Linotype" w:hAnsi="Palatino Linotype" w:cs="Arial"/>
          <w:lang w:val="en-US"/>
        </w:rPr>
        <w:t>’</w:t>
      </w:r>
      <w:r w:rsidR="009C79F6" w:rsidRPr="00546952">
        <w:rPr>
          <w:rFonts w:ascii="Palatino Linotype" w:hAnsi="Palatino Linotype" w:cs="Arial"/>
          <w:lang w:val="en-US"/>
        </w:rPr>
        <w:t xml:space="preserve"> </w:t>
      </w:r>
      <w:r w:rsidR="009C79F6" w:rsidRPr="00546952">
        <w:rPr>
          <w:rStyle w:val="FootnoteReference"/>
          <w:rFonts w:ascii="Palatino Linotype" w:hAnsi="Palatino Linotype" w:cs="Arial"/>
          <w:lang w:val="en-US"/>
        </w:rPr>
        <w:footnoteReference w:id="165"/>
      </w:r>
    </w:p>
    <w:p w14:paraId="04DFAA5C" w14:textId="1D743FB3" w:rsidR="009C79F6" w:rsidRPr="00546952" w:rsidRDefault="0022296B"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The</w:t>
      </w:r>
      <w:r w:rsidR="009C79F6" w:rsidRPr="00546952">
        <w:rPr>
          <w:rFonts w:ascii="Palatino Linotype" w:hAnsi="Palatino Linotype" w:cs="Arial"/>
          <w:lang w:val="en-US"/>
        </w:rPr>
        <w:t xml:space="preserve"> issues raised by King et al have been echoed by experts in clinical legal education outside Australia. Frank Bloch, a leader in research on the global clinical movement, suggests that because ADR and clinical education share overlapping goals of advancing the interests of parties and addressing deficiencies in access to justice, ADR education and clinical legal education are </w:t>
      </w:r>
      <w:r w:rsidR="009C79F6" w:rsidRPr="00546952">
        <w:rPr>
          <w:rFonts w:ascii="Palatino Linotype" w:hAnsi="Palatino Linotype" w:cs="Arial"/>
          <w:lang w:val="en-US"/>
        </w:rPr>
        <w:lastRenderedPageBreak/>
        <w:t>slowly integrating and advancing beyond the teaching and practice of basic negotiation skills that have been included in the clinical curriculum for many years.</w:t>
      </w:r>
      <w:r w:rsidR="009C79F6" w:rsidRPr="00546952">
        <w:rPr>
          <w:rStyle w:val="FootnoteReference"/>
          <w:rFonts w:ascii="Palatino Linotype" w:hAnsi="Palatino Linotype" w:cs="Arial"/>
          <w:lang w:val="en-US"/>
        </w:rPr>
        <w:footnoteReference w:id="166"/>
      </w:r>
      <w:r w:rsidR="009C79F6" w:rsidRPr="00546952">
        <w:rPr>
          <w:rFonts w:ascii="Palatino Linotype" w:hAnsi="Palatino Linotype" w:cs="Arial"/>
          <w:lang w:val="en-US"/>
        </w:rPr>
        <w:t xml:space="preserve"> Bloch has researched the impact that the integration of ADR into the clinical curriculum has had or might have had in law schools in India, South Africa and the United States. He </w:t>
      </w:r>
      <w:r w:rsidR="00EA4721" w:rsidRPr="00546952">
        <w:rPr>
          <w:rFonts w:ascii="Palatino Linotype" w:hAnsi="Palatino Linotype" w:cs="Arial"/>
          <w:lang w:val="en-US"/>
        </w:rPr>
        <w:t xml:space="preserve">found </w:t>
      </w:r>
      <w:r w:rsidR="009C79F6" w:rsidRPr="00546952">
        <w:rPr>
          <w:rFonts w:ascii="Palatino Linotype" w:hAnsi="Palatino Linotype" w:cs="Arial"/>
          <w:lang w:val="en-US"/>
        </w:rPr>
        <w:t>that clinical programs that teach and practice ADR can inform, improve, and reform not only legal education, but also, over time, the practice of law and the legal profession.</w:t>
      </w:r>
      <w:r w:rsidR="009C79F6" w:rsidRPr="00546952">
        <w:rPr>
          <w:rStyle w:val="FootnoteReference"/>
          <w:rFonts w:ascii="Palatino Linotype" w:hAnsi="Palatino Linotype" w:cs="Arial"/>
          <w:lang w:val="en-US"/>
        </w:rPr>
        <w:footnoteReference w:id="167"/>
      </w:r>
      <w:r w:rsidR="009C79F6" w:rsidRPr="00546952">
        <w:rPr>
          <w:rFonts w:ascii="Palatino Linotype" w:hAnsi="Palatino Linotype" w:cs="Arial"/>
          <w:lang w:val="en-US"/>
        </w:rPr>
        <w:t xml:space="preserve"> </w:t>
      </w:r>
    </w:p>
    <w:p w14:paraId="13973935" w14:textId="1A6A7D5A" w:rsidR="009C79F6" w:rsidRPr="00546952" w:rsidRDefault="009C79F6" w:rsidP="00546952">
      <w:pPr>
        <w:widowControl w:val="0"/>
        <w:autoSpaceDE w:val="0"/>
        <w:autoSpaceDN w:val="0"/>
        <w:adjustRightInd w:val="0"/>
        <w:spacing w:line="480" w:lineRule="auto"/>
        <w:jc w:val="both"/>
        <w:rPr>
          <w:rFonts w:ascii="Palatino Linotype" w:hAnsi="Palatino Linotype" w:cs="Arial"/>
        </w:rPr>
      </w:pPr>
      <w:r w:rsidRPr="00546952">
        <w:rPr>
          <w:rFonts w:ascii="Palatino Linotype" w:hAnsi="Palatino Linotype" w:cs="Arial"/>
          <w:lang w:val="en-US"/>
        </w:rPr>
        <w:t>Bloch reports that many law schools in the United States offer ADR courses, with a few schools requiring students to take at least one ADR course.</w:t>
      </w:r>
      <w:r w:rsidRPr="00546952">
        <w:rPr>
          <w:rStyle w:val="FootnoteReference"/>
          <w:rFonts w:ascii="Palatino Linotype" w:hAnsi="Palatino Linotype" w:cs="Arial"/>
          <w:lang w:val="en-US"/>
        </w:rPr>
        <w:footnoteReference w:id="168"/>
      </w:r>
      <w:r w:rsidRPr="00546952">
        <w:rPr>
          <w:rFonts w:ascii="Palatino Linotype" w:hAnsi="Palatino Linotype" w:cs="Arial"/>
          <w:lang w:val="en-US"/>
        </w:rPr>
        <w:t xml:space="preserve"> In </w:t>
      </w:r>
      <w:r w:rsidR="009429E4" w:rsidRPr="00546952">
        <w:rPr>
          <w:rFonts w:ascii="Palatino Linotype" w:hAnsi="Palatino Linotype" w:cs="Arial"/>
          <w:lang w:val="en-US"/>
        </w:rPr>
        <w:t xml:space="preserve">addition, </w:t>
      </w:r>
      <w:r w:rsidRPr="00546952">
        <w:rPr>
          <w:rFonts w:ascii="Palatino Linotype" w:hAnsi="Palatino Linotype" w:cs="Arial"/>
          <w:lang w:val="en-US"/>
        </w:rPr>
        <w:t>law schools, for example in South Africa, also offer Street Law programs in which law students provide peer mediation and conflict resolution training for school students.</w:t>
      </w:r>
      <w:r w:rsidRPr="00546952">
        <w:rPr>
          <w:rStyle w:val="FootnoteReference"/>
          <w:rFonts w:ascii="Palatino Linotype" w:hAnsi="Palatino Linotype" w:cs="Arial"/>
          <w:lang w:val="en-US"/>
        </w:rPr>
        <w:footnoteReference w:id="169"/>
      </w:r>
      <w:r w:rsidRPr="00546952">
        <w:rPr>
          <w:rFonts w:ascii="Palatino Linotype" w:hAnsi="Palatino Linotype" w:cs="Arial"/>
          <w:lang w:val="en-US"/>
        </w:rPr>
        <w:t xml:space="preserve"> </w:t>
      </w:r>
      <w:r w:rsidR="008A18B4" w:rsidRPr="00546952">
        <w:rPr>
          <w:rFonts w:ascii="Palatino Linotype" w:hAnsi="Palatino Linotype" w:cs="Arial"/>
          <w:lang w:val="en-US"/>
        </w:rPr>
        <w:t xml:space="preserve">Taking into account these contexts, we can see that some </w:t>
      </w:r>
      <w:r w:rsidR="008A18B4" w:rsidRPr="00546952">
        <w:rPr>
          <w:rFonts w:ascii="Palatino Linotype" w:hAnsi="Palatino Linotype" w:cs="Arial"/>
        </w:rPr>
        <w:t xml:space="preserve">clinical educators are alive to these issues and ADR is starting to be dealt with in more explicit ways in clinical settings. Indeed, in the US, some law schools have established clinics dedicated to ADR. </w:t>
      </w:r>
      <w:r w:rsidR="00162D7E" w:rsidRPr="00546952">
        <w:rPr>
          <w:rFonts w:ascii="Palatino Linotype" w:hAnsi="Palatino Linotype" w:cs="Arial"/>
          <w:lang w:val="en-US"/>
        </w:rPr>
        <w:t>A growing number of schools have developed mediation and arbitration clinics and some law schools offer community lawyering clinics that include ADR components.</w:t>
      </w:r>
      <w:r w:rsidR="008A18B4" w:rsidRPr="00546952">
        <w:rPr>
          <w:rFonts w:ascii="Palatino Linotype" w:hAnsi="Palatino Linotype" w:cs="Arial"/>
          <w:lang w:val="en-US"/>
        </w:rPr>
        <w:t xml:space="preserve"> </w:t>
      </w:r>
      <w:r w:rsidRPr="00546952">
        <w:rPr>
          <w:rFonts w:ascii="Palatino Linotype" w:hAnsi="Palatino Linotype" w:cs="Arial"/>
          <w:lang w:val="en-US"/>
        </w:rPr>
        <w:t xml:space="preserve">According to Bloch, </w:t>
      </w:r>
      <w:r w:rsidR="00C62F2A" w:rsidRPr="00546952">
        <w:rPr>
          <w:rFonts w:ascii="Palatino Linotype" w:hAnsi="Palatino Linotype" w:cs="Arial"/>
          <w:lang w:val="en-US"/>
        </w:rPr>
        <w:t xml:space="preserve">some </w:t>
      </w:r>
      <w:r w:rsidRPr="00546952">
        <w:rPr>
          <w:rFonts w:ascii="Palatino Linotype" w:hAnsi="Palatino Linotype" w:cs="Arial"/>
          <w:lang w:val="en-US"/>
        </w:rPr>
        <w:t xml:space="preserve">law schools in the US offer ADR clinics, where students may assist in employment mediations and consumer arbitrations. Some of these </w:t>
      </w:r>
      <w:r w:rsidRPr="00546952">
        <w:rPr>
          <w:rFonts w:ascii="Palatino Linotype" w:hAnsi="Palatino Linotype" w:cs="Arial"/>
          <w:lang w:val="en-US"/>
        </w:rPr>
        <w:lastRenderedPageBreak/>
        <w:t>clinics are joined to court programs where litigants are offered an ADR option in place of a trial.</w:t>
      </w:r>
      <w:r w:rsidRPr="00546952">
        <w:rPr>
          <w:rStyle w:val="FootnoteReference"/>
          <w:rFonts w:ascii="Palatino Linotype" w:hAnsi="Palatino Linotype" w:cs="Arial"/>
          <w:lang w:val="en-US"/>
        </w:rPr>
        <w:footnoteReference w:id="170"/>
      </w:r>
      <w:r w:rsidRPr="00546952">
        <w:rPr>
          <w:rFonts w:ascii="Palatino Linotype" w:hAnsi="Palatino Linotype" w:cs="Arial"/>
          <w:lang w:val="en-US"/>
        </w:rPr>
        <w:t xml:space="preserve"> According to Bloch, ‘it is in clinics that embrace ADR where law students develop their professional identity and fundamental lawyering skills and values as problem-solvers, conciliators, mediators and peacemakers</w:t>
      </w:r>
      <w:r w:rsidR="00A461AB" w:rsidRPr="00546952">
        <w:rPr>
          <w:rFonts w:ascii="Palatino Linotype" w:hAnsi="Palatino Linotype" w:cs="Arial"/>
          <w:lang w:val="en-US"/>
        </w:rPr>
        <w:t>’</w:t>
      </w:r>
      <w:r w:rsidRPr="00546952">
        <w:rPr>
          <w:rFonts w:ascii="Palatino Linotype" w:hAnsi="Palatino Linotype" w:cs="Arial"/>
          <w:lang w:val="en-US"/>
        </w:rPr>
        <w:t>.</w:t>
      </w:r>
      <w:r w:rsidRPr="00546952">
        <w:rPr>
          <w:rStyle w:val="FootnoteReference"/>
          <w:rFonts w:ascii="Palatino Linotype" w:hAnsi="Palatino Linotype" w:cs="Arial"/>
          <w:lang w:val="en-US"/>
        </w:rPr>
        <w:footnoteReference w:id="171"/>
      </w:r>
      <w:r w:rsidRPr="00546952">
        <w:rPr>
          <w:rFonts w:ascii="Palatino Linotype" w:hAnsi="Palatino Linotype" w:cs="Arial"/>
          <w:lang w:val="en-US"/>
        </w:rPr>
        <w:t xml:space="preserve"> He concludes ‘for these reasons, ADR has a unique contribution to make to clinical legal education around the world-as a richer way to teach and advance social justice.’ </w:t>
      </w:r>
      <w:r w:rsidRPr="00546952">
        <w:rPr>
          <w:rStyle w:val="FootnoteReference"/>
          <w:rFonts w:ascii="Palatino Linotype" w:hAnsi="Palatino Linotype" w:cs="Arial"/>
          <w:lang w:val="en-US"/>
        </w:rPr>
        <w:footnoteReference w:id="172"/>
      </w:r>
      <w:r w:rsidRPr="00546952">
        <w:rPr>
          <w:rFonts w:ascii="Palatino Linotype" w:hAnsi="Palatino Linotype" w:cs="Arial"/>
          <w:lang w:val="en-US"/>
        </w:rPr>
        <w:t xml:space="preserve"> </w:t>
      </w:r>
    </w:p>
    <w:p w14:paraId="25C5EA31" w14:textId="10593F6D" w:rsidR="00701616" w:rsidRPr="00546952" w:rsidRDefault="008B4A5A" w:rsidP="00546952">
      <w:pPr>
        <w:spacing w:line="480" w:lineRule="auto"/>
        <w:jc w:val="both"/>
        <w:rPr>
          <w:rFonts w:ascii="Palatino Linotype" w:hAnsi="Palatino Linotype" w:cs="Arial"/>
          <w:lang w:val="en-US"/>
        </w:rPr>
      </w:pPr>
      <w:r w:rsidRPr="00546952">
        <w:rPr>
          <w:rFonts w:ascii="Palatino Linotype" w:hAnsi="Palatino Linotype" w:cs="Arial"/>
          <w:lang w:val="en-US"/>
        </w:rPr>
        <w:t xml:space="preserve">The </w:t>
      </w:r>
      <w:proofErr w:type="spellStart"/>
      <w:r w:rsidRPr="00546952">
        <w:rPr>
          <w:rFonts w:ascii="Palatino Linotype" w:hAnsi="Palatino Linotype" w:cs="Arial"/>
          <w:lang w:val="en-US"/>
        </w:rPr>
        <w:t>aforegoing</w:t>
      </w:r>
      <w:proofErr w:type="spellEnd"/>
      <w:r w:rsidRPr="00546952">
        <w:rPr>
          <w:rFonts w:ascii="Palatino Linotype" w:hAnsi="Palatino Linotype" w:cs="Arial"/>
          <w:lang w:val="en-US"/>
        </w:rPr>
        <w:t xml:space="preserve"> discussion indicates that ADR has been</w:t>
      </w:r>
      <w:r w:rsidR="00D608BE" w:rsidRPr="00546952">
        <w:rPr>
          <w:rFonts w:ascii="Palatino Linotype" w:hAnsi="Palatino Linotype" w:cs="Arial"/>
          <w:lang w:val="en-US"/>
        </w:rPr>
        <w:t xml:space="preserve"> </w:t>
      </w:r>
      <w:proofErr w:type="spellStart"/>
      <w:r w:rsidRPr="00546952">
        <w:rPr>
          <w:rFonts w:ascii="Palatino Linotype" w:hAnsi="Palatino Linotype" w:cs="Arial"/>
          <w:lang w:val="en-US"/>
        </w:rPr>
        <w:t>recognised</w:t>
      </w:r>
      <w:proofErr w:type="spellEnd"/>
      <w:r w:rsidR="00D608BE" w:rsidRPr="00546952">
        <w:rPr>
          <w:rFonts w:ascii="Palatino Linotype" w:hAnsi="Palatino Linotype" w:cs="Arial"/>
          <w:lang w:val="en-US"/>
        </w:rPr>
        <w:t xml:space="preserve"> by clinicians</w:t>
      </w:r>
      <w:r w:rsidRPr="00546952">
        <w:rPr>
          <w:rFonts w:ascii="Palatino Linotype" w:hAnsi="Palatino Linotype" w:cs="Arial"/>
          <w:lang w:val="en-US"/>
        </w:rPr>
        <w:t xml:space="preserve"> </w:t>
      </w:r>
      <w:r w:rsidR="00B16D10" w:rsidRPr="00546952">
        <w:rPr>
          <w:rFonts w:ascii="Palatino Linotype" w:hAnsi="Palatino Linotype" w:cs="Arial"/>
          <w:lang w:val="en-US"/>
        </w:rPr>
        <w:t xml:space="preserve">in some </w:t>
      </w:r>
      <w:r w:rsidR="00172946" w:rsidRPr="00546952">
        <w:rPr>
          <w:rFonts w:ascii="Palatino Linotype" w:hAnsi="Palatino Linotype" w:cs="Arial"/>
          <w:lang w:val="en-US"/>
        </w:rPr>
        <w:t xml:space="preserve">clinical </w:t>
      </w:r>
      <w:r w:rsidR="00B16D10" w:rsidRPr="00546952">
        <w:rPr>
          <w:rFonts w:ascii="Palatino Linotype" w:hAnsi="Palatino Linotype" w:cs="Arial"/>
          <w:lang w:val="en-US"/>
        </w:rPr>
        <w:t xml:space="preserve">settings </w:t>
      </w:r>
      <w:r w:rsidRPr="00546952">
        <w:rPr>
          <w:rFonts w:ascii="Palatino Linotype" w:hAnsi="Palatino Linotype" w:cs="Arial"/>
          <w:lang w:val="en-US"/>
        </w:rPr>
        <w:t>as</w:t>
      </w:r>
      <w:r w:rsidR="00D608BE" w:rsidRPr="00546952">
        <w:rPr>
          <w:rFonts w:ascii="Palatino Linotype" w:hAnsi="Palatino Linotype" w:cs="Arial"/>
          <w:lang w:val="en-US"/>
        </w:rPr>
        <w:t xml:space="preserve"> </w:t>
      </w:r>
      <w:r w:rsidRPr="00546952">
        <w:rPr>
          <w:rFonts w:ascii="Palatino Linotype" w:hAnsi="Palatino Linotype" w:cs="Arial"/>
          <w:lang w:val="en-US"/>
        </w:rPr>
        <w:t xml:space="preserve">an important aspect of lawyers’ practice and therefore that ADR skills and processes, in particular, negotiation and mediation, are viewed as a pivotal focus in the education of lawyers. </w:t>
      </w:r>
      <w:r w:rsidR="001D7D40" w:rsidRPr="00546952">
        <w:rPr>
          <w:rFonts w:ascii="Palatino Linotype" w:hAnsi="Palatino Linotype" w:cs="Arial"/>
          <w:lang w:val="en-US"/>
        </w:rPr>
        <w:t>According to Evans et al, clinical legal education</w:t>
      </w:r>
      <w:r w:rsidR="00456724" w:rsidRPr="00546952">
        <w:rPr>
          <w:rFonts w:ascii="Palatino Linotype" w:hAnsi="Palatino Linotype" w:cs="Arial"/>
          <w:lang w:val="en-US"/>
        </w:rPr>
        <w:t xml:space="preserve"> confronts law students with the realities, demands and compromises of legal practice.</w:t>
      </w:r>
      <w:r w:rsidR="00456724" w:rsidRPr="00546952">
        <w:rPr>
          <w:rStyle w:val="FootnoteReference"/>
          <w:rFonts w:ascii="Palatino Linotype" w:hAnsi="Palatino Linotype" w:cs="Arial"/>
          <w:lang w:val="en-US"/>
        </w:rPr>
        <w:footnoteReference w:id="173"/>
      </w:r>
      <w:r w:rsidR="00456724" w:rsidRPr="00546952">
        <w:rPr>
          <w:rFonts w:ascii="Palatino Linotype" w:hAnsi="Palatino Linotype" w:cs="Arial"/>
          <w:lang w:val="en-US"/>
        </w:rPr>
        <w:t xml:space="preserve"> In so doing, it provides students with real-life reference points for learning the law.</w:t>
      </w:r>
      <w:r w:rsidR="00456724" w:rsidRPr="00546952">
        <w:rPr>
          <w:rStyle w:val="FootnoteReference"/>
          <w:rFonts w:ascii="Palatino Linotype" w:hAnsi="Palatino Linotype" w:cs="Arial"/>
          <w:lang w:val="en-US"/>
        </w:rPr>
        <w:footnoteReference w:id="174"/>
      </w:r>
      <w:r w:rsidR="00456724" w:rsidRPr="00546952">
        <w:rPr>
          <w:rFonts w:ascii="Palatino Linotype" w:hAnsi="Palatino Linotype" w:cs="Arial"/>
          <w:lang w:val="en-US"/>
        </w:rPr>
        <w:t xml:space="preserve"> C</w:t>
      </w:r>
      <w:r w:rsidR="000D5FC9" w:rsidRPr="00546952">
        <w:rPr>
          <w:rFonts w:ascii="Palatino Linotype" w:hAnsi="Palatino Linotype" w:cs="Arial"/>
          <w:lang w:val="en-US"/>
        </w:rPr>
        <w:t>linical legal education</w:t>
      </w:r>
      <w:r w:rsidR="00456724" w:rsidRPr="00546952">
        <w:rPr>
          <w:rFonts w:ascii="Palatino Linotype" w:hAnsi="Palatino Linotype" w:cs="Arial"/>
          <w:lang w:val="en-US"/>
        </w:rPr>
        <w:t xml:space="preserve"> also invites students to see the wider context and everyday realities of accessing an imperfect legal system, enabling them to integrate their learning of substantive law with justice implications of its practical operation.</w:t>
      </w:r>
      <w:r w:rsidR="00456724" w:rsidRPr="00546952">
        <w:rPr>
          <w:rStyle w:val="FootnoteReference"/>
          <w:rFonts w:ascii="Palatino Linotype" w:hAnsi="Palatino Linotype" w:cs="Arial"/>
          <w:lang w:val="en-US"/>
        </w:rPr>
        <w:footnoteReference w:id="175"/>
      </w:r>
      <w:r w:rsidR="00456724" w:rsidRPr="00546952">
        <w:rPr>
          <w:rFonts w:ascii="Palatino Linotype" w:hAnsi="Palatino Linotype" w:cs="Arial"/>
          <w:lang w:val="en-US"/>
        </w:rPr>
        <w:t xml:space="preserve"> Evans et </w:t>
      </w:r>
      <w:r w:rsidR="00456724" w:rsidRPr="00546952">
        <w:rPr>
          <w:rFonts w:ascii="Palatino Linotype" w:hAnsi="Palatino Linotype" w:cs="Arial"/>
          <w:lang w:val="en-US"/>
        </w:rPr>
        <w:lastRenderedPageBreak/>
        <w:t>al, suggest that both the aims</w:t>
      </w:r>
      <w:r w:rsidR="00456724" w:rsidRPr="00546952">
        <w:rPr>
          <w:rStyle w:val="FootnoteReference"/>
          <w:rFonts w:ascii="Palatino Linotype" w:hAnsi="Palatino Linotype" w:cs="Arial"/>
          <w:lang w:val="en-US"/>
        </w:rPr>
        <w:footnoteReference w:id="176"/>
      </w:r>
      <w:r w:rsidR="00230F5D" w:rsidRPr="00546952">
        <w:rPr>
          <w:rFonts w:ascii="Palatino Linotype" w:hAnsi="Palatino Linotype" w:cs="Arial"/>
          <w:lang w:val="en-US"/>
        </w:rPr>
        <w:t xml:space="preserve"> and the ‘</w:t>
      </w:r>
      <w:r w:rsidR="00456724" w:rsidRPr="00546952">
        <w:rPr>
          <w:rFonts w:ascii="Palatino Linotype" w:hAnsi="Palatino Linotype" w:cs="Arial"/>
          <w:lang w:val="en-US"/>
        </w:rPr>
        <w:t>learning outcomes</w:t>
      </w:r>
      <w:r w:rsidR="00230F5D" w:rsidRPr="00546952">
        <w:rPr>
          <w:rFonts w:ascii="Palatino Linotype" w:hAnsi="Palatino Linotype" w:cs="Arial"/>
          <w:lang w:val="en-US"/>
        </w:rPr>
        <w:t>’</w:t>
      </w:r>
      <w:r w:rsidR="00456724" w:rsidRPr="00546952">
        <w:rPr>
          <w:rStyle w:val="FootnoteReference"/>
          <w:rFonts w:ascii="Palatino Linotype" w:hAnsi="Palatino Linotype" w:cs="Arial"/>
          <w:lang w:val="en-US"/>
        </w:rPr>
        <w:footnoteReference w:id="177"/>
      </w:r>
      <w:r w:rsidR="00456724" w:rsidRPr="00546952">
        <w:rPr>
          <w:rFonts w:ascii="Palatino Linotype" w:hAnsi="Palatino Linotype" w:cs="Arial"/>
          <w:lang w:val="en-US"/>
        </w:rPr>
        <w:t xml:space="preserve"> are central to the clinica</w:t>
      </w:r>
      <w:r w:rsidR="007309A8" w:rsidRPr="00546952">
        <w:rPr>
          <w:rFonts w:ascii="Palatino Linotype" w:hAnsi="Palatino Linotype" w:cs="Arial"/>
          <w:lang w:val="en-US"/>
        </w:rPr>
        <w:t>l design of a course, which is ‘</w:t>
      </w:r>
      <w:r w:rsidR="00456724" w:rsidRPr="00546952">
        <w:rPr>
          <w:rFonts w:ascii="Palatino Linotype" w:hAnsi="Palatino Linotype" w:cs="Arial"/>
          <w:lang w:val="en-US"/>
        </w:rPr>
        <w:t>designed to promote spec</w:t>
      </w:r>
      <w:r w:rsidR="007309A8" w:rsidRPr="00546952">
        <w:rPr>
          <w:rFonts w:ascii="Palatino Linotype" w:hAnsi="Palatino Linotype" w:cs="Arial"/>
          <w:lang w:val="en-US"/>
        </w:rPr>
        <w:t>ified student learning outcomes’</w:t>
      </w:r>
      <w:r w:rsidR="00456724" w:rsidRPr="00546952">
        <w:rPr>
          <w:rFonts w:ascii="Palatino Linotype" w:hAnsi="Palatino Linotype" w:cs="Arial"/>
          <w:lang w:val="en-US"/>
        </w:rPr>
        <w:t>.</w:t>
      </w:r>
      <w:r w:rsidR="00456724" w:rsidRPr="00546952">
        <w:rPr>
          <w:rStyle w:val="FootnoteReference"/>
          <w:rFonts w:ascii="Palatino Linotype" w:hAnsi="Palatino Linotype" w:cs="Arial"/>
          <w:lang w:val="en-US"/>
        </w:rPr>
        <w:footnoteReference w:id="178"/>
      </w:r>
      <w:r w:rsidR="00456724" w:rsidRPr="00546952">
        <w:rPr>
          <w:rFonts w:ascii="Palatino Linotype" w:hAnsi="Palatino Linotype" w:cs="Arial"/>
          <w:lang w:val="en-US"/>
        </w:rPr>
        <w:t xml:space="preserve"> </w:t>
      </w:r>
      <w:r w:rsidR="00456724" w:rsidRPr="00546952">
        <w:rPr>
          <w:rFonts w:ascii="Palatino Linotype" w:hAnsi="Palatino Linotype" w:cs="Arial"/>
          <w:i/>
          <w:lang w:val="en-US"/>
        </w:rPr>
        <w:t xml:space="preserve">Best Practices </w:t>
      </w:r>
      <w:r w:rsidR="00456724" w:rsidRPr="00546952">
        <w:rPr>
          <w:rStyle w:val="FootnoteReference"/>
          <w:rFonts w:ascii="Palatino Linotype" w:hAnsi="Palatino Linotype" w:cs="Arial"/>
          <w:lang w:val="en-US"/>
        </w:rPr>
        <w:footnoteReference w:id="179"/>
      </w:r>
      <w:r w:rsidR="00456724" w:rsidRPr="00546952">
        <w:rPr>
          <w:rFonts w:ascii="Palatino Linotype" w:hAnsi="Palatino Linotype" w:cs="Arial"/>
          <w:i/>
          <w:lang w:val="en-US"/>
        </w:rPr>
        <w:t xml:space="preserve"> </w:t>
      </w:r>
      <w:r w:rsidR="00456724" w:rsidRPr="00546952">
        <w:rPr>
          <w:rFonts w:ascii="Palatino Linotype" w:hAnsi="Palatino Linotype" w:cs="Arial"/>
          <w:lang w:val="en-US"/>
        </w:rPr>
        <w:t xml:space="preserve">proposes possible learning outcomes for </w:t>
      </w:r>
      <w:r w:rsidR="00445EA3" w:rsidRPr="00546952">
        <w:rPr>
          <w:rFonts w:ascii="Palatino Linotype" w:hAnsi="Palatino Linotype" w:cs="Arial"/>
          <w:lang w:val="en-US"/>
        </w:rPr>
        <w:t>clinical legal education</w:t>
      </w:r>
      <w:r w:rsidR="005759BA" w:rsidRPr="00546952">
        <w:rPr>
          <w:rFonts w:ascii="Palatino Linotype" w:hAnsi="Palatino Linotype" w:cs="Arial"/>
          <w:lang w:val="en-US"/>
        </w:rPr>
        <w:t>, which include ‘</w:t>
      </w:r>
      <w:r w:rsidR="00456724" w:rsidRPr="00546952">
        <w:rPr>
          <w:rFonts w:ascii="Palatino Linotype" w:hAnsi="Palatino Linotype" w:cs="Arial"/>
          <w:lang w:val="en-US"/>
        </w:rPr>
        <w:t xml:space="preserve">an understanding, and appropriate use, of the dispute resolution continuum (negotiation, mediation, collaboration, </w:t>
      </w:r>
      <w:r w:rsidR="005759BA" w:rsidRPr="00546952">
        <w:rPr>
          <w:rFonts w:ascii="Palatino Linotype" w:hAnsi="Palatino Linotype" w:cs="Arial"/>
          <w:lang w:val="en-US"/>
        </w:rPr>
        <w:t>arbitration and litigation)’</w:t>
      </w:r>
      <w:r w:rsidR="00456724" w:rsidRPr="00546952">
        <w:rPr>
          <w:rFonts w:ascii="Palatino Linotype" w:hAnsi="Palatino Linotype" w:cs="Arial"/>
          <w:lang w:val="en-US"/>
        </w:rPr>
        <w:t>.</w:t>
      </w:r>
      <w:r w:rsidR="00456724" w:rsidRPr="00546952">
        <w:rPr>
          <w:rStyle w:val="FootnoteReference"/>
          <w:rFonts w:ascii="Palatino Linotype" w:hAnsi="Palatino Linotype" w:cs="Arial"/>
          <w:lang w:val="en-US"/>
        </w:rPr>
        <w:footnoteReference w:id="180"/>
      </w:r>
      <w:r w:rsidR="00456724" w:rsidRPr="00546952">
        <w:rPr>
          <w:rFonts w:ascii="Palatino Linotype" w:hAnsi="Palatino Linotype" w:cs="Arial"/>
          <w:lang w:val="en-US"/>
        </w:rPr>
        <w:t xml:space="preserve"> </w:t>
      </w:r>
      <w:r w:rsidR="009C3B3A" w:rsidRPr="00546952">
        <w:rPr>
          <w:rFonts w:ascii="Palatino Linotype" w:hAnsi="Palatino Linotype" w:cs="Arial"/>
          <w:lang w:val="en-US"/>
        </w:rPr>
        <w:t xml:space="preserve">A focus </w:t>
      </w:r>
      <w:r w:rsidR="00FD6B41" w:rsidRPr="00546952">
        <w:rPr>
          <w:rFonts w:ascii="Palatino Linotype" w:hAnsi="Palatino Linotype" w:cs="Arial"/>
          <w:lang w:val="en-US"/>
        </w:rPr>
        <w:t>in clinical legal education</w:t>
      </w:r>
      <w:r w:rsidR="009C3B3A" w:rsidRPr="00546952">
        <w:rPr>
          <w:rFonts w:ascii="Palatino Linotype" w:hAnsi="Palatino Linotype" w:cs="Arial"/>
          <w:lang w:val="en-US"/>
        </w:rPr>
        <w:t xml:space="preserve"> on </w:t>
      </w:r>
      <w:r w:rsidR="009C3B3A" w:rsidRPr="00546952">
        <w:rPr>
          <w:rFonts w:ascii="Palatino Linotype" w:hAnsi="Palatino Linotype" w:cs="Arial"/>
        </w:rPr>
        <w:t>concepts of justice where the practice of mediation or forms of dispute resolution other than litigation are utilised</w:t>
      </w:r>
      <w:r w:rsidR="00511731" w:rsidRPr="00546952">
        <w:rPr>
          <w:rFonts w:ascii="Palatino Linotype" w:hAnsi="Palatino Linotype" w:cs="Arial"/>
        </w:rPr>
        <w:t>,</w:t>
      </w:r>
      <w:r w:rsidR="00C6297E" w:rsidRPr="00546952">
        <w:rPr>
          <w:rFonts w:ascii="Palatino Linotype" w:hAnsi="Palatino Linotype" w:cs="Arial"/>
        </w:rPr>
        <w:t xml:space="preserve"> will</w:t>
      </w:r>
      <w:r w:rsidR="009C3B3A" w:rsidRPr="00546952">
        <w:rPr>
          <w:rFonts w:ascii="Palatino Linotype" w:hAnsi="Palatino Linotype" w:cs="Arial"/>
        </w:rPr>
        <w:t xml:space="preserve"> enable students to question adversarial approaches to dispute resolution that are reinforced in their legal studies through a case method of teaching.</w:t>
      </w:r>
      <w:r w:rsidR="009C3B3A" w:rsidRPr="00546952">
        <w:rPr>
          <w:rStyle w:val="FootnoteReference"/>
          <w:rFonts w:ascii="Palatino Linotype" w:hAnsi="Palatino Linotype" w:cs="Arial"/>
        </w:rPr>
        <w:footnoteReference w:id="181"/>
      </w:r>
      <w:r w:rsidR="006916A4" w:rsidRPr="00546952">
        <w:rPr>
          <w:rFonts w:ascii="Palatino Linotype" w:hAnsi="Palatino Linotype" w:cs="Arial"/>
        </w:rPr>
        <w:t xml:space="preserve"> </w:t>
      </w:r>
      <w:r w:rsidR="00C1378F" w:rsidRPr="00546952">
        <w:rPr>
          <w:rFonts w:ascii="Palatino Linotype" w:hAnsi="Palatino Linotype" w:cs="Arial"/>
        </w:rPr>
        <w:t>S</w:t>
      </w:r>
      <w:r w:rsidR="006916A4" w:rsidRPr="00546952">
        <w:rPr>
          <w:rFonts w:ascii="Palatino Linotype" w:hAnsi="Palatino Linotype" w:cs="Arial"/>
        </w:rPr>
        <w:t>tudents are encouraged to view the client’s matter holistically</w:t>
      </w:r>
      <w:r w:rsidR="00253027" w:rsidRPr="00546952">
        <w:rPr>
          <w:rFonts w:ascii="Palatino Linotype" w:hAnsi="Palatino Linotype" w:cs="Arial"/>
        </w:rPr>
        <w:t xml:space="preserve"> and are provided with strategies and theoretical models to support their practice.</w:t>
      </w:r>
      <w:r w:rsidR="00A05561" w:rsidRPr="00546952">
        <w:rPr>
          <w:rStyle w:val="FootnoteReference"/>
          <w:rFonts w:ascii="Palatino Linotype" w:hAnsi="Palatino Linotype" w:cs="Arial"/>
        </w:rPr>
        <w:footnoteReference w:id="182"/>
      </w:r>
      <w:r w:rsidR="007017AB" w:rsidRPr="00546952">
        <w:rPr>
          <w:rFonts w:ascii="Palatino Linotype" w:hAnsi="Palatino Linotype" w:cs="Arial"/>
        </w:rPr>
        <w:t xml:space="preserve"> </w:t>
      </w:r>
      <w:r w:rsidR="007017AB" w:rsidRPr="00546952">
        <w:rPr>
          <w:rFonts w:ascii="Palatino Linotype" w:hAnsi="Palatino Linotype" w:cs="Arial"/>
          <w:bCs/>
          <w:lang w:val="en-US"/>
        </w:rPr>
        <w:t>In this way, students will be</w:t>
      </w:r>
      <w:r w:rsidR="005E41A0" w:rsidRPr="00546952">
        <w:rPr>
          <w:rFonts w:ascii="Palatino Linotype" w:hAnsi="Palatino Linotype" w:cs="Arial"/>
          <w:bCs/>
          <w:lang w:val="en-US"/>
        </w:rPr>
        <w:t>come aware that</w:t>
      </w:r>
      <w:r w:rsidR="007017AB" w:rsidRPr="00546952">
        <w:rPr>
          <w:rFonts w:ascii="Palatino Linotype" w:hAnsi="Palatino Linotype" w:cs="Arial"/>
          <w:bCs/>
          <w:lang w:val="en-US"/>
        </w:rPr>
        <w:t xml:space="preserve"> ADR is a fundamental part of the analysis of any case, in the same mode of taking instructions as to what is the cause of action that the putative litigant presents in clinic.</w:t>
      </w:r>
      <w:r w:rsidR="00812A6A" w:rsidRPr="00546952">
        <w:rPr>
          <w:rFonts w:ascii="Palatino Linotype" w:hAnsi="Palatino Linotype" w:cs="Arial"/>
          <w:bCs/>
          <w:lang w:val="en-US"/>
        </w:rPr>
        <w:t xml:space="preserve"> This awareness for students is particularly apparent in the clinical context as most clinics are situated in community settings</w:t>
      </w:r>
      <w:r w:rsidR="004C04FF" w:rsidRPr="00546952">
        <w:rPr>
          <w:rFonts w:ascii="Palatino Linotype" w:hAnsi="Palatino Linotype" w:cs="Arial"/>
          <w:bCs/>
          <w:lang w:val="en-US"/>
        </w:rPr>
        <w:t>,</w:t>
      </w:r>
      <w:r w:rsidR="00812A6A" w:rsidRPr="00546952">
        <w:rPr>
          <w:rFonts w:ascii="Palatino Linotype" w:hAnsi="Palatino Linotype" w:cs="Arial"/>
          <w:bCs/>
          <w:lang w:val="en-US"/>
        </w:rPr>
        <w:t xml:space="preserve"> offering clients access to </w:t>
      </w:r>
      <w:r w:rsidR="004569B4" w:rsidRPr="00546952">
        <w:rPr>
          <w:rFonts w:ascii="Palatino Linotype" w:hAnsi="Palatino Linotype" w:cs="Arial"/>
          <w:bCs/>
          <w:lang w:val="en-US"/>
        </w:rPr>
        <w:t>justice</w:t>
      </w:r>
      <w:r w:rsidR="004C04FF" w:rsidRPr="00546952">
        <w:rPr>
          <w:rFonts w:ascii="Palatino Linotype" w:hAnsi="Palatino Linotype" w:cs="Arial"/>
          <w:bCs/>
          <w:lang w:val="en-US"/>
        </w:rPr>
        <w:t>,</w:t>
      </w:r>
      <w:r w:rsidR="00374833" w:rsidRPr="00546952">
        <w:rPr>
          <w:rFonts w:ascii="Palatino Linotype" w:hAnsi="Palatino Linotype" w:cs="Arial"/>
          <w:bCs/>
          <w:lang w:val="en-US"/>
        </w:rPr>
        <w:t xml:space="preserve"> not available in </w:t>
      </w:r>
      <w:r w:rsidR="004569B4" w:rsidRPr="00546952">
        <w:rPr>
          <w:rFonts w:ascii="Palatino Linotype" w:hAnsi="Palatino Linotype" w:cs="Arial"/>
          <w:bCs/>
          <w:lang w:val="en-US"/>
        </w:rPr>
        <w:t xml:space="preserve">private legal practice. </w:t>
      </w:r>
      <w:r w:rsidR="00701616" w:rsidRPr="00546952">
        <w:rPr>
          <w:rFonts w:ascii="Palatino Linotype" w:hAnsi="Palatino Linotype" w:cs="Arial"/>
          <w:bCs/>
          <w:lang w:val="en-US"/>
        </w:rPr>
        <w:t xml:space="preserve">As the clients in </w:t>
      </w:r>
      <w:r w:rsidR="00701616" w:rsidRPr="00546952">
        <w:rPr>
          <w:rFonts w:ascii="Palatino Linotype" w:hAnsi="Palatino Linotype" w:cs="Arial"/>
          <w:bCs/>
          <w:lang w:val="en-US"/>
        </w:rPr>
        <w:lastRenderedPageBreak/>
        <w:t xml:space="preserve">the community setting do not have the means to litigate, it becomes all the more important for students to consider other options for resolution of disputes other than litigation. These options will need to be addressed according to the client’s means. </w:t>
      </w:r>
    </w:p>
    <w:p w14:paraId="43EDABD5" w14:textId="22F8E630" w:rsidR="0013073A" w:rsidRPr="00546952" w:rsidRDefault="00EE07A7" w:rsidP="00546952">
      <w:pPr>
        <w:spacing w:line="480" w:lineRule="auto"/>
        <w:jc w:val="both"/>
        <w:rPr>
          <w:rFonts w:ascii="Palatino Linotype" w:hAnsi="Palatino Linotype" w:cs="Arial"/>
        </w:rPr>
      </w:pPr>
      <w:r w:rsidRPr="00546952">
        <w:rPr>
          <w:rFonts w:ascii="Palatino Linotype" w:hAnsi="Palatino Linotype" w:cs="Arial"/>
        </w:rPr>
        <w:t>Clinical legal education</w:t>
      </w:r>
      <w:r w:rsidR="0013073A" w:rsidRPr="00546952">
        <w:rPr>
          <w:rFonts w:ascii="Palatino Linotype" w:hAnsi="Palatino Linotype" w:cs="Arial"/>
        </w:rPr>
        <w:t xml:space="preserve"> in Australia has many connections with social justice.</w:t>
      </w:r>
      <w:r w:rsidR="0013073A" w:rsidRPr="00546952">
        <w:rPr>
          <w:rStyle w:val="FootnoteReference"/>
          <w:rFonts w:ascii="Palatino Linotype" w:hAnsi="Palatino Linotype" w:cs="Arial"/>
        </w:rPr>
        <w:footnoteReference w:id="183"/>
      </w:r>
      <w:r w:rsidR="0013073A" w:rsidRPr="00546952">
        <w:rPr>
          <w:rFonts w:ascii="Palatino Linotype" w:hAnsi="Palatino Linotype" w:cs="Arial"/>
        </w:rPr>
        <w:t xml:space="preserve"> There is a longstanding relationship between clinical programs and community legal centres and this relationship has influenced the teaching of various aspects of social justice goals in Australian courses.</w:t>
      </w:r>
      <w:r w:rsidR="0013073A" w:rsidRPr="00546952">
        <w:rPr>
          <w:rStyle w:val="FootnoteReference"/>
          <w:rFonts w:ascii="Palatino Linotype" w:hAnsi="Palatino Linotype" w:cs="Arial"/>
        </w:rPr>
        <w:footnoteReference w:id="184"/>
      </w:r>
      <w:r w:rsidR="0013073A" w:rsidRPr="00546952">
        <w:rPr>
          <w:rFonts w:ascii="Palatino Linotype" w:hAnsi="Palatino Linotype" w:cs="Arial"/>
        </w:rPr>
        <w:t xml:space="preserve"> Evans et al suggest that situating clinical courses in community legal centres gives a particular context to teaching legal ethics and challenges concepts of val</w:t>
      </w:r>
      <w:r w:rsidR="00D305AC" w:rsidRPr="00546952">
        <w:rPr>
          <w:rFonts w:ascii="Palatino Linotype" w:hAnsi="Palatino Linotype" w:cs="Arial"/>
        </w:rPr>
        <w:t>ue-neutral, objective lawyering.</w:t>
      </w:r>
      <w:r w:rsidR="00D305AC" w:rsidRPr="00546952">
        <w:rPr>
          <w:rStyle w:val="FootnoteReference"/>
          <w:rFonts w:ascii="Palatino Linotype" w:hAnsi="Palatino Linotype" w:cs="Arial"/>
        </w:rPr>
        <w:footnoteReference w:id="185"/>
      </w:r>
      <w:r w:rsidR="00A310BF" w:rsidRPr="00546952">
        <w:rPr>
          <w:rFonts w:ascii="Palatino Linotype" w:hAnsi="Palatino Linotype" w:cs="Arial"/>
        </w:rPr>
        <w:t xml:space="preserve"> </w:t>
      </w:r>
      <w:r w:rsidR="00D305AC" w:rsidRPr="00546952">
        <w:rPr>
          <w:rFonts w:ascii="Palatino Linotype" w:hAnsi="Palatino Linotype" w:cs="Arial"/>
        </w:rPr>
        <w:t>As such t</w:t>
      </w:r>
      <w:r w:rsidR="0013073A" w:rsidRPr="00546952">
        <w:rPr>
          <w:rFonts w:ascii="Palatino Linotype" w:hAnsi="Palatino Linotype" w:cs="Arial"/>
        </w:rPr>
        <w:t>eaching lawyering skills in community legal centres highlights the legal skills required in a social justice setting.</w:t>
      </w:r>
      <w:r w:rsidR="0013073A" w:rsidRPr="00546952">
        <w:rPr>
          <w:rStyle w:val="FootnoteReference"/>
          <w:rFonts w:ascii="Palatino Linotype" w:hAnsi="Palatino Linotype" w:cs="Arial"/>
        </w:rPr>
        <w:footnoteReference w:id="186"/>
      </w:r>
      <w:r w:rsidR="0013073A" w:rsidRPr="00546952">
        <w:rPr>
          <w:rFonts w:ascii="Palatino Linotype" w:hAnsi="Palatino Linotype" w:cs="Arial"/>
        </w:rPr>
        <w:t xml:space="preserve"> </w:t>
      </w:r>
    </w:p>
    <w:p w14:paraId="100F128F" w14:textId="50766759" w:rsidR="00690934" w:rsidRPr="00546952" w:rsidRDefault="00690934" w:rsidP="00546952">
      <w:pPr>
        <w:spacing w:line="480" w:lineRule="auto"/>
        <w:jc w:val="both"/>
        <w:rPr>
          <w:rFonts w:ascii="Palatino Linotype" w:hAnsi="Palatino Linotype" w:cs="Arial"/>
        </w:rPr>
      </w:pPr>
      <w:r w:rsidRPr="00546952">
        <w:rPr>
          <w:rFonts w:ascii="Palatino Linotype" w:hAnsi="Palatino Linotype" w:cs="Arial"/>
        </w:rPr>
        <w:t>When a clinic operates in a community legal centre setting, it is in the nature of the work that issues of access to justice arise daily, with almost every client who comes through the door.</w:t>
      </w:r>
      <w:r w:rsidRPr="00546952">
        <w:rPr>
          <w:rStyle w:val="FootnoteReference"/>
          <w:rFonts w:ascii="Palatino Linotype" w:hAnsi="Palatino Linotype" w:cs="Arial"/>
        </w:rPr>
        <w:footnoteReference w:id="187"/>
      </w:r>
      <w:r w:rsidRPr="00546952">
        <w:rPr>
          <w:rFonts w:ascii="Palatino Linotype" w:hAnsi="Palatino Linotype" w:cs="Arial"/>
        </w:rPr>
        <w:t xml:space="preserve"> </w:t>
      </w:r>
      <w:r w:rsidR="006101C5" w:rsidRPr="00546952">
        <w:rPr>
          <w:rFonts w:ascii="Palatino Linotype" w:hAnsi="Palatino Linotype" w:cs="Arial"/>
        </w:rPr>
        <w:t>T</w:t>
      </w:r>
      <w:r w:rsidRPr="00546952">
        <w:rPr>
          <w:rFonts w:ascii="Palatino Linotype" w:hAnsi="Palatino Linotype" w:cs="Arial"/>
        </w:rPr>
        <w:t xml:space="preserve">his means that clinics offer students a powerful opportunity to analyse the ‘justice’ dimensions of law, ranging from the relationship between law and the perceived justice of its effect, to a lawyer’s ethical obligations to achieve what a client wants as a ‘just’ result, to systemic </w:t>
      </w:r>
      <w:r w:rsidRPr="00546952">
        <w:rPr>
          <w:rFonts w:ascii="Palatino Linotype" w:hAnsi="Palatino Linotype" w:cs="Arial"/>
        </w:rPr>
        <w:lastRenderedPageBreak/>
        <w:t>questions about access to law and legal services.</w:t>
      </w:r>
      <w:r w:rsidRPr="00546952">
        <w:rPr>
          <w:rStyle w:val="FootnoteReference"/>
          <w:rFonts w:ascii="Palatino Linotype" w:hAnsi="Palatino Linotype" w:cs="Arial"/>
        </w:rPr>
        <w:footnoteReference w:id="188"/>
      </w:r>
      <w:r w:rsidRPr="00546952">
        <w:rPr>
          <w:rFonts w:ascii="Palatino Linotype" w:hAnsi="Palatino Linotype" w:cs="Arial"/>
        </w:rPr>
        <w:t xml:space="preserve"> These are especially rich opportunities for reflective practice.</w:t>
      </w:r>
      <w:r w:rsidRPr="00546952">
        <w:rPr>
          <w:rStyle w:val="FootnoteReference"/>
          <w:rFonts w:ascii="Palatino Linotype" w:hAnsi="Palatino Linotype" w:cs="Arial"/>
        </w:rPr>
        <w:footnoteReference w:id="189"/>
      </w:r>
      <w:r w:rsidRPr="00546952">
        <w:rPr>
          <w:rFonts w:ascii="Palatino Linotype" w:hAnsi="Palatino Linotype" w:cs="Arial"/>
        </w:rPr>
        <w:t xml:space="preserve"> </w:t>
      </w:r>
    </w:p>
    <w:p w14:paraId="04116E00" w14:textId="4C871CF1" w:rsidR="008F5823" w:rsidRPr="00546952" w:rsidRDefault="00690934" w:rsidP="00546952">
      <w:pPr>
        <w:spacing w:line="480" w:lineRule="auto"/>
        <w:jc w:val="both"/>
        <w:rPr>
          <w:rFonts w:ascii="Palatino Linotype" w:hAnsi="Palatino Linotype" w:cs="Arial"/>
        </w:rPr>
      </w:pPr>
      <w:r w:rsidRPr="00546952">
        <w:rPr>
          <w:rFonts w:ascii="Palatino Linotype" w:hAnsi="Palatino Linotype" w:cs="Arial"/>
        </w:rPr>
        <w:t xml:space="preserve">The role of the clinic as a service provider will itself raise systemic questions about access to justice, for example, about available alternative services (private, public, legal and non-legal), about accessibility (geography, physical, cultural, language, </w:t>
      </w:r>
      <w:r w:rsidR="006D0873" w:rsidRPr="00546952">
        <w:rPr>
          <w:rFonts w:ascii="Palatino Linotype" w:hAnsi="Palatino Linotype" w:cs="Arial"/>
        </w:rPr>
        <w:t xml:space="preserve">financial </w:t>
      </w:r>
      <w:proofErr w:type="spellStart"/>
      <w:r w:rsidRPr="00546952">
        <w:rPr>
          <w:rFonts w:ascii="Palatino Linotype" w:hAnsi="Palatino Linotype" w:cs="Arial"/>
        </w:rPr>
        <w:t>etc</w:t>
      </w:r>
      <w:proofErr w:type="spellEnd"/>
      <w:r w:rsidRPr="00546952">
        <w:rPr>
          <w:rFonts w:ascii="Palatino Linotype" w:hAnsi="Palatino Linotype" w:cs="Arial"/>
        </w:rPr>
        <w:t>). Within the work of a clinic based in a community legal centre or legal aid organisation, questions of access to justice attach to almost every client, inviting students to reflect on, for example, why the legal needs of a client and a community are not being met, or how they can be better met.</w:t>
      </w:r>
      <w:r w:rsidRPr="00546952">
        <w:rPr>
          <w:rStyle w:val="FootnoteReference"/>
          <w:rFonts w:ascii="Palatino Linotype" w:hAnsi="Palatino Linotype" w:cs="Arial"/>
        </w:rPr>
        <w:footnoteReference w:id="190"/>
      </w:r>
      <w:r w:rsidRPr="00546952">
        <w:rPr>
          <w:rFonts w:ascii="Palatino Linotype" w:hAnsi="Palatino Linotype" w:cs="Arial"/>
        </w:rPr>
        <w:t xml:space="preserve"> </w:t>
      </w:r>
    </w:p>
    <w:p w14:paraId="6BD42237" w14:textId="1B253C69" w:rsidR="00456724" w:rsidRPr="00546952" w:rsidRDefault="008F5823" w:rsidP="00546952">
      <w:pPr>
        <w:widowControl w:val="0"/>
        <w:autoSpaceDE w:val="0"/>
        <w:autoSpaceDN w:val="0"/>
        <w:adjustRightInd w:val="0"/>
        <w:spacing w:line="480" w:lineRule="auto"/>
        <w:jc w:val="both"/>
        <w:rPr>
          <w:rFonts w:ascii="Palatino Linotype" w:hAnsi="Palatino Linotype" w:cs="Arial"/>
          <w:b/>
          <w:lang w:val="en-US"/>
        </w:rPr>
      </w:pPr>
      <w:r w:rsidRPr="00546952">
        <w:rPr>
          <w:rFonts w:ascii="Palatino Linotype" w:hAnsi="Palatino Linotype" w:cs="Arial"/>
          <w:b/>
          <w:lang w:val="en-US"/>
        </w:rPr>
        <w:t xml:space="preserve">CONCLUSION </w:t>
      </w:r>
    </w:p>
    <w:p w14:paraId="09C9A99A" w14:textId="3C42496F" w:rsidR="00D608BE" w:rsidRPr="00546952" w:rsidRDefault="008B4A5A"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Despite this recognition, there is </w:t>
      </w:r>
      <w:r w:rsidR="00C62F2A" w:rsidRPr="00546952">
        <w:rPr>
          <w:rFonts w:ascii="Palatino Linotype" w:hAnsi="Palatino Linotype" w:cs="Arial"/>
          <w:lang w:val="en-US"/>
        </w:rPr>
        <w:t xml:space="preserve">still </w:t>
      </w:r>
      <w:r w:rsidRPr="00546952">
        <w:rPr>
          <w:rFonts w:ascii="Palatino Linotype" w:hAnsi="Palatino Linotype" w:cs="Arial"/>
          <w:lang w:val="en-US"/>
        </w:rPr>
        <w:t xml:space="preserve">uncertainty as to whether or how </w:t>
      </w:r>
      <w:r w:rsidRPr="00546952">
        <w:rPr>
          <w:rFonts w:ascii="Palatino Linotype" w:hAnsi="Palatino Linotype" w:cs="Arial"/>
        </w:rPr>
        <w:t>ADR, especially negotiation and mediation, is taught to students in clinical contexts.</w:t>
      </w:r>
      <w:r w:rsidR="00F42E5E" w:rsidRPr="00546952">
        <w:rPr>
          <w:rFonts w:ascii="Palatino Linotype" w:hAnsi="Palatino Linotype" w:cs="Arial"/>
        </w:rPr>
        <w:t xml:space="preserve"> Researchers like </w:t>
      </w:r>
      <w:r w:rsidR="00F42E5E" w:rsidRPr="00546952">
        <w:rPr>
          <w:rFonts w:ascii="Palatino Linotype" w:hAnsi="Palatino Linotype" w:cs="Arial"/>
          <w:lang w:val="en-US"/>
        </w:rPr>
        <w:t xml:space="preserve">Giddings </w:t>
      </w:r>
      <w:proofErr w:type="spellStart"/>
      <w:r w:rsidR="00F42E5E" w:rsidRPr="00546952">
        <w:rPr>
          <w:rFonts w:ascii="Palatino Linotype" w:hAnsi="Palatino Linotype" w:cs="Arial"/>
          <w:lang w:val="en-US"/>
        </w:rPr>
        <w:t>recognise</w:t>
      </w:r>
      <w:proofErr w:type="spellEnd"/>
      <w:r w:rsidR="00F42E5E" w:rsidRPr="00546952">
        <w:rPr>
          <w:rFonts w:ascii="Palatino Linotype" w:hAnsi="Palatino Linotype" w:cs="Arial"/>
          <w:lang w:val="en-US"/>
        </w:rPr>
        <w:t xml:space="preserve"> the educational value of the real client clinic in providing opportunities for students to develop skills relating to legal practice and an awareness of social justice.</w:t>
      </w:r>
      <w:r w:rsidR="00F42E5E" w:rsidRPr="00546952">
        <w:rPr>
          <w:rStyle w:val="FootnoteReference"/>
          <w:rFonts w:ascii="Palatino Linotype" w:hAnsi="Palatino Linotype" w:cs="Arial"/>
          <w:lang w:val="en-US"/>
        </w:rPr>
        <w:footnoteReference w:id="191"/>
      </w:r>
      <w:r w:rsidR="00F42E5E" w:rsidRPr="00546952">
        <w:rPr>
          <w:rFonts w:ascii="Palatino Linotype" w:hAnsi="Palatino Linotype" w:cs="Arial"/>
          <w:lang w:val="en-US"/>
        </w:rPr>
        <w:t xml:space="preserve"> The legal clinic is where students are provided with opportunities to develop a range of attitudes, skills and understandings associated with legal practice.</w:t>
      </w:r>
      <w:r w:rsidR="00F42E5E" w:rsidRPr="00546952">
        <w:rPr>
          <w:rStyle w:val="FootnoteReference"/>
          <w:rFonts w:ascii="Palatino Linotype" w:hAnsi="Palatino Linotype" w:cs="Arial"/>
          <w:lang w:val="en-US"/>
        </w:rPr>
        <w:footnoteReference w:id="192"/>
      </w:r>
      <w:r w:rsidR="00F42E5E" w:rsidRPr="00546952">
        <w:rPr>
          <w:rFonts w:ascii="Palatino Linotype" w:hAnsi="Palatino Linotype" w:cs="Arial"/>
          <w:lang w:val="en-US"/>
        </w:rPr>
        <w:t xml:space="preserve"> As such, if ADR is </w:t>
      </w:r>
      <w:r w:rsidR="00F86CB2" w:rsidRPr="00546952">
        <w:rPr>
          <w:rFonts w:ascii="Palatino Linotype" w:hAnsi="Palatino Linotype" w:cs="Arial"/>
          <w:lang w:val="en-US"/>
        </w:rPr>
        <w:t xml:space="preserve">becoming </w:t>
      </w:r>
      <w:proofErr w:type="spellStart"/>
      <w:r w:rsidR="00F86CB2" w:rsidRPr="00546952">
        <w:rPr>
          <w:rFonts w:ascii="Palatino Linotype" w:hAnsi="Palatino Linotype" w:cs="Arial"/>
          <w:lang w:val="en-US"/>
        </w:rPr>
        <w:lastRenderedPageBreak/>
        <w:t>recogni</w:t>
      </w:r>
      <w:r w:rsidR="00172946" w:rsidRPr="00546952">
        <w:rPr>
          <w:rFonts w:ascii="Palatino Linotype" w:hAnsi="Palatino Linotype" w:cs="Arial"/>
          <w:lang w:val="en-US"/>
        </w:rPr>
        <w:t>s</w:t>
      </w:r>
      <w:r w:rsidR="00F86CB2" w:rsidRPr="00546952">
        <w:rPr>
          <w:rFonts w:ascii="Palatino Linotype" w:hAnsi="Palatino Linotype" w:cs="Arial"/>
          <w:lang w:val="en-US"/>
        </w:rPr>
        <w:t>ed</w:t>
      </w:r>
      <w:proofErr w:type="spellEnd"/>
      <w:r w:rsidR="00F86CB2" w:rsidRPr="00546952">
        <w:rPr>
          <w:rFonts w:ascii="Palatino Linotype" w:hAnsi="Palatino Linotype" w:cs="Arial"/>
          <w:lang w:val="en-US"/>
        </w:rPr>
        <w:t xml:space="preserve"> as </w:t>
      </w:r>
      <w:r w:rsidR="00F42E5E" w:rsidRPr="00546952">
        <w:rPr>
          <w:rFonts w:ascii="Palatino Linotype" w:hAnsi="Palatino Linotype" w:cs="Arial"/>
          <w:lang w:val="en-US"/>
        </w:rPr>
        <w:t>a</w:t>
      </w:r>
      <w:r w:rsidR="00F86CB2" w:rsidRPr="00546952">
        <w:rPr>
          <w:rFonts w:ascii="Palatino Linotype" w:hAnsi="Palatino Linotype" w:cs="Arial"/>
          <w:lang w:val="en-US"/>
        </w:rPr>
        <w:t xml:space="preserve"> prominent</w:t>
      </w:r>
      <w:r w:rsidR="00F42E5E" w:rsidRPr="00546952">
        <w:rPr>
          <w:rFonts w:ascii="Palatino Linotype" w:hAnsi="Palatino Linotype" w:cs="Arial"/>
          <w:lang w:val="en-US"/>
        </w:rPr>
        <w:t xml:space="preserve"> component of legal practice, it follows that the connection between students’ acquisition of knowledge in ADR and the application of this acquired knowledge to resolve client disputes should be a focus of clinical legal education. </w:t>
      </w:r>
    </w:p>
    <w:p w14:paraId="611D426D" w14:textId="78C580DE" w:rsidR="009C79F6"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The issue of where and how to ensure that </w:t>
      </w:r>
      <w:r w:rsidR="003578C4" w:rsidRPr="00546952">
        <w:rPr>
          <w:rFonts w:ascii="Palatino Linotype" w:hAnsi="Palatino Linotype" w:cs="Arial"/>
          <w:lang w:val="en-US"/>
        </w:rPr>
        <w:t>ADR</w:t>
      </w:r>
      <w:r w:rsidR="00172946" w:rsidRPr="00546952">
        <w:rPr>
          <w:rFonts w:ascii="Palatino Linotype" w:hAnsi="Palatino Linotype" w:cs="Arial"/>
          <w:lang w:val="en-US"/>
        </w:rPr>
        <w:t xml:space="preserve"> </w:t>
      </w:r>
      <w:r w:rsidRPr="00546952">
        <w:rPr>
          <w:rFonts w:ascii="Palatino Linotype" w:hAnsi="Palatino Linotype" w:cs="Arial"/>
          <w:lang w:val="en-US"/>
        </w:rPr>
        <w:t xml:space="preserve">has a place in clinical legal education may </w:t>
      </w:r>
      <w:r w:rsidR="009931B8" w:rsidRPr="00546952">
        <w:rPr>
          <w:rFonts w:ascii="Palatino Linotype" w:hAnsi="Palatino Linotype" w:cs="Arial"/>
          <w:lang w:val="en-US"/>
        </w:rPr>
        <w:t>extend further than creating</w:t>
      </w:r>
      <w:r w:rsidRPr="00546952">
        <w:rPr>
          <w:rFonts w:ascii="Palatino Linotype" w:hAnsi="Palatino Linotype" w:cs="Arial"/>
          <w:lang w:val="en-US"/>
        </w:rPr>
        <w:t xml:space="preserve"> ADR clinic</w:t>
      </w:r>
      <w:r w:rsidR="009931B8" w:rsidRPr="00546952">
        <w:rPr>
          <w:rFonts w:ascii="Palatino Linotype" w:hAnsi="Palatino Linotype" w:cs="Arial"/>
          <w:lang w:val="en-US"/>
        </w:rPr>
        <w:t>s</w:t>
      </w:r>
      <w:r w:rsidR="00854A7E" w:rsidRPr="00546952">
        <w:rPr>
          <w:rFonts w:ascii="Palatino Linotype" w:hAnsi="Palatino Linotype" w:cs="Arial"/>
          <w:lang w:val="en-US"/>
        </w:rPr>
        <w:t>,</w:t>
      </w:r>
      <w:r w:rsidRPr="00546952">
        <w:rPr>
          <w:rFonts w:ascii="Palatino Linotype" w:hAnsi="Palatino Linotype" w:cs="Arial"/>
          <w:lang w:val="en-US"/>
        </w:rPr>
        <w:t xml:space="preserve"> to a focus on legal service delivery in a social justice context. Students need to be taught to focus on client issues and how best to solve them. This may involve students being skilled up to actually learn about and start to think differently about using ADR frameworks in how they approach client matters and how they seek to resolve them. </w:t>
      </w:r>
      <w:r w:rsidR="00F416F4" w:rsidRPr="00546952">
        <w:rPr>
          <w:rFonts w:ascii="Palatino Linotype" w:hAnsi="Palatino Linotype" w:cs="Arial"/>
          <w:lang w:val="en-US"/>
        </w:rPr>
        <w:t>It may not be that the ‘</w:t>
      </w:r>
      <w:r w:rsidR="009A19A4" w:rsidRPr="00546952">
        <w:rPr>
          <w:rFonts w:ascii="Palatino Linotype" w:hAnsi="Palatino Linotype" w:cs="Arial"/>
          <w:lang w:val="en-US"/>
        </w:rPr>
        <w:t xml:space="preserve">clinical </w:t>
      </w:r>
      <w:r w:rsidR="00F416F4" w:rsidRPr="00546952">
        <w:rPr>
          <w:rFonts w:ascii="Palatino Linotype" w:hAnsi="Palatino Linotype" w:cs="Arial"/>
          <w:lang w:val="en-US"/>
        </w:rPr>
        <w:t>learning outcome’</w:t>
      </w:r>
      <w:r w:rsidR="00604D14" w:rsidRPr="00546952">
        <w:rPr>
          <w:rFonts w:ascii="Palatino Linotype" w:hAnsi="Palatino Linotype" w:cs="Arial"/>
          <w:lang w:val="en-US"/>
        </w:rPr>
        <w:t xml:space="preserve"> is necessarily to teach students to become </w:t>
      </w:r>
      <w:r w:rsidR="005E4721" w:rsidRPr="00546952">
        <w:rPr>
          <w:rFonts w:ascii="Palatino Linotype" w:hAnsi="Palatino Linotype" w:cs="Arial"/>
          <w:lang w:val="en-US"/>
        </w:rPr>
        <w:t xml:space="preserve">the best </w:t>
      </w:r>
      <w:r w:rsidR="0090572F" w:rsidRPr="00546952">
        <w:rPr>
          <w:rFonts w:ascii="Palatino Linotype" w:hAnsi="Palatino Linotype" w:cs="Arial"/>
          <w:lang w:val="en-US"/>
        </w:rPr>
        <w:t xml:space="preserve">mediators or </w:t>
      </w:r>
      <w:r w:rsidR="00604D14" w:rsidRPr="00546952">
        <w:rPr>
          <w:rFonts w:ascii="Palatino Linotype" w:hAnsi="Palatino Linotype" w:cs="Arial"/>
          <w:lang w:val="en-US"/>
        </w:rPr>
        <w:t>arbitrators</w:t>
      </w:r>
      <w:r w:rsidR="005E4721" w:rsidRPr="00546952">
        <w:rPr>
          <w:rFonts w:ascii="Palatino Linotype" w:hAnsi="Palatino Linotype" w:cs="Arial"/>
          <w:lang w:val="en-US"/>
        </w:rPr>
        <w:t xml:space="preserve"> </w:t>
      </w:r>
      <w:r w:rsidR="00604D14" w:rsidRPr="00546952">
        <w:rPr>
          <w:rFonts w:ascii="Palatino Linotype" w:hAnsi="Palatino Linotype" w:cs="Arial"/>
          <w:lang w:val="en-US"/>
        </w:rPr>
        <w:t xml:space="preserve">but rather to </w:t>
      </w:r>
      <w:r w:rsidR="00CC2D90" w:rsidRPr="00546952">
        <w:rPr>
          <w:rFonts w:ascii="Palatino Linotype" w:hAnsi="Palatino Linotype" w:cs="Arial"/>
          <w:lang w:val="en-US"/>
        </w:rPr>
        <w:t>provide</w:t>
      </w:r>
      <w:r w:rsidR="0045154A" w:rsidRPr="00546952">
        <w:rPr>
          <w:rFonts w:ascii="Palatino Linotype" w:hAnsi="Palatino Linotype" w:cs="Arial"/>
          <w:lang w:val="en-US"/>
        </w:rPr>
        <w:t xml:space="preserve"> students with </w:t>
      </w:r>
      <w:r w:rsidR="00CC2D90" w:rsidRPr="00546952">
        <w:rPr>
          <w:rFonts w:ascii="Palatino Linotype" w:hAnsi="Palatino Linotype" w:cs="Arial"/>
          <w:lang w:val="en-US"/>
        </w:rPr>
        <w:t xml:space="preserve">holistic </w:t>
      </w:r>
      <w:r w:rsidR="0045154A" w:rsidRPr="00546952">
        <w:rPr>
          <w:rFonts w:ascii="Palatino Linotype" w:hAnsi="Palatino Linotype" w:cs="Arial"/>
          <w:lang w:val="en-US"/>
        </w:rPr>
        <w:t>strategies</w:t>
      </w:r>
      <w:r w:rsidR="00F953C1" w:rsidRPr="00546952">
        <w:rPr>
          <w:rFonts w:ascii="Palatino Linotype" w:hAnsi="Palatino Linotype" w:cs="Arial"/>
          <w:lang w:val="en-US"/>
        </w:rPr>
        <w:t>,</w:t>
      </w:r>
      <w:r w:rsidR="0045154A" w:rsidRPr="00546952">
        <w:rPr>
          <w:rFonts w:ascii="Palatino Linotype" w:hAnsi="Palatino Linotype" w:cs="Arial"/>
          <w:lang w:val="en-US"/>
        </w:rPr>
        <w:t xml:space="preserve"> </w:t>
      </w:r>
      <w:r w:rsidR="00CC2D90" w:rsidRPr="00546952">
        <w:rPr>
          <w:rFonts w:ascii="Palatino Linotype" w:hAnsi="Palatino Linotype" w:cs="Arial"/>
          <w:lang w:val="en-US"/>
        </w:rPr>
        <w:t xml:space="preserve">which </w:t>
      </w:r>
      <w:r w:rsidR="0090572F" w:rsidRPr="00546952">
        <w:rPr>
          <w:rFonts w:ascii="Palatino Linotype" w:hAnsi="Palatino Linotype" w:cs="Arial"/>
          <w:lang w:val="en-US"/>
        </w:rPr>
        <w:t xml:space="preserve">they may use to negotiate for their </w:t>
      </w:r>
      <w:r w:rsidR="00F953C1" w:rsidRPr="00546952">
        <w:rPr>
          <w:rFonts w:ascii="Palatino Linotype" w:hAnsi="Palatino Linotype" w:cs="Arial"/>
          <w:lang w:val="en-US"/>
        </w:rPr>
        <w:t>clie</w:t>
      </w:r>
      <w:r w:rsidR="001D6B2E" w:rsidRPr="00546952">
        <w:rPr>
          <w:rFonts w:ascii="Palatino Linotype" w:hAnsi="Palatino Linotype" w:cs="Arial"/>
          <w:lang w:val="en-US"/>
        </w:rPr>
        <w:t xml:space="preserve">nts </w:t>
      </w:r>
      <w:r w:rsidR="00EB7CDA" w:rsidRPr="00546952">
        <w:rPr>
          <w:rFonts w:ascii="Palatino Linotype" w:hAnsi="Palatino Linotype" w:cs="Arial"/>
          <w:lang w:val="en-US"/>
        </w:rPr>
        <w:t xml:space="preserve">in </w:t>
      </w:r>
      <w:r w:rsidR="00F953C1" w:rsidRPr="00546952">
        <w:rPr>
          <w:rFonts w:ascii="Palatino Linotype" w:hAnsi="Palatino Linotype" w:cs="Arial"/>
          <w:lang w:val="en-US"/>
        </w:rPr>
        <w:t>seek</w:t>
      </w:r>
      <w:r w:rsidR="001D6B2E" w:rsidRPr="00546952">
        <w:rPr>
          <w:rFonts w:ascii="Palatino Linotype" w:hAnsi="Palatino Linotype" w:cs="Arial"/>
          <w:lang w:val="en-US"/>
        </w:rPr>
        <w:t>ing</w:t>
      </w:r>
      <w:r w:rsidR="00F953C1" w:rsidRPr="00546952">
        <w:rPr>
          <w:rFonts w:ascii="Palatino Linotype" w:hAnsi="Palatino Linotype" w:cs="Arial"/>
          <w:lang w:val="en-US"/>
        </w:rPr>
        <w:t xml:space="preserve"> </w:t>
      </w:r>
      <w:r w:rsidR="005E4721" w:rsidRPr="00546952">
        <w:rPr>
          <w:rFonts w:ascii="Palatino Linotype" w:hAnsi="Palatino Linotype" w:cs="Arial"/>
          <w:lang w:val="en-US"/>
        </w:rPr>
        <w:t>alternatives for resolution</w:t>
      </w:r>
      <w:r w:rsidR="00DE36DC" w:rsidRPr="00546952">
        <w:rPr>
          <w:rFonts w:ascii="Palatino Linotype" w:hAnsi="Palatino Linotype" w:cs="Arial"/>
          <w:lang w:val="en-US"/>
        </w:rPr>
        <w:t xml:space="preserve"> of disputes</w:t>
      </w:r>
      <w:r w:rsidR="00E622EE" w:rsidRPr="00546952">
        <w:rPr>
          <w:rFonts w:ascii="Palatino Linotype" w:hAnsi="Palatino Linotype" w:cs="Arial"/>
          <w:lang w:val="en-US"/>
        </w:rPr>
        <w:t>.</w:t>
      </w:r>
      <w:r w:rsidR="005E4721" w:rsidRPr="00546952">
        <w:rPr>
          <w:rFonts w:ascii="Palatino Linotype" w:hAnsi="Palatino Linotype" w:cs="Arial"/>
          <w:lang w:val="en-US"/>
        </w:rPr>
        <w:t xml:space="preserve"> </w:t>
      </w:r>
    </w:p>
    <w:p w14:paraId="1562B03F" w14:textId="73049202" w:rsidR="009C79F6" w:rsidRPr="00546952" w:rsidRDefault="000D1841"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In</w:t>
      </w:r>
      <w:r w:rsidR="00047C9B" w:rsidRPr="00546952">
        <w:rPr>
          <w:rFonts w:ascii="Palatino Linotype" w:hAnsi="Palatino Linotype" w:cs="Arial"/>
          <w:lang w:val="en-US"/>
        </w:rPr>
        <w:t xml:space="preserve"> </w:t>
      </w:r>
      <w:r w:rsidRPr="00546952">
        <w:rPr>
          <w:rFonts w:ascii="Palatino Linotype" w:hAnsi="Palatino Linotype" w:cs="Arial"/>
          <w:lang w:val="en-US"/>
        </w:rPr>
        <w:t>this paper I have</w:t>
      </w:r>
      <w:r w:rsidR="00047C9B" w:rsidRPr="00546952">
        <w:rPr>
          <w:rFonts w:ascii="Palatino Linotype" w:hAnsi="Palatino Linotype" w:cs="Arial"/>
          <w:lang w:val="en-US"/>
        </w:rPr>
        <w:t xml:space="preserve"> </w:t>
      </w:r>
      <w:r w:rsidRPr="00546952">
        <w:rPr>
          <w:rFonts w:ascii="Palatino Linotype" w:hAnsi="Palatino Linotype" w:cs="Arial"/>
          <w:lang w:val="en-US"/>
        </w:rPr>
        <w:t>argued that</w:t>
      </w:r>
      <w:r w:rsidR="009C79F6" w:rsidRPr="00546952">
        <w:rPr>
          <w:rFonts w:ascii="Palatino Linotype" w:hAnsi="Palatino Linotype" w:cs="Arial"/>
          <w:lang w:val="en-US"/>
        </w:rPr>
        <w:t xml:space="preserve"> ADR</w:t>
      </w:r>
      <w:r w:rsidR="00F17179" w:rsidRPr="00546952">
        <w:rPr>
          <w:rFonts w:ascii="Palatino Linotype" w:hAnsi="Palatino Linotype" w:cs="Arial"/>
          <w:lang w:val="en-US"/>
        </w:rPr>
        <w:t xml:space="preserve"> processes</w:t>
      </w:r>
      <w:r w:rsidR="00EE5916" w:rsidRPr="00546952">
        <w:rPr>
          <w:rFonts w:ascii="Palatino Linotype" w:hAnsi="Palatino Linotype" w:cs="Arial"/>
          <w:lang w:val="en-US"/>
        </w:rPr>
        <w:t xml:space="preserve"> are</w:t>
      </w:r>
      <w:r w:rsidR="00F17179" w:rsidRPr="00546952">
        <w:rPr>
          <w:rFonts w:ascii="Palatino Linotype" w:hAnsi="Palatino Linotype" w:cs="Arial"/>
          <w:lang w:val="en-US"/>
        </w:rPr>
        <w:t xml:space="preserve"> </w:t>
      </w:r>
      <w:r w:rsidR="008616E8" w:rsidRPr="00546952">
        <w:rPr>
          <w:rFonts w:ascii="Palatino Linotype" w:hAnsi="Palatino Linotype" w:cs="Arial"/>
          <w:lang w:val="en-US"/>
        </w:rPr>
        <w:t xml:space="preserve">increasingly </w:t>
      </w:r>
      <w:r w:rsidR="009C79F6" w:rsidRPr="00546952">
        <w:rPr>
          <w:rFonts w:ascii="Palatino Linotype" w:hAnsi="Palatino Linotype" w:cs="Arial"/>
          <w:lang w:val="en-US"/>
        </w:rPr>
        <w:t xml:space="preserve">considered </w:t>
      </w:r>
      <w:r w:rsidR="009C2E25" w:rsidRPr="00546952">
        <w:rPr>
          <w:rFonts w:ascii="Palatino Linotype" w:hAnsi="Palatino Linotype" w:cs="Arial"/>
          <w:lang w:val="en-US"/>
        </w:rPr>
        <w:t xml:space="preserve">by legal practitioners </w:t>
      </w:r>
      <w:r w:rsidRPr="00546952">
        <w:rPr>
          <w:rFonts w:ascii="Palatino Linotype" w:hAnsi="Palatino Linotype" w:cs="Arial"/>
          <w:lang w:val="en-US"/>
        </w:rPr>
        <w:t xml:space="preserve">to be </w:t>
      </w:r>
      <w:r w:rsidR="009C79F6" w:rsidRPr="00546952">
        <w:rPr>
          <w:rFonts w:ascii="Palatino Linotype" w:hAnsi="Palatino Linotype" w:cs="Arial"/>
          <w:lang w:val="en-US"/>
        </w:rPr>
        <w:t xml:space="preserve">an important aspect of lawyers’ practice and </w:t>
      </w:r>
      <w:r w:rsidR="009C2E25" w:rsidRPr="00546952">
        <w:rPr>
          <w:rFonts w:ascii="Palatino Linotype" w:hAnsi="Palatino Linotype" w:cs="Arial"/>
          <w:lang w:val="en-US"/>
        </w:rPr>
        <w:t xml:space="preserve">by legal educators as </w:t>
      </w:r>
      <w:r w:rsidR="009C79F6" w:rsidRPr="00546952">
        <w:rPr>
          <w:rFonts w:ascii="Palatino Linotype" w:hAnsi="Palatino Linotype" w:cs="Arial"/>
          <w:lang w:val="en-US"/>
        </w:rPr>
        <w:t>a</w:t>
      </w:r>
      <w:r w:rsidRPr="00546952">
        <w:rPr>
          <w:rFonts w:ascii="Palatino Linotype" w:hAnsi="Palatino Linotype" w:cs="Arial"/>
          <w:lang w:val="en-US"/>
        </w:rPr>
        <w:t xml:space="preserve"> necessary ingredient of legal education</w:t>
      </w:r>
      <w:r w:rsidR="009C79F6" w:rsidRPr="00546952">
        <w:rPr>
          <w:rFonts w:ascii="Palatino Linotype" w:hAnsi="Palatino Linotype" w:cs="Arial"/>
          <w:lang w:val="en-US"/>
        </w:rPr>
        <w:t xml:space="preserve">. For the reasons I have explained, there is a need to </w:t>
      </w:r>
      <w:r w:rsidR="00A11800" w:rsidRPr="00546952">
        <w:rPr>
          <w:rFonts w:ascii="Palatino Linotype" w:hAnsi="Palatino Linotype" w:cs="Arial"/>
          <w:lang w:val="en-US"/>
        </w:rPr>
        <w:t xml:space="preserve">ensure that </w:t>
      </w:r>
      <w:r w:rsidR="009C79F6" w:rsidRPr="00546952">
        <w:rPr>
          <w:rFonts w:ascii="Palatino Linotype" w:hAnsi="Palatino Linotype" w:cs="Arial"/>
          <w:lang w:val="en-US"/>
        </w:rPr>
        <w:t xml:space="preserve">clinical legal education is keeping up with changes in legal practice and legal education. </w:t>
      </w:r>
      <w:r w:rsidR="00270BFE" w:rsidRPr="00546952">
        <w:rPr>
          <w:rFonts w:ascii="Palatino Linotype" w:hAnsi="Palatino Linotype" w:cs="Arial"/>
          <w:lang w:val="en-US"/>
        </w:rPr>
        <w:t xml:space="preserve">Educators </w:t>
      </w:r>
      <w:r w:rsidR="007E2AB4" w:rsidRPr="00546952">
        <w:rPr>
          <w:rFonts w:ascii="Palatino Linotype" w:hAnsi="Palatino Linotype" w:cs="Arial"/>
          <w:lang w:val="en-US"/>
        </w:rPr>
        <w:t xml:space="preserve">in the </w:t>
      </w:r>
      <w:r w:rsidR="00270BFE" w:rsidRPr="00546952">
        <w:rPr>
          <w:rFonts w:ascii="Palatino Linotype" w:hAnsi="Palatino Linotype" w:cs="Arial"/>
          <w:lang w:val="en-US"/>
        </w:rPr>
        <w:t xml:space="preserve">clinical legal education </w:t>
      </w:r>
      <w:r w:rsidR="007E2AB4" w:rsidRPr="00546952">
        <w:rPr>
          <w:rFonts w:ascii="Palatino Linotype" w:hAnsi="Palatino Linotype" w:cs="Arial"/>
          <w:lang w:val="en-US"/>
        </w:rPr>
        <w:t xml:space="preserve">context </w:t>
      </w:r>
      <w:r w:rsidR="00270BFE" w:rsidRPr="00546952">
        <w:rPr>
          <w:rFonts w:ascii="Palatino Linotype" w:hAnsi="Palatino Linotype" w:cs="Arial"/>
          <w:lang w:val="en-US"/>
        </w:rPr>
        <w:t>should be providing</w:t>
      </w:r>
      <w:r w:rsidR="009C79F6" w:rsidRPr="00546952">
        <w:rPr>
          <w:rFonts w:ascii="Palatino Linotype" w:hAnsi="Palatino Linotype" w:cs="Arial"/>
          <w:lang w:val="en-US"/>
        </w:rPr>
        <w:t xml:space="preserve"> students with sufficient knowledge of methods for dispute resolution to adequately prepare them for practice as </w:t>
      </w:r>
      <w:r w:rsidR="00FE4FEB" w:rsidRPr="00546952">
        <w:rPr>
          <w:rFonts w:ascii="Palatino Linotype" w:hAnsi="Palatino Linotype" w:cs="Arial"/>
          <w:lang w:val="en-US"/>
        </w:rPr>
        <w:t>‘</w:t>
      </w:r>
      <w:r w:rsidR="009C79F6" w:rsidRPr="00546952">
        <w:rPr>
          <w:rFonts w:ascii="Palatino Linotype" w:hAnsi="Palatino Linotype" w:cs="Arial"/>
          <w:lang w:val="en-US"/>
        </w:rPr>
        <w:t>21</w:t>
      </w:r>
      <w:r w:rsidR="009C79F6" w:rsidRPr="00546952">
        <w:rPr>
          <w:rFonts w:ascii="Palatino Linotype" w:hAnsi="Palatino Linotype" w:cs="Arial"/>
          <w:vertAlign w:val="superscript"/>
          <w:lang w:val="en-US"/>
        </w:rPr>
        <w:t>st</w:t>
      </w:r>
      <w:r w:rsidR="009C79F6" w:rsidRPr="00546952">
        <w:rPr>
          <w:rFonts w:ascii="Palatino Linotype" w:hAnsi="Palatino Linotype" w:cs="Arial"/>
          <w:lang w:val="en-US"/>
        </w:rPr>
        <w:t xml:space="preserve"> century lawyers</w:t>
      </w:r>
      <w:r w:rsidR="00FE4FEB" w:rsidRPr="00546952">
        <w:rPr>
          <w:rFonts w:ascii="Palatino Linotype" w:hAnsi="Palatino Linotype" w:cs="Arial"/>
          <w:lang w:val="en-US"/>
        </w:rPr>
        <w:t>’</w:t>
      </w:r>
      <w:r w:rsidR="009C79F6" w:rsidRPr="00546952">
        <w:rPr>
          <w:rFonts w:ascii="Palatino Linotype" w:hAnsi="Palatino Linotype" w:cs="Arial"/>
          <w:lang w:val="en-US"/>
        </w:rPr>
        <w:t xml:space="preserve">. </w:t>
      </w:r>
    </w:p>
    <w:p w14:paraId="235AC703" w14:textId="782408A2" w:rsidR="004F0CF2" w:rsidRPr="00546952" w:rsidRDefault="009C79F6"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lastRenderedPageBreak/>
        <w:t>Susskind state</w:t>
      </w:r>
      <w:r w:rsidR="00160AE6" w:rsidRPr="00546952">
        <w:rPr>
          <w:rFonts w:ascii="Palatino Linotype" w:hAnsi="Palatino Linotype" w:cs="Arial"/>
          <w:lang w:val="en-US"/>
        </w:rPr>
        <w:t>s</w:t>
      </w:r>
      <w:r w:rsidRPr="00546952">
        <w:rPr>
          <w:rFonts w:ascii="Palatino Linotype" w:hAnsi="Palatino Linotype" w:cs="Arial"/>
          <w:lang w:val="en-US"/>
        </w:rPr>
        <w:t xml:space="preserve"> that law schools cannot ignore future practice and law students should be provided with </w:t>
      </w:r>
      <w:r w:rsidRPr="00546952">
        <w:rPr>
          <w:rFonts w:ascii="Palatino Linotype" w:hAnsi="Palatino Linotype" w:cs="Arial"/>
          <w:i/>
          <w:lang w:val="en-US"/>
        </w:rPr>
        <w:t xml:space="preserve">options, </w:t>
      </w:r>
      <w:r w:rsidRPr="00546952">
        <w:rPr>
          <w:rFonts w:ascii="Palatino Linotype" w:hAnsi="Palatino Linotype" w:cs="Arial"/>
          <w:lang w:val="en-US"/>
        </w:rPr>
        <w:t>to study current and future trends in legal services and to learn some key 21</w:t>
      </w:r>
      <w:r w:rsidRPr="00546952">
        <w:rPr>
          <w:rFonts w:ascii="Palatino Linotype" w:hAnsi="Palatino Linotype" w:cs="Arial"/>
          <w:vertAlign w:val="superscript"/>
          <w:lang w:val="en-US"/>
        </w:rPr>
        <w:t>st</w:t>
      </w:r>
      <w:r w:rsidR="00352454" w:rsidRPr="00546952">
        <w:rPr>
          <w:rFonts w:ascii="Palatino Linotype" w:hAnsi="Palatino Linotype" w:cs="Arial"/>
          <w:lang w:val="en-US"/>
        </w:rPr>
        <w:t xml:space="preserve"> </w:t>
      </w:r>
      <w:r w:rsidRPr="00546952">
        <w:rPr>
          <w:rFonts w:ascii="Palatino Linotype" w:hAnsi="Palatino Linotype" w:cs="Arial"/>
          <w:lang w:val="en-US"/>
        </w:rPr>
        <w:t>century legal skills that will support future law jobs.</w:t>
      </w:r>
      <w:r w:rsidRPr="00546952">
        <w:rPr>
          <w:rStyle w:val="FootnoteReference"/>
          <w:rFonts w:ascii="Palatino Linotype" w:hAnsi="Palatino Linotype" w:cs="Arial"/>
          <w:lang w:val="en-US"/>
        </w:rPr>
        <w:footnoteReference w:id="193"/>
      </w:r>
      <w:r w:rsidRPr="00546952">
        <w:rPr>
          <w:rFonts w:ascii="Palatino Linotype" w:hAnsi="Palatino Linotype" w:cs="Arial"/>
          <w:lang w:val="en-US"/>
        </w:rPr>
        <w:t xml:space="preserve"> </w:t>
      </w:r>
      <w:r w:rsidR="004F0CF2" w:rsidRPr="00546952">
        <w:rPr>
          <w:rFonts w:ascii="Palatino Linotype" w:hAnsi="Palatino Linotype" w:cs="Arial"/>
          <w:lang w:val="en-US"/>
        </w:rPr>
        <w:t>ADR is a growing area of legal practice</w:t>
      </w:r>
      <w:r w:rsidR="007E053B" w:rsidRPr="00546952">
        <w:rPr>
          <w:rFonts w:ascii="Palatino Linotype" w:hAnsi="Palatino Linotype" w:cs="Arial"/>
          <w:lang w:val="en-US"/>
        </w:rPr>
        <w:t xml:space="preserve"> resulting in changes in models </w:t>
      </w:r>
      <w:r w:rsidR="009647D6" w:rsidRPr="00546952">
        <w:rPr>
          <w:rFonts w:ascii="Palatino Linotype" w:hAnsi="Palatino Linotype" w:cs="Arial"/>
          <w:lang w:val="en-US"/>
        </w:rPr>
        <w:t>of client service and advocacy.</w:t>
      </w:r>
      <w:r w:rsidR="007E053B" w:rsidRPr="00546952">
        <w:rPr>
          <w:rStyle w:val="FootnoteReference"/>
          <w:rFonts w:ascii="Palatino Linotype" w:hAnsi="Palatino Linotype" w:cs="Arial"/>
          <w:lang w:val="en-US"/>
        </w:rPr>
        <w:footnoteReference w:id="194"/>
      </w:r>
      <w:r w:rsidR="009647D6" w:rsidRPr="00546952">
        <w:rPr>
          <w:rFonts w:ascii="Palatino Linotype" w:hAnsi="Palatino Linotype" w:cs="Arial"/>
          <w:lang w:val="en-US"/>
        </w:rPr>
        <w:t xml:space="preserve"> The issue then is how best to prepare young lawyers for these changes. According to </w:t>
      </w:r>
      <w:proofErr w:type="spellStart"/>
      <w:r w:rsidR="009647D6" w:rsidRPr="00546952">
        <w:rPr>
          <w:rFonts w:ascii="Palatino Linotype" w:hAnsi="Palatino Linotype" w:cs="Arial"/>
          <w:lang w:val="en-US"/>
        </w:rPr>
        <w:t>Sourdin</w:t>
      </w:r>
      <w:proofErr w:type="spellEnd"/>
      <w:r w:rsidR="009647D6" w:rsidRPr="00546952">
        <w:rPr>
          <w:rFonts w:ascii="Palatino Linotype" w:hAnsi="Palatino Linotype" w:cs="Arial"/>
          <w:lang w:val="en-US"/>
        </w:rPr>
        <w:t>, legal academics (and law schools) play an essential role in the training and education of lawyers and</w:t>
      </w:r>
      <w:r w:rsidR="004367DE" w:rsidRPr="00546952">
        <w:rPr>
          <w:rFonts w:ascii="Palatino Linotype" w:hAnsi="Palatino Linotype" w:cs="Arial"/>
          <w:lang w:val="en-US"/>
        </w:rPr>
        <w:t xml:space="preserve"> in interpreting these changes.</w:t>
      </w:r>
      <w:r w:rsidR="009647D6" w:rsidRPr="00546952">
        <w:rPr>
          <w:rStyle w:val="FootnoteReference"/>
          <w:rFonts w:ascii="Palatino Linotype" w:hAnsi="Palatino Linotype" w:cs="Arial"/>
          <w:lang w:val="en-US"/>
        </w:rPr>
        <w:footnoteReference w:id="195"/>
      </w:r>
      <w:r w:rsidR="009647D6" w:rsidRPr="00546952">
        <w:rPr>
          <w:rFonts w:ascii="Palatino Linotype" w:hAnsi="Palatino Linotype" w:cs="Arial"/>
          <w:lang w:val="en-US"/>
        </w:rPr>
        <w:t xml:space="preserve"> </w:t>
      </w:r>
      <w:proofErr w:type="spellStart"/>
      <w:r w:rsidR="009647D6" w:rsidRPr="00546952">
        <w:rPr>
          <w:rFonts w:ascii="Palatino Linotype" w:hAnsi="Palatino Linotype" w:cs="Arial"/>
          <w:lang w:val="en-US"/>
        </w:rPr>
        <w:t>Sourdin</w:t>
      </w:r>
      <w:proofErr w:type="spellEnd"/>
      <w:r w:rsidR="009647D6" w:rsidRPr="00546952">
        <w:rPr>
          <w:rFonts w:ascii="Palatino Linotype" w:hAnsi="Palatino Linotype" w:cs="Arial"/>
          <w:lang w:val="en-US"/>
        </w:rPr>
        <w:t xml:space="preserve"> sees legal education and training as </w:t>
      </w:r>
      <w:r w:rsidR="00FE4FEB" w:rsidRPr="00546952">
        <w:rPr>
          <w:rFonts w:ascii="Palatino Linotype" w:hAnsi="Palatino Linotype" w:cs="Arial"/>
          <w:lang w:val="en-US"/>
        </w:rPr>
        <w:t>‘</w:t>
      </w:r>
      <w:r w:rsidR="009647D6" w:rsidRPr="00546952">
        <w:rPr>
          <w:rFonts w:ascii="Palatino Linotype" w:hAnsi="Palatino Linotype" w:cs="Arial"/>
          <w:lang w:val="en-US"/>
        </w:rPr>
        <w:t>a continuum along which the skills and values of the competent lawyer are developed.</w:t>
      </w:r>
      <w:r w:rsidR="00FE4FEB" w:rsidRPr="00546952">
        <w:rPr>
          <w:rFonts w:ascii="Palatino Linotype" w:hAnsi="Palatino Linotype" w:cs="Arial"/>
          <w:lang w:val="en-US"/>
        </w:rPr>
        <w:t>’</w:t>
      </w:r>
      <w:r w:rsidR="009647D6" w:rsidRPr="00546952">
        <w:rPr>
          <w:rStyle w:val="FootnoteReference"/>
          <w:rFonts w:ascii="Palatino Linotype" w:hAnsi="Palatino Linotype" w:cs="Arial"/>
          <w:lang w:val="en-US"/>
        </w:rPr>
        <w:footnoteReference w:id="196"/>
      </w:r>
      <w:r w:rsidR="00083E2C" w:rsidRPr="00546952">
        <w:rPr>
          <w:rFonts w:ascii="Palatino Linotype" w:hAnsi="Palatino Linotype" w:cs="Arial"/>
          <w:lang w:val="en-US"/>
        </w:rPr>
        <w:t xml:space="preserve"> </w:t>
      </w:r>
      <w:r w:rsidR="00E41551" w:rsidRPr="00546952">
        <w:rPr>
          <w:rFonts w:ascii="Palatino Linotype" w:hAnsi="Palatino Linotype" w:cs="Arial"/>
          <w:lang w:val="en-US"/>
        </w:rPr>
        <w:t xml:space="preserve">There is a need to explore whether clinical legal education is taking these changes </w:t>
      </w:r>
      <w:r w:rsidR="0033047A" w:rsidRPr="00546952">
        <w:rPr>
          <w:rFonts w:ascii="Palatino Linotype" w:hAnsi="Palatino Linotype" w:cs="Arial"/>
          <w:lang w:val="en-US"/>
        </w:rPr>
        <w:t xml:space="preserve">in legal practice </w:t>
      </w:r>
      <w:r w:rsidR="00E41551" w:rsidRPr="00546952">
        <w:rPr>
          <w:rFonts w:ascii="Palatino Linotype" w:hAnsi="Palatino Linotype" w:cs="Arial"/>
          <w:lang w:val="en-US"/>
        </w:rPr>
        <w:t xml:space="preserve">on board and moving away from teaching traditional adversarial models towards teaching a more ADR skills based curriculum. </w:t>
      </w:r>
      <w:r w:rsidR="004F0CF2" w:rsidRPr="00546952">
        <w:rPr>
          <w:rFonts w:ascii="Palatino Linotype" w:hAnsi="Palatino Linotype" w:cs="Arial"/>
          <w:lang w:val="en-US"/>
        </w:rPr>
        <w:t xml:space="preserve">There is a need to look more closely at whether the </w:t>
      </w:r>
      <w:r w:rsidR="00FE4FEB" w:rsidRPr="00546952">
        <w:rPr>
          <w:rFonts w:ascii="Palatino Linotype" w:hAnsi="Palatino Linotype" w:cs="Arial"/>
          <w:lang w:val="en-US"/>
        </w:rPr>
        <w:t>‘</w:t>
      </w:r>
      <w:r w:rsidR="004F0CF2" w:rsidRPr="00546952">
        <w:rPr>
          <w:rFonts w:ascii="Palatino Linotype" w:hAnsi="Palatino Linotype" w:cs="Arial"/>
          <w:lang w:val="en-US"/>
        </w:rPr>
        <w:t>interconnect</w:t>
      </w:r>
      <w:r w:rsidR="00FE4FEB" w:rsidRPr="00546952">
        <w:rPr>
          <w:rFonts w:ascii="Palatino Linotype" w:hAnsi="Palatino Linotype" w:cs="Arial"/>
          <w:lang w:val="en-US"/>
        </w:rPr>
        <w:t xml:space="preserve">’ </w:t>
      </w:r>
      <w:r w:rsidR="004F0CF2" w:rsidRPr="00546952">
        <w:rPr>
          <w:rFonts w:ascii="Palatino Linotype" w:hAnsi="Palatino Linotype" w:cs="Arial"/>
          <w:lang w:val="en-US"/>
        </w:rPr>
        <w:t>between the teaching and practice of ADR is in fact happening in</w:t>
      </w:r>
      <w:r w:rsidR="00606181" w:rsidRPr="00546952">
        <w:rPr>
          <w:rFonts w:ascii="Palatino Linotype" w:hAnsi="Palatino Linotype" w:cs="Arial"/>
          <w:lang w:val="en-US"/>
        </w:rPr>
        <w:t xml:space="preserve"> clinics</w:t>
      </w:r>
      <w:r w:rsidR="004F0CF2" w:rsidRPr="00546952">
        <w:rPr>
          <w:rFonts w:ascii="Palatino Linotype" w:hAnsi="Palatino Linotype" w:cs="Arial"/>
          <w:lang w:val="en-US"/>
        </w:rPr>
        <w:t xml:space="preserve">; if so, how this teaching is happening including an examination of clinical curricula. If it is established that this teaching is taking place, then research needs to be done to determine </w:t>
      </w:r>
      <w:r w:rsidR="00523DE9" w:rsidRPr="00546952">
        <w:rPr>
          <w:rFonts w:ascii="Palatino Linotype" w:hAnsi="Palatino Linotype" w:cs="Arial"/>
          <w:lang w:val="en-US"/>
        </w:rPr>
        <w:t xml:space="preserve">the strengths and weaknesses of existing approaches to teaching ADR in the clinic, and to consider whether and </w:t>
      </w:r>
      <w:r w:rsidR="004F0CF2" w:rsidRPr="00546952">
        <w:rPr>
          <w:rFonts w:ascii="Palatino Linotype" w:hAnsi="Palatino Linotype" w:cs="Arial"/>
          <w:lang w:val="en-US"/>
        </w:rPr>
        <w:t>in what ways this teaching can be enhanced</w:t>
      </w:r>
      <w:r w:rsidR="00523DE9" w:rsidRPr="00546952">
        <w:rPr>
          <w:rFonts w:ascii="Palatino Linotype" w:hAnsi="Palatino Linotype" w:cs="Arial"/>
          <w:lang w:val="en-US"/>
        </w:rPr>
        <w:t>. We may also need to investigate</w:t>
      </w:r>
      <w:r w:rsidR="004F0CF2" w:rsidRPr="00546952">
        <w:rPr>
          <w:rFonts w:ascii="Palatino Linotype" w:hAnsi="Palatino Linotype" w:cs="Arial"/>
          <w:lang w:val="en-US"/>
        </w:rPr>
        <w:t xml:space="preserve"> whether it is</w:t>
      </w:r>
      <w:r w:rsidR="00523DE9" w:rsidRPr="00546952">
        <w:rPr>
          <w:rFonts w:ascii="Palatino Linotype" w:hAnsi="Palatino Linotype" w:cs="Arial"/>
          <w:lang w:val="en-US"/>
        </w:rPr>
        <w:t xml:space="preserve"> </w:t>
      </w:r>
      <w:r w:rsidR="00523DE9" w:rsidRPr="00546952">
        <w:rPr>
          <w:rFonts w:ascii="Palatino Linotype" w:hAnsi="Palatino Linotype" w:cs="Arial"/>
          <w:lang w:val="en-US"/>
        </w:rPr>
        <w:lastRenderedPageBreak/>
        <w:t>sufficiently</w:t>
      </w:r>
      <w:r w:rsidR="004F0CF2" w:rsidRPr="00546952">
        <w:rPr>
          <w:rFonts w:ascii="Palatino Linotype" w:hAnsi="Palatino Linotype" w:cs="Arial"/>
          <w:lang w:val="en-US"/>
        </w:rPr>
        <w:t xml:space="preserve"> contributing to students’ knowledge of non-adversarial approaches towards conflict resolution. </w:t>
      </w:r>
    </w:p>
    <w:p w14:paraId="57E46B49" w14:textId="6A02A9BE" w:rsidR="00241493" w:rsidRPr="00546952" w:rsidRDefault="002A6C14" w:rsidP="00546952">
      <w:pPr>
        <w:widowControl w:val="0"/>
        <w:autoSpaceDE w:val="0"/>
        <w:autoSpaceDN w:val="0"/>
        <w:adjustRightInd w:val="0"/>
        <w:spacing w:line="480" w:lineRule="auto"/>
        <w:jc w:val="both"/>
        <w:rPr>
          <w:rFonts w:ascii="Palatino Linotype" w:hAnsi="Palatino Linotype" w:cs="Arial"/>
          <w:lang w:val="en-US"/>
        </w:rPr>
      </w:pPr>
      <w:r w:rsidRPr="00546952">
        <w:rPr>
          <w:rFonts w:ascii="Palatino Linotype" w:hAnsi="Palatino Linotype" w:cs="Arial"/>
          <w:lang w:val="en-US"/>
        </w:rPr>
        <w:t xml:space="preserve">According to </w:t>
      </w:r>
      <w:proofErr w:type="spellStart"/>
      <w:r w:rsidRPr="00546952">
        <w:rPr>
          <w:rFonts w:ascii="Palatino Linotype" w:hAnsi="Palatino Linotype" w:cs="Arial"/>
          <w:lang w:val="en-US"/>
        </w:rPr>
        <w:t>Sourdin</w:t>
      </w:r>
      <w:proofErr w:type="spellEnd"/>
      <w:r w:rsidRPr="00546952">
        <w:rPr>
          <w:rFonts w:ascii="Palatino Linotype" w:hAnsi="Palatino Linotype" w:cs="Arial"/>
          <w:lang w:val="en-US"/>
        </w:rPr>
        <w:t>,</w:t>
      </w:r>
      <w:r w:rsidR="00FE4FEB" w:rsidRPr="00546952">
        <w:rPr>
          <w:rFonts w:ascii="Palatino Linotype" w:hAnsi="Palatino Linotype" w:cs="Arial"/>
          <w:lang w:val="en-US"/>
        </w:rPr>
        <w:t>‘</w:t>
      </w:r>
      <w:r w:rsidR="00AE4758" w:rsidRPr="00546952">
        <w:rPr>
          <w:rFonts w:ascii="Palatino Linotype" w:hAnsi="Palatino Linotype" w:cs="Arial"/>
          <w:lang w:val="en-US"/>
        </w:rPr>
        <w:t>changes to the law school education environment supporting ADR in a realistic, rather than marginal way should mean that there is a greater chance that law school education in Australia into the future will be both relevant and supportive of respectful dispute resolution in its traditional and alternative forms.</w:t>
      </w:r>
      <w:r w:rsidR="00FE4FEB" w:rsidRPr="00546952">
        <w:rPr>
          <w:rFonts w:ascii="Palatino Linotype" w:hAnsi="Palatino Linotype" w:cs="Arial"/>
          <w:lang w:val="en-US"/>
        </w:rPr>
        <w:t>’</w:t>
      </w:r>
      <w:r w:rsidR="00AE4758" w:rsidRPr="00546952">
        <w:rPr>
          <w:rStyle w:val="FootnoteReference"/>
          <w:rFonts w:ascii="Palatino Linotype" w:hAnsi="Palatino Linotype" w:cs="Arial"/>
          <w:lang w:val="en-US"/>
        </w:rPr>
        <w:footnoteReference w:id="197"/>
      </w:r>
      <w:r w:rsidR="00AE4758" w:rsidRPr="00546952">
        <w:rPr>
          <w:rFonts w:ascii="Palatino Linotype" w:hAnsi="Palatino Linotype" w:cs="Arial"/>
          <w:lang w:val="en-US"/>
        </w:rPr>
        <w:t xml:space="preserve"> Clinical </w:t>
      </w:r>
      <w:r w:rsidR="000B4958" w:rsidRPr="00546952">
        <w:rPr>
          <w:rFonts w:ascii="Palatino Linotype" w:hAnsi="Palatino Linotype" w:cs="Arial"/>
          <w:lang w:val="en-US"/>
        </w:rPr>
        <w:t xml:space="preserve">scholars </w:t>
      </w:r>
      <w:r w:rsidR="00AE4758" w:rsidRPr="00546952">
        <w:rPr>
          <w:rFonts w:ascii="Palatino Linotype" w:hAnsi="Palatino Linotype" w:cs="Arial"/>
          <w:lang w:val="en-US"/>
        </w:rPr>
        <w:t>view clinical legal education as a method of learning and teaching law.</w:t>
      </w:r>
      <w:r w:rsidR="00AE4758" w:rsidRPr="00546952">
        <w:rPr>
          <w:rStyle w:val="FootnoteReference"/>
          <w:rFonts w:ascii="Palatino Linotype" w:hAnsi="Palatino Linotype" w:cs="Arial"/>
          <w:lang w:val="en-US"/>
        </w:rPr>
        <w:footnoteReference w:id="198"/>
      </w:r>
      <w:r w:rsidR="00AE4758" w:rsidRPr="00546952">
        <w:rPr>
          <w:rFonts w:ascii="Palatino Linotype" w:hAnsi="Palatino Linotype" w:cs="Arial"/>
          <w:lang w:val="en-US"/>
        </w:rPr>
        <w:t xml:space="preserve"> It includes teaching about skills as well as the broader legal system.</w:t>
      </w:r>
      <w:r w:rsidR="00AE4758" w:rsidRPr="00546952">
        <w:rPr>
          <w:rStyle w:val="FootnoteReference"/>
          <w:rFonts w:ascii="Palatino Linotype" w:hAnsi="Palatino Linotype" w:cs="Arial"/>
          <w:lang w:val="en-US"/>
        </w:rPr>
        <w:footnoteReference w:id="199"/>
      </w:r>
      <w:r w:rsidR="00AE4758" w:rsidRPr="00546952">
        <w:rPr>
          <w:rFonts w:ascii="Palatino Linotype" w:hAnsi="Palatino Linotype" w:cs="Arial"/>
          <w:lang w:val="en-US"/>
        </w:rPr>
        <w:t xml:space="preserve"> In this paper, </w:t>
      </w:r>
      <w:r w:rsidR="00523DE9" w:rsidRPr="00546952">
        <w:rPr>
          <w:rFonts w:ascii="Palatino Linotype" w:hAnsi="Palatino Linotype" w:cs="Arial"/>
          <w:lang w:val="en-US"/>
        </w:rPr>
        <w:t>I have</w:t>
      </w:r>
      <w:r w:rsidR="00AE4758" w:rsidRPr="00546952">
        <w:rPr>
          <w:rFonts w:ascii="Palatino Linotype" w:hAnsi="Palatino Linotype" w:cs="Arial"/>
          <w:lang w:val="en-US"/>
        </w:rPr>
        <w:t xml:space="preserve"> shown that ADR has become a part of the legal system both in Australia and internationally. If clinical legal education is to teach students about the skills needed for practice then it follows that a focus on the teaching and learning of ADR skills is needed. Extensive research has shown that ADR has an important role in legal education. It places emphasis on a non-adversarial process of resolving conflict and provides lawyers with the knowledge and skills to engage with legal problems in a holistic manner. Law students engaged in clinics who understand and adopt these processes will become lawyers who focus first on client’s needs and interests when problem solving and resort to adversarial practice only when necessary. In this way, clinical legal education </w:t>
      </w:r>
      <w:r w:rsidR="00AE4758" w:rsidRPr="00546952">
        <w:rPr>
          <w:rFonts w:ascii="Palatino Linotype" w:hAnsi="Palatino Linotype" w:cs="Arial"/>
          <w:lang w:val="en-US"/>
        </w:rPr>
        <w:lastRenderedPageBreak/>
        <w:t xml:space="preserve">can ensure that law students are well prepared for their roles as </w:t>
      </w:r>
      <w:r w:rsidR="00FE4FEB" w:rsidRPr="00546952">
        <w:rPr>
          <w:rFonts w:ascii="Palatino Linotype" w:hAnsi="Palatino Linotype" w:cs="Arial"/>
          <w:lang w:val="en-US"/>
        </w:rPr>
        <w:t>‘new lawyers’</w:t>
      </w:r>
      <w:r w:rsidR="00AE4758" w:rsidRPr="00546952">
        <w:rPr>
          <w:rFonts w:ascii="Palatino Linotype" w:hAnsi="Palatino Linotype" w:cs="Arial"/>
          <w:lang w:val="en-US"/>
        </w:rPr>
        <w:t xml:space="preserve"> in 21</w:t>
      </w:r>
      <w:r w:rsidR="00AE4758" w:rsidRPr="00546952">
        <w:rPr>
          <w:rFonts w:ascii="Palatino Linotype" w:hAnsi="Palatino Linotype" w:cs="Arial"/>
          <w:vertAlign w:val="superscript"/>
          <w:lang w:val="en-US"/>
        </w:rPr>
        <w:t>st</w:t>
      </w:r>
      <w:r w:rsidR="00AE4758" w:rsidRPr="00546952">
        <w:rPr>
          <w:rFonts w:ascii="Palatino Linotype" w:hAnsi="Palatino Linotype" w:cs="Arial"/>
          <w:lang w:val="en-US"/>
        </w:rPr>
        <w:t xml:space="preserve"> century legal practice</w:t>
      </w:r>
      <w:r w:rsidR="002B02A4" w:rsidRPr="00546952">
        <w:rPr>
          <w:rFonts w:ascii="Palatino Linotype" w:hAnsi="Palatino Linotype" w:cs="Arial"/>
          <w:lang w:val="en-US"/>
        </w:rPr>
        <w:t xml:space="preserve">, </w:t>
      </w:r>
      <w:r w:rsidR="009A3C1C" w:rsidRPr="00546952">
        <w:rPr>
          <w:rFonts w:ascii="Palatino Linotype" w:hAnsi="Palatino Linotype" w:cs="Arial"/>
          <w:lang w:val="en-US"/>
        </w:rPr>
        <w:t xml:space="preserve">who will </w:t>
      </w:r>
      <w:proofErr w:type="spellStart"/>
      <w:r w:rsidR="00751AB6" w:rsidRPr="00546952">
        <w:rPr>
          <w:rFonts w:ascii="Palatino Linotype" w:hAnsi="Palatino Linotype" w:cs="Arial"/>
          <w:lang w:val="en-US"/>
        </w:rPr>
        <w:t>utili</w:t>
      </w:r>
      <w:r w:rsidR="009A3C1C" w:rsidRPr="00546952">
        <w:rPr>
          <w:rFonts w:ascii="Palatino Linotype" w:hAnsi="Palatino Linotype" w:cs="Arial"/>
          <w:lang w:val="en-US"/>
        </w:rPr>
        <w:t>se</w:t>
      </w:r>
      <w:proofErr w:type="spellEnd"/>
      <w:r w:rsidR="00751AB6" w:rsidRPr="00546952">
        <w:rPr>
          <w:rFonts w:ascii="Palatino Linotype" w:hAnsi="Palatino Linotype" w:cs="Arial"/>
          <w:lang w:val="en-US"/>
        </w:rPr>
        <w:t xml:space="preserve"> their </w:t>
      </w:r>
      <w:r w:rsidR="009A3C1C" w:rsidRPr="00546952">
        <w:rPr>
          <w:rFonts w:ascii="Palatino Linotype" w:hAnsi="Palatino Linotype" w:cs="Arial"/>
        </w:rPr>
        <w:t xml:space="preserve">comprehensive knowledge of ADR options to </w:t>
      </w:r>
      <w:r w:rsidR="00B93824" w:rsidRPr="00546952">
        <w:rPr>
          <w:rFonts w:ascii="Palatino Linotype" w:hAnsi="Palatino Linotype" w:cs="Arial"/>
        </w:rPr>
        <w:t xml:space="preserve">assist their </w:t>
      </w:r>
      <w:r w:rsidR="009A3C1C" w:rsidRPr="00546952">
        <w:rPr>
          <w:rFonts w:ascii="Palatino Linotype" w:hAnsi="Palatino Linotype" w:cs="Arial"/>
        </w:rPr>
        <w:t>clients</w:t>
      </w:r>
      <w:r w:rsidR="00B93824" w:rsidRPr="00546952">
        <w:rPr>
          <w:rFonts w:ascii="Palatino Linotype" w:hAnsi="Palatino Linotype" w:cs="Arial"/>
        </w:rPr>
        <w:t xml:space="preserve"> to gain access to justice in more timely and cost effective ways.</w:t>
      </w:r>
      <w:r w:rsidR="00826F81" w:rsidRPr="00546952">
        <w:rPr>
          <w:rFonts w:ascii="Palatino Linotype" w:hAnsi="Palatino Linotype" w:cs="Arial"/>
        </w:rPr>
        <w:t xml:space="preserve"> </w:t>
      </w:r>
      <w:r w:rsidR="009919C4" w:rsidRPr="00546952">
        <w:rPr>
          <w:rFonts w:ascii="Palatino Linotype" w:hAnsi="Palatino Linotype" w:cs="Arial"/>
          <w:lang w:val="en-US"/>
        </w:rPr>
        <w:t>O</w:t>
      </w:r>
      <w:r w:rsidR="00241493" w:rsidRPr="00546952">
        <w:rPr>
          <w:rFonts w:ascii="Palatino Linotype" w:hAnsi="Palatino Linotype" w:cs="Arial"/>
          <w:lang w:val="en-US"/>
        </w:rPr>
        <w:t xml:space="preserve">ne can argue that in both the wider legal practice context and in the clinical education setting, ADR has a prominent focus. </w:t>
      </w:r>
      <w:r w:rsidR="00DB004B" w:rsidRPr="00546952">
        <w:rPr>
          <w:rFonts w:ascii="Palatino Linotype" w:hAnsi="Palatino Linotype" w:cs="Arial"/>
          <w:lang w:val="en-US"/>
        </w:rPr>
        <w:t xml:space="preserve">As such, </w:t>
      </w:r>
      <w:r w:rsidR="00752221" w:rsidRPr="00546952">
        <w:rPr>
          <w:rFonts w:ascii="Palatino Linotype" w:hAnsi="Palatino Linotype" w:cs="Arial"/>
          <w:lang w:val="en-US"/>
        </w:rPr>
        <w:t xml:space="preserve">taking into consideration the arguments put across in this paper, </w:t>
      </w:r>
      <w:r w:rsidR="00433E12" w:rsidRPr="00546952">
        <w:rPr>
          <w:rFonts w:ascii="Palatino Linotype" w:hAnsi="Palatino Linotype" w:cs="Arial"/>
          <w:lang w:val="en-US"/>
        </w:rPr>
        <w:t xml:space="preserve">to prepare law students for legal practice, </w:t>
      </w:r>
      <w:r w:rsidR="00241493" w:rsidRPr="00546952">
        <w:rPr>
          <w:rFonts w:ascii="Palatino Linotype" w:hAnsi="Palatino Linotype" w:cs="Arial"/>
          <w:lang w:val="en-US"/>
        </w:rPr>
        <w:t xml:space="preserve">there is no alternative but to teach ADR in clinic. </w:t>
      </w:r>
    </w:p>
    <w:p w14:paraId="70F4C049" w14:textId="77777777" w:rsidR="00241493" w:rsidRPr="00546952" w:rsidRDefault="00241493" w:rsidP="00546952">
      <w:pPr>
        <w:widowControl w:val="0"/>
        <w:autoSpaceDE w:val="0"/>
        <w:autoSpaceDN w:val="0"/>
        <w:adjustRightInd w:val="0"/>
        <w:spacing w:line="480" w:lineRule="auto"/>
        <w:jc w:val="both"/>
        <w:rPr>
          <w:rFonts w:ascii="Palatino Linotype" w:hAnsi="Palatino Linotype" w:cs="Arial"/>
          <w:lang w:val="en-US"/>
        </w:rPr>
      </w:pPr>
    </w:p>
    <w:p w14:paraId="656727BF" w14:textId="01F7662B" w:rsidR="009A3C1C" w:rsidRPr="00546952" w:rsidRDefault="009A3C1C" w:rsidP="00546952">
      <w:pPr>
        <w:widowControl w:val="0"/>
        <w:autoSpaceDE w:val="0"/>
        <w:autoSpaceDN w:val="0"/>
        <w:adjustRightInd w:val="0"/>
        <w:spacing w:line="480" w:lineRule="auto"/>
        <w:jc w:val="both"/>
        <w:rPr>
          <w:rFonts w:ascii="Palatino Linotype" w:hAnsi="Palatino Linotype" w:cs="Arial"/>
        </w:rPr>
      </w:pPr>
    </w:p>
    <w:p w14:paraId="24B944A9" w14:textId="086826D4" w:rsidR="009C4DBE" w:rsidRPr="00546952" w:rsidRDefault="009C4DBE" w:rsidP="00546952">
      <w:pPr>
        <w:widowControl w:val="0"/>
        <w:autoSpaceDE w:val="0"/>
        <w:autoSpaceDN w:val="0"/>
        <w:adjustRightInd w:val="0"/>
        <w:spacing w:line="480" w:lineRule="auto"/>
        <w:jc w:val="both"/>
        <w:rPr>
          <w:rFonts w:ascii="Palatino Linotype" w:hAnsi="Palatino Linotype" w:cs="Arial"/>
          <w:lang w:val="en-US"/>
        </w:rPr>
      </w:pPr>
    </w:p>
    <w:p w14:paraId="3A7918A3" w14:textId="5D1FEBCD" w:rsidR="00AE4758" w:rsidRDefault="00AE4758" w:rsidP="00546952">
      <w:pPr>
        <w:widowControl w:val="0"/>
        <w:autoSpaceDE w:val="0"/>
        <w:autoSpaceDN w:val="0"/>
        <w:adjustRightInd w:val="0"/>
        <w:spacing w:line="480" w:lineRule="auto"/>
        <w:jc w:val="both"/>
        <w:rPr>
          <w:rFonts w:ascii="Palatino Linotype" w:hAnsi="Palatino Linotype" w:cs="Arial"/>
          <w:lang w:val="en-US"/>
        </w:rPr>
      </w:pPr>
    </w:p>
    <w:p w14:paraId="2CA5EE3E" w14:textId="1E8F283F" w:rsidR="004C2630" w:rsidRDefault="004C2630" w:rsidP="00546952">
      <w:pPr>
        <w:widowControl w:val="0"/>
        <w:autoSpaceDE w:val="0"/>
        <w:autoSpaceDN w:val="0"/>
        <w:adjustRightInd w:val="0"/>
        <w:spacing w:line="480" w:lineRule="auto"/>
        <w:jc w:val="both"/>
        <w:rPr>
          <w:rFonts w:ascii="Palatino Linotype" w:hAnsi="Palatino Linotype" w:cs="Arial"/>
          <w:lang w:val="en-US"/>
        </w:rPr>
      </w:pPr>
    </w:p>
    <w:p w14:paraId="7507C563" w14:textId="77777777" w:rsidR="004C2630" w:rsidRPr="00546952" w:rsidRDefault="004C2630" w:rsidP="00546952">
      <w:pPr>
        <w:widowControl w:val="0"/>
        <w:autoSpaceDE w:val="0"/>
        <w:autoSpaceDN w:val="0"/>
        <w:adjustRightInd w:val="0"/>
        <w:spacing w:line="480" w:lineRule="auto"/>
        <w:jc w:val="both"/>
        <w:rPr>
          <w:rFonts w:ascii="Palatino Linotype" w:hAnsi="Palatino Linotype" w:cs="Arial"/>
          <w:lang w:val="en-US"/>
        </w:rPr>
      </w:pPr>
    </w:p>
    <w:p w14:paraId="494183BB" w14:textId="12805E1E" w:rsidR="008E64D7" w:rsidRPr="00546952" w:rsidRDefault="008E64D7" w:rsidP="00546952">
      <w:pPr>
        <w:widowControl w:val="0"/>
        <w:autoSpaceDE w:val="0"/>
        <w:autoSpaceDN w:val="0"/>
        <w:adjustRightInd w:val="0"/>
        <w:spacing w:line="480" w:lineRule="auto"/>
        <w:jc w:val="both"/>
        <w:rPr>
          <w:rFonts w:ascii="Palatino Linotype" w:hAnsi="Palatino Linotype" w:cs="Arial"/>
          <w:b/>
          <w:lang w:val="en-US"/>
        </w:rPr>
      </w:pPr>
      <w:r w:rsidRPr="00546952">
        <w:rPr>
          <w:rFonts w:ascii="Palatino Linotype" w:hAnsi="Palatino Linotype" w:cs="Arial"/>
          <w:b/>
          <w:lang w:val="en-US"/>
        </w:rPr>
        <w:t>Bibliography</w:t>
      </w:r>
    </w:p>
    <w:p w14:paraId="5E5C8213"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 xml:space="preserve">A </w:t>
      </w:r>
      <w:proofErr w:type="spellStart"/>
      <w:r w:rsidRPr="00546952">
        <w:rPr>
          <w:rFonts w:ascii="Palatino Linotype" w:hAnsi="Palatino Linotype" w:cs="Arial"/>
          <w:sz w:val="22"/>
          <w:lang w:val="en-US"/>
        </w:rPr>
        <w:t>Ardagh</w:t>
      </w:r>
      <w:proofErr w:type="spellEnd"/>
      <w:r w:rsidRPr="00546952">
        <w:rPr>
          <w:rFonts w:ascii="Palatino Linotype" w:hAnsi="Palatino Linotype" w:cs="Arial"/>
          <w:sz w:val="22"/>
          <w:lang w:val="en-US"/>
        </w:rPr>
        <w:t xml:space="preserve"> and G </w:t>
      </w:r>
      <w:proofErr w:type="spellStart"/>
      <w:r w:rsidRPr="00546952">
        <w:rPr>
          <w:rFonts w:ascii="Palatino Linotype" w:hAnsi="Palatino Linotype" w:cs="Arial"/>
          <w:sz w:val="22"/>
          <w:lang w:val="en-US"/>
        </w:rPr>
        <w:t>Cumes</w:t>
      </w:r>
      <w:proofErr w:type="spellEnd"/>
      <w:r w:rsidRPr="00546952">
        <w:rPr>
          <w:rFonts w:ascii="Palatino Linotype" w:hAnsi="Palatino Linotype" w:cs="Arial"/>
          <w:sz w:val="22"/>
          <w:lang w:val="en-US"/>
        </w:rPr>
        <w:t>, The legal profession post-ADR: from mediation to collaborative law (Australia) (2007) 18 Alternative Dispute Resolution Journal 205</w:t>
      </w:r>
    </w:p>
    <w:p w14:paraId="26213879"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 xml:space="preserve">Astor, Hilary and </w:t>
      </w:r>
      <w:proofErr w:type="spellStart"/>
      <w:r w:rsidRPr="00546952">
        <w:rPr>
          <w:rFonts w:ascii="Palatino Linotype" w:hAnsi="Palatino Linotype" w:cs="Arial"/>
          <w:sz w:val="22"/>
          <w:lang w:val="en-US"/>
        </w:rPr>
        <w:t>Chinkin</w:t>
      </w:r>
      <w:proofErr w:type="spellEnd"/>
      <w:r w:rsidRPr="00546952">
        <w:rPr>
          <w:rFonts w:ascii="Palatino Linotype" w:hAnsi="Palatino Linotype" w:cs="Arial"/>
          <w:sz w:val="22"/>
          <w:lang w:val="en-US"/>
        </w:rPr>
        <w:t xml:space="preserve">, Christine, Dispute Resolution in Australia (Lexis </w:t>
      </w:r>
      <w:proofErr w:type="spellStart"/>
      <w:r w:rsidRPr="00546952">
        <w:rPr>
          <w:rFonts w:ascii="Palatino Linotype" w:hAnsi="Palatino Linotype" w:cs="Arial"/>
          <w:sz w:val="22"/>
          <w:lang w:val="en-US"/>
        </w:rPr>
        <w:t>Nexis</w:t>
      </w:r>
      <w:proofErr w:type="spellEnd"/>
      <w:r w:rsidRPr="00546952">
        <w:rPr>
          <w:rFonts w:ascii="Palatino Linotype" w:hAnsi="Palatino Linotype" w:cs="Arial"/>
          <w:sz w:val="22"/>
          <w:lang w:val="en-US"/>
        </w:rPr>
        <w:t xml:space="preserve">, </w:t>
      </w:r>
      <w:proofErr w:type="spellStart"/>
      <w:r w:rsidRPr="00546952">
        <w:rPr>
          <w:rFonts w:ascii="Palatino Linotype" w:hAnsi="Palatino Linotype" w:cs="Arial"/>
          <w:sz w:val="22"/>
          <w:lang w:val="en-US"/>
        </w:rPr>
        <w:t>Butterworths</w:t>
      </w:r>
      <w:proofErr w:type="spellEnd"/>
      <w:r w:rsidRPr="00546952">
        <w:rPr>
          <w:rFonts w:ascii="Palatino Linotype" w:hAnsi="Palatino Linotype" w:cs="Arial"/>
          <w:sz w:val="22"/>
          <w:lang w:val="en-US"/>
        </w:rPr>
        <w:t xml:space="preserve">, 2nd </w:t>
      </w:r>
      <w:proofErr w:type="spellStart"/>
      <w:proofErr w:type="gramStart"/>
      <w:r w:rsidRPr="00546952">
        <w:rPr>
          <w:rFonts w:ascii="Palatino Linotype" w:hAnsi="Palatino Linotype" w:cs="Arial"/>
          <w:sz w:val="22"/>
          <w:lang w:val="en-US"/>
        </w:rPr>
        <w:t>ed</w:t>
      </w:r>
      <w:proofErr w:type="spellEnd"/>
      <w:proofErr w:type="gramEnd"/>
      <w:r w:rsidRPr="00546952">
        <w:rPr>
          <w:rFonts w:ascii="Palatino Linotype" w:hAnsi="Palatino Linotype" w:cs="Arial"/>
          <w:sz w:val="22"/>
          <w:lang w:val="en-US"/>
        </w:rPr>
        <w:t>, 2002)</w:t>
      </w:r>
    </w:p>
    <w:p w14:paraId="4858C19D"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 xml:space="preserve">Bloch, Frank, </w:t>
      </w:r>
      <w:proofErr w:type="gramStart"/>
      <w:r w:rsidRPr="00546952">
        <w:rPr>
          <w:rFonts w:ascii="Palatino Linotype" w:hAnsi="Palatino Linotype" w:cs="Arial"/>
          <w:sz w:val="22"/>
          <w:lang w:val="en-US"/>
        </w:rPr>
        <w:t>The</w:t>
      </w:r>
      <w:proofErr w:type="gramEnd"/>
      <w:r w:rsidRPr="00546952">
        <w:rPr>
          <w:rFonts w:ascii="Palatino Linotype" w:hAnsi="Palatino Linotype" w:cs="Arial"/>
          <w:sz w:val="22"/>
          <w:lang w:val="en-US"/>
        </w:rPr>
        <w:t xml:space="preserve"> Global Clinical Movement (Oxford University Press, 2011)</w:t>
      </w:r>
    </w:p>
    <w:p w14:paraId="33E5689D"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 xml:space="preserve">Bush, Robert A Baruch, 'Staying in Orbit, </w:t>
      </w:r>
      <w:proofErr w:type="gramStart"/>
      <w:r w:rsidRPr="00546952">
        <w:rPr>
          <w:rFonts w:ascii="Palatino Linotype" w:hAnsi="Palatino Linotype" w:cs="Arial"/>
          <w:sz w:val="22"/>
          <w:lang w:val="en-US"/>
        </w:rPr>
        <w:t>Or</w:t>
      </w:r>
      <w:proofErr w:type="gramEnd"/>
      <w:r w:rsidRPr="00546952">
        <w:rPr>
          <w:rFonts w:ascii="Palatino Linotype" w:hAnsi="Palatino Linotype" w:cs="Arial"/>
          <w:sz w:val="22"/>
          <w:lang w:val="en-US"/>
        </w:rPr>
        <w:t xml:space="preserve"> Breaking Free: The Relationship of Mediation to the Courts Over Four Decades' (2008) 84 North Dakota Law Review 705</w:t>
      </w:r>
    </w:p>
    <w:p w14:paraId="0FFC8889"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Carr-Gregg, Susan, 'Alternative Dispute Resolution in Practical Legal Training - Too little, Too Late?' (1992) 23 Journal of Professional Legal Education 29</w:t>
      </w:r>
    </w:p>
    <w:p w14:paraId="5D5CB0BF"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 xml:space="preserve">Dickson, Judith, 25 Years of Clinical Legal Education at La Trobe </w:t>
      </w:r>
      <w:proofErr w:type="spellStart"/>
      <w:r w:rsidRPr="00546952">
        <w:rPr>
          <w:rFonts w:ascii="Palatino Linotype" w:hAnsi="Palatino Linotype" w:cs="Arial"/>
          <w:sz w:val="22"/>
          <w:lang w:val="en-US"/>
        </w:rPr>
        <w:t>Uni</w:t>
      </w:r>
      <w:proofErr w:type="spellEnd"/>
      <w:r w:rsidRPr="00546952">
        <w:rPr>
          <w:rFonts w:ascii="Palatino Linotype" w:hAnsi="Palatino Linotype" w:cs="Arial"/>
          <w:sz w:val="22"/>
          <w:lang w:val="en-US"/>
        </w:rPr>
        <w:t xml:space="preserve"> (2004) 29 (1) Alternative Law Journal 41   </w:t>
      </w:r>
    </w:p>
    <w:p w14:paraId="2EB2B225"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lastRenderedPageBreak/>
        <w:t>Douglas, Kathy, 'Shaping the Future: The Discourses of ADR and Legal Education' (2008) 8 (1) Law and Justice Journal 118</w:t>
      </w:r>
    </w:p>
    <w:p w14:paraId="11C3EB99"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Douglas, Kathy, '</w:t>
      </w:r>
      <w:proofErr w:type="gramStart"/>
      <w:r w:rsidRPr="00546952">
        <w:rPr>
          <w:rFonts w:ascii="Palatino Linotype" w:hAnsi="Palatino Linotype" w:cs="Arial"/>
          <w:sz w:val="22"/>
          <w:lang w:val="en-US"/>
        </w:rPr>
        <w:t>The</w:t>
      </w:r>
      <w:proofErr w:type="gramEnd"/>
      <w:r w:rsidRPr="00546952">
        <w:rPr>
          <w:rFonts w:ascii="Palatino Linotype" w:hAnsi="Palatino Linotype" w:cs="Arial"/>
          <w:sz w:val="22"/>
          <w:lang w:val="en-US"/>
        </w:rPr>
        <w:t xml:space="preserve"> teaching of ADR in Australian law schools: Promoting non-adversarial practice in law' (2011) 22 Australasian Dispute Resolution Journal 49</w:t>
      </w:r>
    </w:p>
    <w:p w14:paraId="2EF69D14"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 xml:space="preserve">Evans, A, Cody, A, Copeland A, Giddings, J, </w:t>
      </w:r>
      <w:proofErr w:type="spellStart"/>
      <w:r w:rsidRPr="00546952">
        <w:rPr>
          <w:rFonts w:ascii="Palatino Linotype" w:hAnsi="Palatino Linotype" w:cs="Arial"/>
          <w:sz w:val="22"/>
          <w:lang w:val="en-US"/>
        </w:rPr>
        <w:t>Noone</w:t>
      </w:r>
      <w:proofErr w:type="spellEnd"/>
      <w:r w:rsidRPr="00546952">
        <w:rPr>
          <w:rFonts w:ascii="Palatino Linotype" w:hAnsi="Palatino Linotype" w:cs="Arial"/>
          <w:sz w:val="22"/>
          <w:lang w:val="en-US"/>
        </w:rPr>
        <w:t xml:space="preserve"> M.A &amp; Rice S, Best Practices Australian Clinical Legal Education Office of Teaching and Learning 2013 </w:t>
      </w:r>
    </w:p>
    <w:p w14:paraId="5AC48352"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 xml:space="preserve">Fisher, Roger and </w:t>
      </w:r>
      <w:proofErr w:type="spellStart"/>
      <w:r w:rsidRPr="00546952">
        <w:rPr>
          <w:rFonts w:ascii="Palatino Linotype" w:hAnsi="Palatino Linotype" w:cs="Arial"/>
          <w:sz w:val="22"/>
          <w:lang w:val="en-US"/>
        </w:rPr>
        <w:t>Ury</w:t>
      </w:r>
      <w:proofErr w:type="spellEnd"/>
      <w:r w:rsidRPr="00546952">
        <w:rPr>
          <w:rFonts w:ascii="Palatino Linotype" w:hAnsi="Palatino Linotype" w:cs="Arial"/>
          <w:sz w:val="22"/>
          <w:lang w:val="en-US"/>
        </w:rPr>
        <w:t xml:space="preserve">, William, Getting to Yes: Negotiating Agreement </w:t>
      </w:r>
      <w:proofErr w:type="gramStart"/>
      <w:r w:rsidRPr="00546952">
        <w:rPr>
          <w:rFonts w:ascii="Palatino Linotype" w:hAnsi="Palatino Linotype" w:cs="Arial"/>
          <w:sz w:val="22"/>
          <w:lang w:val="en-US"/>
        </w:rPr>
        <w:t>Without</w:t>
      </w:r>
      <w:proofErr w:type="gramEnd"/>
      <w:r w:rsidRPr="00546952">
        <w:rPr>
          <w:rFonts w:ascii="Palatino Linotype" w:hAnsi="Palatino Linotype" w:cs="Arial"/>
          <w:sz w:val="22"/>
          <w:lang w:val="en-US"/>
        </w:rPr>
        <w:t xml:space="preserve"> Giving In (Penguin Group 1981) </w:t>
      </w:r>
    </w:p>
    <w:p w14:paraId="46CD8964"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 xml:space="preserve">Fisher, Tom, </w:t>
      </w:r>
      <w:proofErr w:type="spellStart"/>
      <w:r w:rsidRPr="00546952">
        <w:rPr>
          <w:rFonts w:ascii="Palatino Linotype" w:hAnsi="Palatino Linotype" w:cs="Arial"/>
          <w:sz w:val="22"/>
          <w:lang w:val="en-US"/>
        </w:rPr>
        <w:t>Gutman</w:t>
      </w:r>
      <w:proofErr w:type="spellEnd"/>
      <w:r w:rsidRPr="00546952">
        <w:rPr>
          <w:rFonts w:ascii="Palatino Linotype" w:hAnsi="Palatino Linotype" w:cs="Arial"/>
          <w:sz w:val="22"/>
          <w:lang w:val="en-US"/>
        </w:rPr>
        <w:t>, Judy and Martens, Erika, 'Why teach Alternative Dispute Resolution to Law Students Part 2: An Empirical Survey' (2007) 17   Legal Education Review 67</w:t>
      </w:r>
    </w:p>
    <w:p w14:paraId="210C82B8"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Frank Sander, Goldberg, Stephen, Rogers, Nancy, 'The Teaching of ADR in the 21st Century Law School' CPR Institute for Dispute Resolution: Alternatives 29</w:t>
      </w:r>
    </w:p>
    <w:p w14:paraId="238B11B1"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 xml:space="preserve">Giddings, Jeff, Promoting Justice </w:t>
      </w:r>
      <w:proofErr w:type="gramStart"/>
      <w:r w:rsidRPr="00546952">
        <w:rPr>
          <w:rFonts w:ascii="Palatino Linotype" w:hAnsi="Palatino Linotype" w:cs="Arial"/>
          <w:sz w:val="22"/>
          <w:lang w:val="en-US"/>
        </w:rPr>
        <w:t>Through</w:t>
      </w:r>
      <w:proofErr w:type="gramEnd"/>
      <w:r w:rsidRPr="00546952">
        <w:rPr>
          <w:rFonts w:ascii="Palatino Linotype" w:hAnsi="Palatino Linotype" w:cs="Arial"/>
          <w:sz w:val="22"/>
          <w:lang w:val="en-US"/>
        </w:rPr>
        <w:t xml:space="preserve"> Clinical Legal Education, Justice Press 2013, 78</w:t>
      </w:r>
    </w:p>
    <w:p w14:paraId="7D30B3E6"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Gutman</w:t>
      </w:r>
      <w:proofErr w:type="spellEnd"/>
      <w:r w:rsidRPr="00546952">
        <w:rPr>
          <w:rFonts w:ascii="Palatino Linotype" w:hAnsi="Palatino Linotype" w:cs="Arial"/>
          <w:sz w:val="22"/>
          <w:lang w:val="en-US"/>
        </w:rPr>
        <w:t>, Judy, Fisher Tom, Martens, Erika 'Teaching ADR to Australian Law students: Implications for legal practice in Australia' (2008) 19 Australasian Dispute Resolution Journal 42</w:t>
      </w:r>
    </w:p>
    <w:p w14:paraId="52AC7346"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Gutman</w:t>
      </w:r>
      <w:proofErr w:type="spellEnd"/>
      <w:r w:rsidRPr="00546952">
        <w:rPr>
          <w:rFonts w:ascii="Palatino Linotype" w:hAnsi="Palatino Linotype" w:cs="Arial"/>
          <w:sz w:val="22"/>
          <w:lang w:val="en-US"/>
        </w:rPr>
        <w:t xml:space="preserve"> Judy, Fisher, Tom, Martens, </w:t>
      </w:r>
      <w:proofErr w:type="gramStart"/>
      <w:r w:rsidRPr="00546952">
        <w:rPr>
          <w:rFonts w:ascii="Palatino Linotype" w:hAnsi="Palatino Linotype" w:cs="Arial"/>
          <w:sz w:val="22"/>
          <w:lang w:val="en-US"/>
        </w:rPr>
        <w:t>Erika  'Why</w:t>
      </w:r>
      <w:proofErr w:type="gramEnd"/>
      <w:r w:rsidRPr="00546952">
        <w:rPr>
          <w:rFonts w:ascii="Palatino Linotype" w:hAnsi="Palatino Linotype" w:cs="Arial"/>
          <w:sz w:val="22"/>
          <w:lang w:val="en-US"/>
        </w:rPr>
        <w:t xml:space="preserve"> teach alternative dispute resolution to law students? Part one: past and current practices and some unanswered questions (2006) Legal Education Review 125</w:t>
      </w:r>
    </w:p>
    <w:p w14:paraId="74BFC115"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Gutman</w:t>
      </w:r>
      <w:proofErr w:type="spellEnd"/>
      <w:r w:rsidRPr="00546952">
        <w:rPr>
          <w:rFonts w:ascii="Palatino Linotype" w:hAnsi="Palatino Linotype" w:cs="Arial"/>
          <w:sz w:val="22"/>
          <w:lang w:val="en-US"/>
        </w:rPr>
        <w:t xml:space="preserve">, Judy, Riddle, </w:t>
      </w:r>
      <w:proofErr w:type="gramStart"/>
      <w:r w:rsidRPr="00546952">
        <w:rPr>
          <w:rFonts w:ascii="Palatino Linotype" w:hAnsi="Palatino Linotype" w:cs="Arial"/>
          <w:sz w:val="22"/>
          <w:lang w:val="en-US"/>
        </w:rPr>
        <w:t>Matthew  'ADR</w:t>
      </w:r>
      <w:proofErr w:type="gramEnd"/>
      <w:r w:rsidRPr="00546952">
        <w:rPr>
          <w:rFonts w:ascii="Palatino Linotype" w:hAnsi="Palatino Linotype" w:cs="Arial"/>
          <w:sz w:val="22"/>
          <w:lang w:val="en-US"/>
        </w:rPr>
        <w:t xml:space="preserve"> in Legal Education: Learning by doing' (2012) 23 Australasian Dispute Resolution Journal 189</w:t>
      </w:r>
    </w:p>
    <w:p w14:paraId="10F852AD"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Howieson</w:t>
      </w:r>
      <w:proofErr w:type="spellEnd"/>
      <w:r w:rsidRPr="00546952">
        <w:rPr>
          <w:rFonts w:ascii="Palatino Linotype" w:hAnsi="Palatino Linotype" w:cs="Arial"/>
          <w:sz w:val="22"/>
          <w:lang w:val="en-US"/>
        </w:rPr>
        <w:t xml:space="preserve">, </w:t>
      </w:r>
      <w:proofErr w:type="gramStart"/>
      <w:r w:rsidRPr="00546952">
        <w:rPr>
          <w:rFonts w:ascii="Palatino Linotype" w:hAnsi="Palatino Linotype" w:cs="Arial"/>
          <w:sz w:val="22"/>
          <w:lang w:val="en-US"/>
        </w:rPr>
        <w:t>Jill  'ADR</w:t>
      </w:r>
      <w:proofErr w:type="gramEnd"/>
      <w:r w:rsidRPr="00546952">
        <w:rPr>
          <w:rFonts w:ascii="Palatino Linotype" w:hAnsi="Palatino Linotype" w:cs="Arial"/>
          <w:sz w:val="22"/>
          <w:lang w:val="en-US"/>
        </w:rPr>
        <w:t xml:space="preserve"> education: Creating engagement and increasing mental well-being through an interactive and constructive approach' (2011) 22 Australasian Dispute Resolution Journal 58</w:t>
      </w:r>
    </w:p>
    <w:p w14:paraId="0CCD9C83"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Hyams</w:t>
      </w:r>
      <w:proofErr w:type="spellEnd"/>
      <w:r w:rsidRPr="00546952">
        <w:rPr>
          <w:rFonts w:ascii="Palatino Linotype" w:hAnsi="Palatino Linotype" w:cs="Arial"/>
          <w:sz w:val="22"/>
          <w:lang w:val="en-US"/>
        </w:rPr>
        <w:t>, Ross ‘</w:t>
      </w:r>
      <w:proofErr w:type="gramStart"/>
      <w:r w:rsidRPr="00546952">
        <w:rPr>
          <w:rFonts w:ascii="Palatino Linotype" w:hAnsi="Palatino Linotype" w:cs="Arial"/>
          <w:sz w:val="22"/>
          <w:lang w:val="en-US"/>
        </w:rPr>
        <w:t>The</w:t>
      </w:r>
      <w:proofErr w:type="gramEnd"/>
      <w:r w:rsidRPr="00546952">
        <w:rPr>
          <w:rFonts w:ascii="Palatino Linotype" w:hAnsi="Palatino Linotype" w:cs="Arial"/>
          <w:sz w:val="22"/>
          <w:lang w:val="en-US"/>
        </w:rPr>
        <w:t xml:space="preserve"> Teaching of Skills: Rebuilding-Not Just Tinkering Around The Edges’ (1995) 13 Journal of Professional Legal Education 63 </w:t>
      </w:r>
    </w:p>
    <w:p w14:paraId="01F064DE"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Hyams</w:t>
      </w:r>
      <w:proofErr w:type="spellEnd"/>
      <w:r w:rsidRPr="00546952">
        <w:rPr>
          <w:rFonts w:ascii="Palatino Linotype" w:hAnsi="Palatino Linotype" w:cs="Arial"/>
          <w:sz w:val="22"/>
          <w:lang w:val="en-US"/>
        </w:rPr>
        <w:t xml:space="preserve">, Ross, Campbell, Susan, Evans, Adrian, Practical Legal Skills (4th </w:t>
      </w:r>
      <w:proofErr w:type="gramStart"/>
      <w:r w:rsidRPr="00546952">
        <w:rPr>
          <w:rFonts w:ascii="Palatino Linotype" w:hAnsi="Palatino Linotype" w:cs="Arial"/>
          <w:sz w:val="22"/>
          <w:lang w:val="en-US"/>
        </w:rPr>
        <w:t>ed</w:t>
      </w:r>
      <w:proofErr w:type="gramEnd"/>
      <w:r w:rsidRPr="00546952">
        <w:rPr>
          <w:rFonts w:ascii="Palatino Linotype" w:hAnsi="Palatino Linotype" w:cs="Arial"/>
          <w:sz w:val="22"/>
          <w:lang w:val="en-US"/>
        </w:rPr>
        <w:t>.) (Oxford University Press, 2014)</w:t>
      </w:r>
    </w:p>
    <w:p w14:paraId="6794CB67"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 xml:space="preserve">King, Michael, Freiberg, </w:t>
      </w:r>
      <w:proofErr w:type="spellStart"/>
      <w:r w:rsidRPr="00546952">
        <w:rPr>
          <w:rFonts w:ascii="Palatino Linotype" w:hAnsi="Palatino Linotype" w:cs="Arial"/>
          <w:sz w:val="22"/>
          <w:lang w:val="en-US"/>
        </w:rPr>
        <w:t>Arie</w:t>
      </w:r>
      <w:proofErr w:type="spellEnd"/>
      <w:r w:rsidRPr="00546952">
        <w:rPr>
          <w:rFonts w:ascii="Palatino Linotype" w:hAnsi="Palatino Linotype" w:cs="Arial"/>
          <w:sz w:val="22"/>
          <w:lang w:val="en-US"/>
        </w:rPr>
        <w:t xml:space="preserve">, </w:t>
      </w:r>
      <w:proofErr w:type="spellStart"/>
      <w:r w:rsidRPr="00546952">
        <w:rPr>
          <w:rFonts w:ascii="Palatino Linotype" w:hAnsi="Palatino Linotype" w:cs="Arial"/>
          <w:sz w:val="22"/>
          <w:lang w:val="en-US"/>
        </w:rPr>
        <w:t>Batagol</w:t>
      </w:r>
      <w:proofErr w:type="spellEnd"/>
      <w:r w:rsidRPr="00546952">
        <w:rPr>
          <w:rFonts w:ascii="Palatino Linotype" w:hAnsi="Palatino Linotype" w:cs="Arial"/>
          <w:sz w:val="22"/>
          <w:lang w:val="en-US"/>
        </w:rPr>
        <w:t xml:space="preserve">, Becky, Non-Adversarial Justice (The Federation </w:t>
      </w:r>
      <w:r w:rsidRPr="00546952">
        <w:rPr>
          <w:rFonts w:ascii="Palatino Linotype" w:hAnsi="Palatino Linotype" w:cs="Arial"/>
          <w:sz w:val="22"/>
          <w:lang w:val="en-US"/>
        </w:rPr>
        <w:lastRenderedPageBreak/>
        <w:t xml:space="preserve">Press, 2009) </w:t>
      </w:r>
    </w:p>
    <w:p w14:paraId="4D833401"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Macfarlane, Julie, 'The Evolution of the New Lawyer: How Lawyers are Reshaping the Practice of Law' (2008) 61 Journal of Dispute Resolution 61</w:t>
      </w:r>
    </w:p>
    <w:p w14:paraId="647FD62E"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 xml:space="preserve">Macfarlane, Julie, </w:t>
      </w:r>
      <w:proofErr w:type="gramStart"/>
      <w:r w:rsidRPr="00546952">
        <w:rPr>
          <w:rFonts w:ascii="Palatino Linotype" w:hAnsi="Palatino Linotype" w:cs="Arial"/>
          <w:sz w:val="22"/>
          <w:lang w:val="en-US"/>
        </w:rPr>
        <w:t>The</w:t>
      </w:r>
      <w:proofErr w:type="gramEnd"/>
      <w:r w:rsidRPr="00546952">
        <w:rPr>
          <w:rFonts w:ascii="Palatino Linotype" w:hAnsi="Palatino Linotype" w:cs="Arial"/>
          <w:sz w:val="22"/>
          <w:lang w:val="en-US"/>
        </w:rPr>
        <w:t xml:space="preserve"> New Lawyer: How settlement is transforming the practice of law (UBC Press, 2008)</w:t>
      </w:r>
    </w:p>
    <w:p w14:paraId="534C39FB" w14:textId="36B02302" w:rsidR="008E64D7" w:rsidRPr="00546952" w:rsidRDefault="00546952" w:rsidP="00546952">
      <w:pPr>
        <w:widowControl w:val="0"/>
        <w:autoSpaceDE w:val="0"/>
        <w:autoSpaceDN w:val="0"/>
        <w:adjustRightInd w:val="0"/>
        <w:spacing w:line="360" w:lineRule="auto"/>
        <w:jc w:val="both"/>
        <w:rPr>
          <w:rFonts w:ascii="Palatino Linotype" w:hAnsi="Palatino Linotype" w:cs="Arial"/>
          <w:sz w:val="22"/>
          <w:lang w:val="en-US"/>
        </w:rPr>
      </w:pPr>
      <w:r>
        <w:rPr>
          <w:rFonts w:ascii="Palatino Linotype" w:hAnsi="Palatino Linotype" w:cs="Arial"/>
          <w:sz w:val="22"/>
          <w:lang w:val="en-US"/>
        </w:rPr>
        <w:t>M</w:t>
      </w:r>
      <w:r w:rsidR="008E64D7" w:rsidRPr="00546952">
        <w:rPr>
          <w:rFonts w:ascii="Palatino Linotype" w:hAnsi="Palatino Linotype" w:cs="Arial"/>
          <w:sz w:val="22"/>
          <w:lang w:val="en-US"/>
        </w:rPr>
        <w:t>acfarlane, Julie, ‘Bringing the Clinic into the 21st Century’, (2009) 27 Windsor Yearbook of Access to Justice 35</w:t>
      </w:r>
    </w:p>
    <w:p w14:paraId="2D70BA10"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Menkel</w:t>
      </w:r>
      <w:proofErr w:type="spellEnd"/>
      <w:r w:rsidRPr="00546952">
        <w:rPr>
          <w:rFonts w:ascii="Palatino Linotype" w:hAnsi="Palatino Linotype" w:cs="Arial"/>
          <w:sz w:val="22"/>
          <w:lang w:val="en-US"/>
        </w:rPr>
        <w:t>-Meadow, Carrie, 'Lawyer Negotiations: Theories and Realities-What we learn from Mediation' (1993) 56 The Modern Law Review Limited 361</w:t>
      </w:r>
    </w:p>
    <w:p w14:paraId="5AF2BDFC"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Menkel</w:t>
      </w:r>
      <w:proofErr w:type="spellEnd"/>
      <w:r w:rsidRPr="00546952">
        <w:rPr>
          <w:rFonts w:ascii="Palatino Linotype" w:hAnsi="Palatino Linotype" w:cs="Arial"/>
          <w:sz w:val="22"/>
          <w:lang w:val="en-US"/>
        </w:rPr>
        <w:t>-Meadow, Carrie, ‘Ethics in Alternative Dispute Resolution: New Issues, No Answers from the Adversary Conception of Lawyers’ Responsibilities’ (1997) 38 South Texas Law Review 407.</w:t>
      </w:r>
    </w:p>
    <w:p w14:paraId="2125930D"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Noone</w:t>
      </w:r>
      <w:proofErr w:type="spellEnd"/>
      <w:r w:rsidRPr="00546952">
        <w:rPr>
          <w:rFonts w:ascii="Palatino Linotype" w:hAnsi="Palatino Linotype" w:cs="Arial"/>
          <w:sz w:val="22"/>
          <w:lang w:val="en-US"/>
        </w:rPr>
        <w:t xml:space="preserve"> M and Dickson J, 'Teaching Towards a New Professionalism: Challenging Law Students to Become Ethical Lawyers' (2004) 4 Legal Ethics 127</w:t>
      </w:r>
    </w:p>
    <w:p w14:paraId="11E63798"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Osborne, Matthew, 'Alternative Dispute Resolution and Clinical Legal Education in Australian Law Schools: Convergent, Antagonistic or Running in Parallel?' (1996) 14 Journal of Professional Legal Education 97</w:t>
      </w:r>
    </w:p>
    <w:p w14:paraId="47580CC9"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Parker, Christine and Adrian Evans, Inside Lawyers’ Ethics (Cambridge University Press, 2007)</w:t>
      </w:r>
    </w:p>
    <w:p w14:paraId="411684A5"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Savage, Cynthia, 'Future Lawyers: Adversaries or Problem Solvers? Two Law School Programs in Alternative Dispute Resolution' (1989) 7 (1) Mediation Quarterly 89</w:t>
      </w:r>
    </w:p>
    <w:p w14:paraId="3EE21691"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Schechter, Roger, 'Changing Law Schools to Make Less Nasty Lawyers’ (1996-1997) 10 Georgetown Journal of Legal Ethics 367</w:t>
      </w:r>
    </w:p>
    <w:p w14:paraId="4A169E65"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Sourdin</w:t>
      </w:r>
      <w:proofErr w:type="spellEnd"/>
      <w:r w:rsidRPr="00546952">
        <w:rPr>
          <w:rFonts w:ascii="Palatino Linotype" w:hAnsi="Palatino Linotype" w:cs="Arial"/>
          <w:sz w:val="22"/>
          <w:lang w:val="en-US"/>
        </w:rPr>
        <w:t xml:space="preserve">, Tania and </w:t>
      </w:r>
      <w:proofErr w:type="spellStart"/>
      <w:r w:rsidRPr="00546952">
        <w:rPr>
          <w:rFonts w:ascii="Palatino Linotype" w:hAnsi="Palatino Linotype" w:cs="Arial"/>
          <w:sz w:val="22"/>
          <w:lang w:val="en-US"/>
        </w:rPr>
        <w:t>Balvin</w:t>
      </w:r>
      <w:proofErr w:type="spellEnd"/>
      <w:r w:rsidRPr="00546952">
        <w:rPr>
          <w:rFonts w:ascii="Palatino Linotype" w:hAnsi="Palatino Linotype" w:cs="Arial"/>
          <w:sz w:val="22"/>
          <w:lang w:val="en-US"/>
        </w:rPr>
        <w:t>, Nikola 'Mediation styles and their impact: Lessons from the Supreme and County Courts of Victoria research project' (2009) 20 Australasian Dispute Resolution Journal 142</w:t>
      </w:r>
    </w:p>
    <w:p w14:paraId="5D667535"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Sourdin</w:t>
      </w:r>
      <w:proofErr w:type="spellEnd"/>
      <w:r w:rsidRPr="00546952">
        <w:rPr>
          <w:rFonts w:ascii="Palatino Linotype" w:hAnsi="Palatino Linotype" w:cs="Arial"/>
          <w:sz w:val="22"/>
          <w:lang w:val="en-US"/>
        </w:rPr>
        <w:t xml:space="preserve">, T, Alternative Dispute Resolution (4th </w:t>
      </w:r>
      <w:proofErr w:type="gramStart"/>
      <w:r w:rsidRPr="00546952">
        <w:rPr>
          <w:rFonts w:ascii="Palatino Linotype" w:hAnsi="Palatino Linotype" w:cs="Arial"/>
          <w:sz w:val="22"/>
          <w:lang w:val="en-US"/>
        </w:rPr>
        <w:t>ed</w:t>
      </w:r>
      <w:proofErr w:type="gramEnd"/>
      <w:r w:rsidRPr="00546952">
        <w:rPr>
          <w:rFonts w:ascii="Palatino Linotype" w:hAnsi="Palatino Linotype" w:cs="Arial"/>
          <w:sz w:val="22"/>
          <w:lang w:val="en-US"/>
        </w:rPr>
        <w:t>.) (Thomson Reuters, 2012)</w:t>
      </w:r>
    </w:p>
    <w:p w14:paraId="4EDD6C02"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Sourdin</w:t>
      </w:r>
      <w:proofErr w:type="spellEnd"/>
      <w:r w:rsidRPr="00546952">
        <w:rPr>
          <w:rFonts w:ascii="Palatino Linotype" w:hAnsi="Palatino Linotype" w:cs="Arial"/>
          <w:sz w:val="22"/>
          <w:lang w:val="en-US"/>
        </w:rPr>
        <w:t>, T, 'Law Schools need to close the gap between education and practice' (2004) 78 (3) Law Institute Journal 65</w:t>
      </w:r>
    </w:p>
    <w:p w14:paraId="5B90616F"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Sourdin</w:t>
      </w:r>
      <w:proofErr w:type="spellEnd"/>
      <w:r w:rsidRPr="00546952">
        <w:rPr>
          <w:rFonts w:ascii="Palatino Linotype" w:hAnsi="Palatino Linotype" w:cs="Arial"/>
          <w:sz w:val="22"/>
          <w:lang w:val="en-US"/>
        </w:rPr>
        <w:t>, T, '</w:t>
      </w:r>
      <w:proofErr w:type="gramStart"/>
      <w:r w:rsidRPr="00546952">
        <w:rPr>
          <w:rFonts w:ascii="Palatino Linotype" w:hAnsi="Palatino Linotype" w:cs="Arial"/>
          <w:sz w:val="22"/>
          <w:lang w:val="en-US"/>
        </w:rPr>
        <w:t>Making</w:t>
      </w:r>
      <w:proofErr w:type="gramEnd"/>
      <w:r w:rsidRPr="00546952">
        <w:rPr>
          <w:rFonts w:ascii="Palatino Linotype" w:hAnsi="Palatino Linotype" w:cs="Arial"/>
          <w:sz w:val="22"/>
          <w:lang w:val="en-US"/>
        </w:rPr>
        <w:t xml:space="preserve"> an attempt to resolve disputes before using courts: We all have obligations' (2010) 21 Australasian Dispute Resolution Journal 225</w:t>
      </w:r>
    </w:p>
    <w:p w14:paraId="2FA05823"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lastRenderedPageBreak/>
        <w:t>Sourdin</w:t>
      </w:r>
      <w:proofErr w:type="spellEnd"/>
      <w:r w:rsidRPr="00546952">
        <w:rPr>
          <w:rFonts w:ascii="Palatino Linotype" w:hAnsi="Palatino Linotype" w:cs="Arial"/>
          <w:sz w:val="22"/>
          <w:lang w:val="en-US"/>
        </w:rPr>
        <w:t xml:space="preserve">, T, 'Not teaching ADR in law schools? Implications for law students, clients and the ADR field' (2012) 23 Australasian Dispute Resolution </w:t>
      </w:r>
      <w:proofErr w:type="gramStart"/>
      <w:r w:rsidRPr="00546952">
        <w:rPr>
          <w:rFonts w:ascii="Palatino Linotype" w:hAnsi="Palatino Linotype" w:cs="Arial"/>
          <w:sz w:val="22"/>
          <w:lang w:val="en-US"/>
        </w:rPr>
        <w:t>Journal  148</w:t>
      </w:r>
      <w:proofErr w:type="gramEnd"/>
    </w:p>
    <w:p w14:paraId="0EF69FB1"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Sourdin</w:t>
      </w:r>
      <w:proofErr w:type="spellEnd"/>
      <w:r w:rsidRPr="00546952">
        <w:rPr>
          <w:rFonts w:ascii="Palatino Linotype" w:hAnsi="Palatino Linotype" w:cs="Arial"/>
          <w:sz w:val="22"/>
          <w:lang w:val="en-US"/>
        </w:rPr>
        <w:t xml:space="preserve">, T, Alternative Dispute Resolution (5th </w:t>
      </w:r>
      <w:proofErr w:type="gramStart"/>
      <w:r w:rsidRPr="00546952">
        <w:rPr>
          <w:rFonts w:ascii="Palatino Linotype" w:hAnsi="Palatino Linotype" w:cs="Arial"/>
          <w:sz w:val="22"/>
          <w:lang w:val="en-US"/>
        </w:rPr>
        <w:t>ed</w:t>
      </w:r>
      <w:proofErr w:type="gramEnd"/>
      <w:r w:rsidRPr="00546952">
        <w:rPr>
          <w:rFonts w:ascii="Palatino Linotype" w:hAnsi="Palatino Linotype" w:cs="Arial"/>
          <w:sz w:val="22"/>
          <w:lang w:val="en-US"/>
        </w:rPr>
        <w:t>.) (Thomson Reuters, 2015)</w:t>
      </w:r>
    </w:p>
    <w:p w14:paraId="3F1FAD61"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Susskind, Richard, Tomorrow's Lawyers (Oxford University Press, 2013)</w:t>
      </w:r>
    </w:p>
    <w:p w14:paraId="0960E78C"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 xml:space="preserve">Susskind, Richard &amp; Susskind, David, </w:t>
      </w:r>
      <w:proofErr w:type="gramStart"/>
      <w:r w:rsidRPr="00546952">
        <w:rPr>
          <w:rFonts w:ascii="Palatino Linotype" w:hAnsi="Palatino Linotype" w:cs="Arial"/>
          <w:sz w:val="22"/>
          <w:lang w:val="en-US"/>
        </w:rPr>
        <w:t>The</w:t>
      </w:r>
      <w:proofErr w:type="gramEnd"/>
      <w:r w:rsidRPr="00546952">
        <w:rPr>
          <w:rFonts w:ascii="Palatino Linotype" w:hAnsi="Palatino Linotype" w:cs="Arial"/>
          <w:sz w:val="22"/>
          <w:lang w:val="en-US"/>
        </w:rPr>
        <w:t xml:space="preserve"> Future of the Professions: How Technology Will Transform The Work of Human Experts (Oxford University Press, 2015)</w:t>
      </w:r>
    </w:p>
    <w:p w14:paraId="359F575D"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 xml:space="preserve">Access to Justice Taskforce, </w:t>
      </w:r>
      <w:proofErr w:type="gramStart"/>
      <w:r w:rsidRPr="00546952">
        <w:rPr>
          <w:rFonts w:ascii="Palatino Linotype" w:hAnsi="Palatino Linotype" w:cs="Arial"/>
          <w:sz w:val="22"/>
          <w:lang w:val="en-US"/>
        </w:rPr>
        <w:t>A</w:t>
      </w:r>
      <w:proofErr w:type="gramEnd"/>
      <w:r w:rsidRPr="00546952">
        <w:rPr>
          <w:rFonts w:ascii="Palatino Linotype" w:hAnsi="Palatino Linotype" w:cs="Arial"/>
          <w:sz w:val="22"/>
          <w:lang w:val="en-US"/>
        </w:rPr>
        <w:t xml:space="preserve"> Strategic Framework for Justice in the Federal Civil Justice System (2009) </w:t>
      </w:r>
    </w:p>
    <w:p w14:paraId="14F7D532"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r w:rsidRPr="00546952">
        <w:rPr>
          <w:rFonts w:ascii="Palatino Linotype" w:hAnsi="Palatino Linotype" w:cs="Arial"/>
          <w:sz w:val="22"/>
          <w:lang w:val="en-US"/>
        </w:rPr>
        <w:t>Access to Justice Review Summary Report August 2016</w:t>
      </w:r>
    </w:p>
    <w:p w14:paraId="4BA0E35A" w14:textId="77777777" w:rsidR="008E64D7" w:rsidRPr="00546952" w:rsidRDefault="008E64D7" w:rsidP="00546952">
      <w:pPr>
        <w:widowControl w:val="0"/>
        <w:autoSpaceDE w:val="0"/>
        <w:autoSpaceDN w:val="0"/>
        <w:adjustRightInd w:val="0"/>
        <w:spacing w:line="360" w:lineRule="auto"/>
        <w:jc w:val="both"/>
        <w:rPr>
          <w:rFonts w:ascii="Palatino Linotype" w:hAnsi="Palatino Linotype" w:cs="Arial"/>
          <w:sz w:val="22"/>
          <w:lang w:val="en-US"/>
        </w:rPr>
      </w:pPr>
      <w:proofErr w:type="spellStart"/>
      <w:r w:rsidRPr="00546952">
        <w:rPr>
          <w:rFonts w:ascii="Palatino Linotype" w:hAnsi="Palatino Linotype" w:cs="Arial"/>
          <w:sz w:val="22"/>
          <w:lang w:val="en-US"/>
        </w:rPr>
        <w:t>Wolski</w:t>
      </w:r>
      <w:proofErr w:type="spellEnd"/>
      <w:r w:rsidRPr="00546952">
        <w:rPr>
          <w:rFonts w:ascii="Palatino Linotype" w:hAnsi="Palatino Linotype" w:cs="Arial"/>
          <w:sz w:val="22"/>
          <w:lang w:val="en-US"/>
        </w:rPr>
        <w:t xml:space="preserve">, </w:t>
      </w:r>
      <w:proofErr w:type="spellStart"/>
      <w:r w:rsidRPr="00546952">
        <w:rPr>
          <w:rFonts w:ascii="Palatino Linotype" w:hAnsi="Palatino Linotype" w:cs="Arial"/>
          <w:sz w:val="22"/>
          <w:lang w:val="en-US"/>
        </w:rPr>
        <w:t>Bobette</w:t>
      </w:r>
      <w:proofErr w:type="spellEnd"/>
      <w:r w:rsidRPr="00546952">
        <w:rPr>
          <w:rFonts w:ascii="Palatino Linotype" w:hAnsi="Palatino Linotype" w:cs="Arial"/>
          <w:sz w:val="22"/>
          <w:lang w:val="en-US"/>
        </w:rPr>
        <w:t>, ‘Why, How, and What to Practice: Integrating Skills Teaching and Learning in the Undergraduate Law Curriculum’ (2002) 52 Journal of Legal Education 287</w:t>
      </w:r>
    </w:p>
    <w:sectPr w:rsidR="008E64D7" w:rsidRPr="00546952" w:rsidSect="00D5387D">
      <w:headerReference w:type="default" r:id="rId7"/>
      <w:footerReference w:type="even" r:id="rId8"/>
      <w:footerReference w:type="default" r:id="rId9"/>
      <w:pgSz w:w="11900" w:h="16840"/>
      <w:pgMar w:top="1440" w:right="1800" w:bottom="1440" w:left="1800" w:header="708" w:footer="708"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74AAD" w14:textId="77777777" w:rsidR="00196E23" w:rsidRDefault="00196E23" w:rsidP="009C79F6">
      <w:r>
        <w:separator/>
      </w:r>
    </w:p>
  </w:endnote>
  <w:endnote w:type="continuationSeparator" w:id="0">
    <w:p w14:paraId="7896650F" w14:textId="77777777" w:rsidR="00196E23" w:rsidRDefault="00196E23" w:rsidP="009C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49B3" w14:textId="77777777" w:rsidR="00196E23" w:rsidRDefault="00196E23" w:rsidP="004759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E6267D" w14:textId="77777777" w:rsidR="00196E23" w:rsidRDefault="00196E23" w:rsidP="00C95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522690"/>
      <w:docPartObj>
        <w:docPartGallery w:val="Page Numbers (Bottom of Page)"/>
        <w:docPartUnique/>
      </w:docPartObj>
    </w:sdtPr>
    <w:sdtEndPr>
      <w:rPr>
        <w:noProof/>
      </w:rPr>
    </w:sdtEndPr>
    <w:sdtContent>
      <w:p w14:paraId="1D557CB1" w14:textId="26786FE6" w:rsidR="00B532BF" w:rsidRDefault="00B532BF">
        <w:pPr>
          <w:pStyle w:val="Footer"/>
          <w:jc w:val="center"/>
        </w:pPr>
        <w:r>
          <w:fldChar w:fldCharType="begin"/>
        </w:r>
        <w:r>
          <w:instrText xml:space="preserve"> PAGE   \* MERGEFORMAT </w:instrText>
        </w:r>
        <w:r>
          <w:fldChar w:fldCharType="separate"/>
        </w:r>
        <w:r w:rsidR="00D5387D">
          <w:rPr>
            <w:noProof/>
          </w:rPr>
          <w:t>55</w:t>
        </w:r>
        <w:r>
          <w:rPr>
            <w:noProof/>
          </w:rPr>
          <w:fldChar w:fldCharType="end"/>
        </w:r>
      </w:p>
    </w:sdtContent>
  </w:sdt>
  <w:p w14:paraId="01F4AD69" w14:textId="77777777" w:rsidR="00196E23" w:rsidRDefault="00196E23" w:rsidP="00C95C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DA67" w14:textId="77777777" w:rsidR="00196E23" w:rsidRDefault="00196E23" w:rsidP="009C79F6">
      <w:r>
        <w:separator/>
      </w:r>
    </w:p>
  </w:footnote>
  <w:footnote w:type="continuationSeparator" w:id="0">
    <w:p w14:paraId="23C3AD4D" w14:textId="77777777" w:rsidR="00196E23" w:rsidRDefault="00196E23" w:rsidP="009C79F6">
      <w:r>
        <w:continuationSeparator/>
      </w:r>
    </w:p>
  </w:footnote>
  <w:footnote w:id="1">
    <w:p w14:paraId="13238FF7"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Tania </w:t>
      </w:r>
      <w:proofErr w:type="spellStart"/>
      <w:r w:rsidRPr="00546952">
        <w:rPr>
          <w:rFonts w:ascii="Palatino Linotype" w:hAnsi="Palatino Linotype" w:cs="Arial"/>
          <w:sz w:val="20"/>
          <w:szCs w:val="20"/>
          <w:lang w:val="en-US"/>
        </w:rPr>
        <w:t>Sourdin</w:t>
      </w:r>
      <w:proofErr w:type="spellEnd"/>
      <w:r w:rsidRPr="00546952">
        <w:rPr>
          <w:rFonts w:ascii="Palatino Linotype" w:hAnsi="Palatino Linotype" w:cs="Arial"/>
          <w:sz w:val="20"/>
          <w:szCs w:val="20"/>
          <w:lang w:val="en-US"/>
        </w:rPr>
        <w:t xml:space="preserve">, </w:t>
      </w:r>
      <w:r w:rsidRPr="00546952">
        <w:rPr>
          <w:rFonts w:ascii="Palatino Linotype" w:hAnsi="Palatino Linotype" w:cs="Arial"/>
          <w:i/>
          <w:sz w:val="20"/>
          <w:szCs w:val="20"/>
          <w:lang w:val="en-US"/>
        </w:rPr>
        <w:t>Alternative Dispute Resolution</w:t>
      </w:r>
      <w:r w:rsidRPr="00546952">
        <w:rPr>
          <w:rFonts w:ascii="Palatino Linotype" w:hAnsi="Palatino Linotype" w:cs="Arial"/>
          <w:sz w:val="20"/>
          <w:szCs w:val="20"/>
          <w:lang w:val="en-US"/>
        </w:rPr>
        <w:t xml:space="preserve">  (LBC </w:t>
      </w:r>
      <w:proofErr w:type="spellStart"/>
      <w:r w:rsidRPr="00546952">
        <w:rPr>
          <w:rFonts w:ascii="Palatino Linotype" w:hAnsi="Palatino Linotype" w:cs="Arial"/>
          <w:sz w:val="20"/>
          <w:szCs w:val="20"/>
          <w:lang w:val="en-US"/>
        </w:rPr>
        <w:t>Thomsons</w:t>
      </w:r>
      <w:proofErr w:type="spellEnd"/>
      <w:r w:rsidRPr="00546952">
        <w:rPr>
          <w:rFonts w:ascii="Palatino Linotype" w:hAnsi="Palatino Linotype" w:cs="Arial"/>
          <w:sz w:val="20"/>
          <w:szCs w:val="20"/>
          <w:lang w:val="en-US"/>
        </w:rPr>
        <w:t xml:space="preserve">, 5th </w:t>
      </w:r>
      <w:proofErr w:type="spellStart"/>
      <w:r w:rsidRPr="00546952">
        <w:rPr>
          <w:rFonts w:ascii="Palatino Linotype" w:hAnsi="Palatino Linotype" w:cs="Arial"/>
          <w:sz w:val="20"/>
          <w:szCs w:val="20"/>
          <w:lang w:val="en-US"/>
        </w:rPr>
        <w:t>ed</w:t>
      </w:r>
      <w:proofErr w:type="spellEnd"/>
      <w:r w:rsidRPr="00546952">
        <w:rPr>
          <w:rFonts w:ascii="Palatino Linotype" w:hAnsi="Palatino Linotype" w:cs="Arial"/>
          <w:sz w:val="20"/>
          <w:szCs w:val="20"/>
          <w:lang w:val="en-US"/>
        </w:rPr>
        <w:t>, 2015) 13</w:t>
      </w:r>
    </w:p>
  </w:footnote>
  <w:footnote w:id="2">
    <w:p w14:paraId="5656A76F"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 12.</w:t>
      </w:r>
    </w:p>
  </w:footnote>
  <w:footnote w:id="3">
    <w:p w14:paraId="556229B6"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Ibid. </w:t>
      </w:r>
      <w:bookmarkStart w:id="0" w:name="_GoBack"/>
      <w:bookmarkEnd w:id="0"/>
    </w:p>
  </w:footnote>
  <w:footnote w:id="4">
    <w:p w14:paraId="0C43BF96"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Carrie </w:t>
      </w:r>
      <w:proofErr w:type="spellStart"/>
      <w:r w:rsidRPr="00546952">
        <w:rPr>
          <w:rFonts w:ascii="Palatino Linotype" w:hAnsi="Palatino Linotype" w:cs="Arial"/>
          <w:sz w:val="20"/>
          <w:szCs w:val="20"/>
        </w:rPr>
        <w:t>Menkel</w:t>
      </w:r>
      <w:proofErr w:type="spellEnd"/>
      <w:r w:rsidRPr="00546952">
        <w:rPr>
          <w:rFonts w:ascii="Palatino Linotype" w:hAnsi="Palatino Linotype" w:cs="Arial"/>
          <w:sz w:val="20"/>
          <w:szCs w:val="20"/>
        </w:rPr>
        <w:t xml:space="preserve">-Meadow, ‘Ethics in Alternative Dispute Resolution: New Issues, No </w:t>
      </w:r>
    </w:p>
    <w:p w14:paraId="2023DBD8" w14:textId="77777777"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Answers from the Adversary Conception of Lawyers’ Responsibilities’ (1997) 38 </w:t>
      </w:r>
    </w:p>
    <w:p w14:paraId="067F5F23" w14:textId="6E48A253"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w:t>
      </w:r>
      <w:r w:rsidRPr="00546952">
        <w:rPr>
          <w:rFonts w:ascii="Palatino Linotype" w:hAnsi="Palatino Linotype" w:cs="Arial"/>
          <w:i/>
          <w:iCs/>
          <w:sz w:val="20"/>
          <w:szCs w:val="20"/>
        </w:rPr>
        <w:t>South Texas Law Review</w:t>
      </w:r>
      <w:r w:rsidRPr="00546952">
        <w:rPr>
          <w:rFonts w:ascii="Palatino Linotype" w:hAnsi="Palatino Linotype" w:cs="Arial"/>
          <w:sz w:val="20"/>
          <w:szCs w:val="20"/>
        </w:rPr>
        <w:t xml:space="preserve"> 407.</w:t>
      </w:r>
    </w:p>
  </w:footnote>
  <w:footnote w:id="5">
    <w:p w14:paraId="5F717650"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6">
    <w:p w14:paraId="10DE8B02"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Hilary Astor and Christine </w:t>
      </w:r>
      <w:proofErr w:type="spellStart"/>
      <w:r w:rsidRPr="00546952">
        <w:rPr>
          <w:rFonts w:ascii="Palatino Linotype" w:hAnsi="Palatino Linotype" w:cs="Arial"/>
          <w:sz w:val="20"/>
          <w:szCs w:val="20"/>
        </w:rPr>
        <w:t>Chinkin</w:t>
      </w:r>
      <w:proofErr w:type="spellEnd"/>
      <w:r w:rsidRPr="00546952">
        <w:rPr>
          <w:rFonts w:ascii="Palatino Linotype" w:hAnsi="Palatino Linotype" w:cs="Arial"/>
          <w:sz w:val="20"/>
          <w:szCs w:val="20"/>
        </w:rPr>
        <w:t xml:space="preserve">, </w:t>
      </w:r>
      <w:r w:rsidRPr="00546952">
        <w:rPr>
          <w:rFonts w:ascii="Palatino Linotype" w:hAnsi="Palatino Linotype" w:cs="Arial"/>
          <w:i/>
          <w:sz w:val="20"/>
          <w:szCs w:val="20"/>
        </w:rPr>
        <w:t>Dispute Resolution in Australia</w:t>
      </w:r>
      <w:r w:rsidRPr="00546952">
        <w:rPr>
          <w:rFonts w:ascii="Palatino Linotype" w:hAnsi="Palatino Linotype" w:cs="Arial"/>
          <w:sz w:val="20"/>
          <w:szCs w:val="20"/>
        </w:rPr>
        <w:t xml:space="preserve"> </w:t>
      </w:r>
    </w:p>
    <w:p w14:paraId="3A179499" w14:textId="26290B91"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(Lexis </w:t>
      </w:r>
      <w:proofErr w:type="spellStart"/>
      <w:r w:rsidRPr="00546952">
        <w:rPr>
          <w:rFonts w:ascii="Palatino Linotype" w:hAnsi="Palatino Linotype" w:cs="Arial"/>
          <w:sz w:val="20"/>
          <w:szCs w:val="20"/>
        </w:rPr>
        <w:t>Nexis</w:t>
      </w:r>
      <w:proofErr w:type="spellEnd"/>
      <w:r w:rsidRPr="00546952">
        <w:rPr>
          <w:rFonts w:ascii="Palatino Linotype" w:hAnsi="Palatino Linotype" w:cs="Arial"/>
          <w:sz w:val="20"/>
          <w:szCs w:val="20"/>
        </w:rPr>
        <w:t xml:space="preserve">, </w:t>
      </w:r>
      <w:proofErr w:type="spellStart"/>
      <w:r w:rsidRPr="00546952">
        <w:rPr>
          <w:rFonts w:ascii="Palatino Linotype" w:hAnsi="Palatino Linotype" w:cs="Arial"/>
          <w:sz w:val="20"/>
          <w:szCs w:val="20"/>
        </w:rPr>
        <w:t>Butterworths</w:t>
      </w:r>
      <w:proofErr w:type="spellEnd"/>
      <w:r w:rsidRPr="00546952">
        <w:rPr>
          <w:rFonts w:ascii="Palatino Linotype" w:hAnsi="Palatino Linotype" w:cs="Arial"/>
          <w:sz w:val="20"/>
          <w:szCs w:val="20"/>
        </w:rPr>
        <w:t>, 2</w:t>
      </w:r>
      <w:r w:rsidRPr="00546952">
        <w:rPr>
          <w:rFonts w:ascii="Palatino Linotype" w:hAnsi="Palatino Linotype" w:cs="Arial"/>
          <w:sz w:val="20"/>
          <w:szCs w:val="20"/>
          <w:vertAlign w:val="superscript"/>
        </w:rPr>
        <w:t>nd</w:t>
      </w:r>
      <w:r w:rsidRPr="00546952">
        <w:rPr>
          <w:rFonts w:ascii="Palatino Linotype" w:hAnsi="Palatino Linotype" w:cs="Arial"/>
          <w:sz w:val="20"/>
          <w:szCs w:val="20"/>
        </w:rPr>
        <w:t xml:space="preserve"> </w:t>
      </w:r>
      <w:proofErr w:type="spellStart"/>
      <w:r w:rsidRPr="00546952">
        <w:rPr>
          <w:rFonts w:ascii="Palatino Linotype" w:hAnsi="Palatino Linotype" w:cs="Arial"/>
          <w:sz w:val="20"/>
          <w:szCs w:val="20"/>
        </w:rPr>
        <w:t>ed</w:t>
      </w:r>
      <w:proofErr w:type="spellEnd"/>
      <w:r w:rsidRPr="00546952">
        <w:rPr>
          <w:rFonts w:ascii="Palatino Linotype" w:hAnsi="Palatino Linotype" w:cs="Arial"/>
          <w:sz w:val="20"/>
          <w:szCs w:val="20"/>
        </w:rPr>
        <w:t>, 2002) 5</w:t>
      </w:r>
    </w:p>
  </w:footnote>
  <w:footnote w:id="7">
    <w:p w14:paraId="651EFC6D" w14:textId="77777777" w:rsidR="00196E23" w:rsidRPr="00546952" w:rsidRDefault="00196E23" w:rsidP="009C79F6">
      <w:pPr>
        <w:autoSpaceDE w:val="0"/>
        <w:autoSpaceDN w:val="0"/>
        <w:adjustRightInd w:val="0"/>
        <w:rPr>
          <w:rFonts w:ascii="Palatino Linotype" w:eastAsiaTheme="minorHAnsi"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eastAsiaTheme="minorHAnsi" w:hAnsi="Palatino Linotype" w:cs="Arial"/>
          <w:sz w:val="20"/>
          <w:szCs w:val="20"/>
        </w:rPr>
        <w:t xml:space="preserve">See for a discussion of the history and growth of ADR in Australia: Astor and </w:t>
      </w:r>
      <w:proofErr w:type="spellStart"/>
      <w:r w:rsidRPr="00546952">
        <w:rPr>
          <w:rFonts w:ascii="Palatino Linotype" w:eastAsiaTheme="minorHAnsi" w:hAnsi="Palatino Linotype" w:cs="Arial"/>
          <w:sz w:val="20"/>
          <w:szCs w:val="20"/>
        </w:rPr>
        <w:t>Chinkin</w:t>
      </w:r>
      <w:proofErr w:type="spellEnd"/>
      <w:r w:rsidRPr="00546952">
        <w:rPr>
          <w:rFonts w:ascii="Palatino Linotype" w:eastAsiaTheme="minorHAnsi" w:hAnsi="Palatino Linotype" w:cs="Arial"/>
          <w:sz w:val="20"/>
          <w:szCs w:val="20"/>
        </w:rPr>
        <w:t xml:space="preserve">, </w:t>
      </w:r>
    </w:p>
    <w:p w14:paraId="6BCE8099" w14:textId="4504B157" w:rsidR="00196E23" w:rsidRPr="00546952" w:rsidRDefault="007B1272" w:rsidP="009C79F6">
      <w:pPr>
        <w:autoSpaceDE w:val="0"/>
        <w:autoSpaceDN w:val="0"/>
        <w:adjustRightInd w:val="0"/>
        <w:rPr>
          <w:rFonts w:ascii="Palatino Linotype" w:hAnsi="Palatino Linotype" w:cs="Arial"/>
          <w:sz w:val="20"/>
          <w:szCs w:val="20"/>
          <w:lang w:val="en-US"/>
        </w:rPr>
      </w:pPr>
      <w:r w:rsidRPr="00546952">
        <w:rPr>
          <w:rFonts w:ascii="Palatino Linotype" w:eastAsiaTheme="minorHAnsi" w:hAnsi="Palatino Linotype" w:cs="Arial"/>
          <w:sz w:val="20"/>
          <w:szCs w:val="20"/>
        </w:rPr>
        <w:t xml:space="preserve">  above </w:t>
      </w:r>
      <w:r w:rsidR="00196E23" w:rsidRPr="00546952">
        <w:rPr>
          <w:rFonts w:ascii="Palatino Linotype" w:eastAsiaTheme="minorHAnsi" w:hAnsi="Palatino Linotype" w:cs="Arial"/>
          <w:sz w:val="20"/>
          <w:szCs w:val="20"/>
        </w:rPr>
        <w:t>n 6</w:t>
      </w:r>
    </w:p>
  </w:footnote>
  <w:footnote w:id="8">
    <w:p w14:paraId="6C28513C" w14:textId="69B7BACA"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A </w:t>
      </w:r>
      <w:proofErr w:type="spellStart"/>
      <w:r w:rsidRPr="00546952">
        <w:rPr>
          <w:rFonts w:ascii="Palatino Linotype" w:hAnsi="Palatino Linotype" w:cs="Arial"/>
          <w:sz w:val="20"/>
          <w:szCs w:val="20"/>
          <w:lang w:val="en-US"/>
        </w:rPr>
        <w:t>Ardagh</w:t>
      </w:r>
      <w:proofErr w:type="spellEnd"/>
      <w:r w:rsidRPr="00546952">
        <w:rPr>
          <w:rFonts w:ascii="Palatino Linotype" w:hAnsi="Palatino Linotype" w:cs="Arial"/>
          <w:sz w:val="20"/>
          <w:szCs w:val="20"/>
          <w:lang w:val="en-US"/>
        </w:rPr>
        <w:t xml:space="preserve"> and G </w:t>
      </w:r>
      <w:proofErr w:type="spellStart"/>
      <w:r w:rsidRPr="00546952">
        <w:rPr>
          <w:rFonts w:ascii="Palatino Linotype" w:hAnsi="Palatino Linotype" w:cs="Arial"/>
          <w:sz w:val="20"/>
          <w:szCs w:val="20"/>
          <w:lang w:val="en-US"/>
        </w:rPr>
        <w:t>Cumes</w:t>
      </w:r>
      <w:proofErr w:type="spellEnd"/>
      <w:r w:rsidRPr="00546952">
        <w:rPr>
          <w:rFonts w:ascii="Palatino Linotype" w:hAnsi="Palatino Linotype" w:cs="Arial"/>
          <w:sz w:val="20"/>
          <w:szCs w:val="20"/>
          <w:lang w:val="en-US"/>
        </w:rPr>
        <w:t xml:space="preserve">, The legal profession post-ADR: from mediation to collaborative law (Australia) (2007) 18 </w:t>
      </w:r>
      <w:r w:rsidRPr="00546952">
        <w:rPr>
          <w:rFonts w:ascii="Palatino Linotype" w:hAnsi="Palatino Linotype" w:cs="Arial"/>
          <w:i/>
          <w:sz w:val="20"/>
          <w:szCs w:val="20"/>
          <w:lang w:val="en-US"/>
        </w:rPr>
        <w:t>Alternative Dispute Resolution Journal</w:t>
      </w:r>
      <w:r w:rsidRPr="00546952">
        <w:rPr>
          <w:rFonts w:ascii="Palatino Linotype" w:hAnsi="Palatino Linotype" w:cs="Arial"/>
          <w:sz w:val="20"/>
          <w:szCs w:val="20"/>
          <w:lang w:val="en-US"/>
        </w:rPr>
        <w:t xml:space="preserve">  205</w:t>
      </w:r>
    </w:p>
  </w:footnote>
  <w:footnote w:id="9">
    <w:p w14:paraId="61C15B1D" w14:textId="3285B1C1"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r w:rsidR="00675C8D" w:rsidRPr="00546952">
        <w:rPr>
          <w:rFonts w:ascii="Palatino Linotype" w:hAnsi="Palatino Linotype" w:cs="Arial"/>
          <w:sz w:val="20"/>
          <w:szCs w:val="20"/>
          <w:lang w:val="en-US"/>
        </w:rPr>
        <w:t>.</w:t>
      </w:r>
    </w:p>
  </w:footnote>
  <w:footnote w:id="10">
    <w:p w14:paraId="51D14C2A" w14:textId="75D61F8F"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w:t>
      </w:r>
      <w:r w:rsidR="00675C8D" w:rsidRPr="00546952">
        <w:rPr>
          <w:rFonts w:ascii="Palatino Linotype" w:hAnsi="Palatino Linotype" w:cs="Arial"/>
          <w:sz w:val="20"/>
          <w:szCs w:val="20"/>
          <w:lang w:val="en-US"/>
        </w:rPr>
        <w:t>.</w:t>
      </w:r>
    </w:p>
  </w:footnote>
  <w:footnote w:id="11">
    <w:p w14:paraId="6563BEEC" w14:textId="78948C45"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w:t>
      </w:r>
      <w:r w:rsidR="00675C8D" w:rsidRPr="00546952">
        <w:rPr>
          <w:rFonts w:ascii="Palatino Linotype" w:hAnsi="Palatino Linotype" w:cs="Arial"/>
          <w:sz w:val="20"/>
          <w:szCs w:val="20"/>
          <w:lang w:val="en-US"/>
        </w:rPr>
        <w:t>.</w:t>
      </w:r>
    </w:p>
  </w:footnote>
  <w:footnote w:id="12">
    <w:p w14:paraId="765EF740" w14:textId="77777777" w:rsidR="00196E23" w:rsidRPr="00546952" w:rsidRDefault="00196E23" w:rsidP="008A5C65">
      <w:pPr>
        <w:pStyle w:val="FootnoteText"/>
        <w:rPr>
          <w:rFonts w:ascii="Palatino Linotype" w:hAnsi="Palatino Linotype" w:cs="Arial"/>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 xml:space="preserve">as cited in </w:t>
      </w:r>
      <w:r w:rsidRPr="00546952">
        <w:rPr>
          <w:rFonts w:ascii="Palatino Linotype" w:hAnsi="Palatino Linotype" w:cs="Arial"/>
          <w:sz w:val="20"/>
        </w:rPr>
        <w:t xml:space="preserve">M King, A Freiberg, B </w:t>
      </w:r>
      <w:proofErr w:type="spellStart"/>
      <w:r w:rsidRPr="00546952">
        <w:rPr>
          <w:rFonts w:ascii="Palatino Linotype" w:hAnsi="Palatino Linotype" w:cs="Arial"/>
          <w:sz w:val="20"/>
        </w:rPr>
        <w:t>Batagol</w:t>
      </w:r>
      <w:proofErr w:type="spellEnd"/>
      <w:r w:rsidRPr="00546952">
        <w:rPr>
          <w:rFonts w:ascii="Palatino Linotype" w:hAnsi="Palatino Linotype" w:cs="Arial"/>
          <w:sz w:val="20"/>
        </w:rPr>
        <w:t xml:space="preserve">, R </w:t>
      </w:r>
      <w:proofErr w:type="spellStart"/>
      <w:r w:rsidRPr="00546952">
        <w:rPr>
          <w:rFonts w:ascii="Palatino Linotype" w:hAnsi="Palatino Linotype" w:cs="Arial"/>
          <w:sz w:val="20"/>
        </w:rPr>
        <w:t>Hyams</w:t>
      </w:r>
      <w:proofErr w:type="spellEnd"/>
      <w:r w:rsidRPr="00546952">
        <w:rPr>
          <w:rFonts w:ascii="Palatino Linotype" w:hAnsi="Palatino Linotype" w:cs="Arial"/>
          <w:sz w:val="20"/>
        </w:rPr>
        <w:t>,</w:t>
      </w:r>
      <w:r w:rsidRPr="00546952">
        <w:rPr>
          <w:rFonts w:ascii="Palatino Linotype" w:hAnsi="Palatino Linotype" w:cs="Arial"/>
          <w:sz w:val="20"/>
          <w:szCs w:val="20"/>
          <w:lang w:val="en-US"/>
        </w:rPr>
        <w:t xml:space="preserve"> </w:t>
      </w:r>
      <w:r w:rsidRPr="00546952">
        <w:rPr>
          <w:rFonts w:ascii="Palatino Linotype" w:hAnsi="Palatino Linotype" w:cs="Arial"/>
          <w:i/>
          <w:sz w:val="20"/>
          <w:szCs w:val="20"/>
          <w:lang w:val="en-US"/>
        </w:rPr>
        <w:t>Non-Adversarial Justice</w:t>
      </w:r>
      <w:r w:rsidRPr="00546952">
        <w:rPr>
          <w:rFonts w:ascii="Palatino Linotype" w:hAnsi="Palatino Linotype" w:cs="Arial"/>
          <w:sz w:val="20"/>
          <w:szCs w:val="20"/>
          <w:lang w:val="en-US"/>
        </w:rPr>
        <w:t xml:space="preserve"> </w:t>
      </w:r>
    </w:p>
    <w:p w14:paraId="34405168" w14:textId="77777777" w:rsidR="00196E23" w:rsidRPr="00546952" w:rsidRDefault="00196E23" w:rsidP="008A5C65">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(The Federation Press, 2009) 116</w:t>
      </w:r>
    </w:p>
  </w:footnote>
  <w:footnote w:id="13">
    <w:p w14:paraId="227FBFB3" w14:textId="513BA778" w:rsidR="00196E23" w:rsidRPr="00546952" w:rsidRDefault="00196E23" w:rsidP="008A5C65">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r w:rsidR="00675C8D" w:rsidRPr="00546952">
        <w:rPr>
          <w:rFonts w:ascii="Palatino Linotype" w:hAnsi="Palatino Linotype" w:cs="Arial"/>
          <w:sz w:val="20"/>
          <w:szCs w:val="20"/>
          <w:lang w:val="en-US"/>
        </w:rPr>
        <w:t>.</w:t>
      </w:r>
    </w:p>
  </w:footnote>
  <w:footnote w:id="14">
    <w:p w14:paraId="19EA035B" w14:textId="77777777" w:rsidR="00196E23" w:rsidRPr="00546952" w:rsidRDefault="00196E23" w:rsidP="008A5C65">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Ibid, note: The court was abolished in 1956 following a decision of the High Court in </w:t>
      </w:r>
    </w:p>
    <w:p w14:paraId="418F7EEB" w14:textId="77777777" w:rsidR="00196E23" w:rsidRPr="00546952" w:rsidRDefault="00196E23" w:rsidP="008A5C65">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w:t>
      </w:r>
      <w:proofErr w:type="gramStart"/>
      <w:r w:rsidRPr="00546952">
        <w:rPr>
          <w:rFonts w:ascii="Palatino Linotype" w:hAnsi="Palatino Linotype" w:cs="Arial"/>
          <w:sz w:val="20"/>
          <w:szCs w:val="20"/>
          <w:lang w:val="en-US"/>
        </w:rPr>
        <w:t>the</w:t>
      </w:r>
      <w:proofErr w:type="gramEnd"/>
      <w:r w:rsidRPr="00546952">
        <w:rPr>
          <w:rFonts w:ascii="Palatino Linotype" w:hAnsi="Palatino Linotype" w:cs="Arial"/>
          <w:sz w:val="20"/>
          <w:szCs w:val="20"/>
          <w:lang w:val="en-US"/>
        </w:rPr>
        <w:t xml:space="preserve"> Boilermakers' case. The High Court held that the Court of Conciliation and Arbitration,</w:t>
      </w:r>
    </w:p>
    <w:p w14:paraId="3904D470" w14:textId="77777777" w:rsidR="00196E23" w:rsidRPr="00546952" w:rsidRDefault="00196E23" w:rsidP="008A5C65">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as a tribunal exercising the non-judicial power of arbitration, could not also exercise </w:t>
      </w:r>
    </w:p>
    <w:p w14:paraId="0956A914" w14:textId="77777777" w:rsidR="00196E23" w:rsidRPr="00546952" w:rsidRDefault="00196E23" w:rsidP="008A5C65">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w:t>
      </w:r>
      <w:proofErr w:type="gramStart"/>
      <w:r w:rsidRPr="00546952">
        <w:rPr>
          <w:rFonts w:ascii="Palatino Linotype" w:hAnsi="Palatino Linotype" w:cs="Arial"/>
          <w:sz w:val="20"/>
          <w:szCs w:val="20"/>
          <w:lang w:val="en-US"/>
        </w:rPr>
        <w:t>judicial</w:t>
      </w:r>
      <w:proofErr w:type="gramEnd"/>
      <w:r w:rsidRPr="00546952">
        <w:rPr>
          <w:rFonts w:ascii="Palatino Linotype" w:hAnsi="Palatino Linotype" w:cs="Arial"/>
          <w:sz w:val="20"/>
          <w:szCs w:val="20"/>
          <w:lang w:val="en-US"/>
        </w:rPr>
        <w:t xml:space="preserve"> power as a Chapter III Court.</w:t>
      </w:r>
    </w:p>
  </w:footnote>
  <w:footnote w:id="15">
    <w:p w14:paraId="5717E70B" w14:textId="789DA069"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proofErr w:type="spellStart"/>
      <w:r w:rsidRPr="00546952">
        <w:rPr>
          <w:rFonts w:ascii="Palatino Linotype" w:hAnsi="Palatino Linotype" w:cs="Arial"/>
          <w:sz w:val="20"/>
          <w:szCs w:val="20"/>
          <w:lang w:val="en-US"/>
        </w:rPr>
        <w:t>Sourdin</w:t>
      </w:r>
      <w:proofErr w:type="spellEnd"/>
      <w:r w:rsidR="00DA2E12"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above n 1</w:t>
      </w:r>
      <w:r w:rsidR="00DA2E12"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14</w:t>
      </w:r>
      <w:r w:rsidR="00DA2E12" w:rsidRPr="00546952">
        <w:rPr>
          <w:rFonts w:ascii="Palatino Linotype" w:hAnsi="Palatino Linotype" w:cs="Arial"/>
          <w:sz w:val="20"/>
          <w:szCs w:val="20"/>
          <w:lang w:val="en-US"/>
        </w:rPr>
        <w:t>.</w:t>
      </w:r>
    </w:p>
  </w:footnote>
  <w:footnote w:id="16">
    <w:p w14:paraId="42488516" w14:textId="77777777" w:rsidR="000A3947" w:rsidRPr="00546952" w:rsidRDefault="00196E23">
      <w:pPr>
        <w:pStyle w:val="FootnoteText"/>
        <w:rPr>
          <w:rFonts w:ascii="Palatino Linotype" w:hAnsi="Palatino Linotype" w:cs="Arial"/>
          <w:i/>
          <w:sz w:val="20"/>
          <w:szCs w:val="20"/>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szCs w:val="20"/>
          <w:lang w:val="en-US"/>
        </w:rPr>
        <w:t xml:space="preserve">Ibid citing R Fisher, W </w:t>
      </w:r>
      <w:proofErr w:type="spellStart"/>
      <w:r w:rsidRPr="00546952">
        <w:rPr>
          <w:rFonts w:ascii="Palatino Linotype" w:hAnsi="Palatino Linotype" w:cs="Arial"/>
          <w:sz w:val="20"/>
          <w:szCs w:val="20"/>
          <w:lang w:val="en-US"/>
        </w:rPr>
        <w:t>Ury</w:t>
      </w:r>
      <w:proofErr w:type="spellEnd"/>
      <w:r w:rsidRPr="00546952">
        <w:rPr>
          <w:rFonts w:ascii="Palatino Linotype" w:hAnsi="Palatino Linotype" w:cs="Arial"/>
          <w:sz w:val="20"/>
          <w:szCs w:val="20"/>
          <w:lang w:val="en-US"/>
        </w:rPr>
        <w:t xml:space="preserve">, </w:t>
      </w:r>
      <w:r w:rsidRPr="00546952">
        <w:rPr>
          <w:rFonts w:ascii="Palatino Linotype" w:hAnsi="Palatino Linotype" w:cs="Arial"/>
          <w:i/>
          <w:sz w:val="20"/>
          <w:szCs w:val="20"/>
          <w:lang w:val="en-US"/>
        </w:rPr>
        <w:t xml:space="preserve">Getting to Yes: Negotiating Agreement Without Giving </w:t>
      </w:r>
    </w:p>
    <w:p w14:paraId="461BA33B" w14:textId="4EF0B256" w:rsidR="00196E23" w:rsidRPr="00546952" w:rsidRDefault="000A3947">
      <w:pPr>
        <w:pStyle w:val="FootnoteText"/>
        <w:rPr>
          <w:rFonts w:ascii="Palatino Linotype" w:hAnsi="Palatino Linotype"/>
          <w:lang w:val="en-US"/>
        </w:rPr>
      </w:pPr>
      <w:r w:rsidRPr="00546952">
        <w:rPr>
          <w:rFonts w:ascii="Palatino Linotype" w:hAnsi="Palatino Linotype" w:cs="Arial"/>
          <w:i/>
          <w:sz w:val="20"/>
          <w:szCs w:val="20"/>
          <w:lang w:val="en-US"/>
        </w:rPr>
        <w:t xml:space="preserve">    </w:t>
      </w:r>
      <w:r w:rsidR="00196E23" w:rsidRPr="00546952">
        <w:rPr>
          <w:rFonts w:ascii="Palatino Linotype" w:hAnsi="Palatino Linotype" w:cs="Arial"/>
          <w:i/>
          <w:sz w:val="20"/>
          <w:szCs w:val="20"/>
          <w:lang w:val="en-US"/>
        </w:rPr>
        <w:t>In</w:t>
      </w:r>
      <w:r w:rsidR="00196E23" w:rsidRPr="00546952">
        <w:rPr>
          <w:rFonts w:ascii="Palatino Linotype" w:hAnsi="Palatino Linotype" w:cs="Arial"/>
          <w:sz w:val="20"/>
          <w:szCs w:val="20"/>
          <w:lang w:val="en-US"/>
        </w:rPr>
        <w:t xml:space="preserve"> (Houghton Mifflin, Boston, 1981). </w:t>
      </w:r>
    </w:p>
  </w:footnote>
  <w:footnote w:id="17">
    <w:p w14:paraId="09D34780" w14:textId="282D6106" w:rsidR="00196E23" w:rsidRPr="00546952" w:rsidRDefault="00196E23" w:rsidP="00B960A9">
      <w:pPr>
        <w:pStyle w:val="FootnoteText"/>
        <w:rPr>
          <w:rFonts w:ascii="Palatino Linotype" w:hAnsi="Palatino Linotype" w:cs="Arial"/>
          <w:sz w:val="20"/>
          <w:lang w:val="en-US"/>
        </w:rPr>
      </w:pPr>
      <w:r w:rsidRPr="00546952">
        <w:rPr>
          <w:rStyle w:val="FootnoteReference"/>
          <w:rFonts w:ascii="Palatino Linotype" w:hAnsi="Palatino Linotype"/>
        </w:rPr>
        <w:footnoteRef/>
      </w:r>
      <w:r w:rsidRPr="00546952">
        <w:rPr>
          <w:rFonts w:ascii="Palatino Linotype" w:hAnsi="Palatino Linotype"/>
        </w:rPr>
        <w:t xml:space="preserve"> </w:t>
      </w:r>
      <w:proofErr w:type="spellStart"/>
      <w:r w:rsidR="00C11E59" w:rsidRPr="00546952">
        <w:rPr>
          <w:rFonts w:ascii="Palatino Linotype" w:hAnsi="Palatino Linotype" w:cs="Arial"/>
          <w:sz w:val="20"/>
        </w:rPr>
        <w:t>Sourdin</w:t>
      </w:r>
      <w:proofErr w:type="spellEnd"/>
      <w:r w:rsidR="00491352" w:rsidRPr="00546952">
        <w:rPr>
          <w:rFonts w:ascii="Palatino Linotype" w:hAnsi="Palatino Linotype" w:cs="Arial"/>
          <w:sz w:val="20"/>
        </w:rPr>
        <w:t>,</w:t>
      </w:r>
      <w:r w:rsidR="002E2014" w:rsidRPr="00546952">
        <w:rPr>
          <w:rFonts w:ascii="Palatino Linotype" w:hAnsi="Palatino Linotype" w:cs="Arial"/>
          <w:sz w:val="20"/>
        </w:rPr>
        <w:t xml:space="preserve"> above n 1</w:t>
      </w:r>
      <w:r w:rsidR="00491352" w:rsidRPr="00546952">
        <w:rPr>
          <w:rFonts w:ascii="Palatino Linotype" w:hAnsi="Palatino Linotype" w:cs="Arial"/>
          <w:sz w:val="20"/>
        </w:rPr>
        <w:t>,</w:t>
      </w:r>
      <w:r w:rsidR="002861C8" w:rsidRPr="00546952">
        <w:rPr>
          <w:rFonts w:ascii="Palatino Linotype" w:hAnsi="Palatino Linotype" w:cs="Arial"/>
          <w:sz w:val="20"/>
        </w:rPr>
        <w:t xml:space="preserve"> 45</w:t>
      </w:r>
      <w:r w:rsidR="00491352" w:rsidRPr="00546952">
        <w:rPr>
          <w:rFonts w:ascii="Palatino Linotype" w:hAnsi="Palatino Linotype" w:cs="Arial"/>
          <w:sz w:val="20"/>
        </w:rPr>
        <w:t>.</w:t>
      </w:r>
    </w:p>
  </w:footnote>
  <w:footnote w:id="18">
    <w:p w14:paraId="7078211F" w14:textId="77777777" w:rsidR="00956640" w:rsidRPr="00546952" w:rsidRDefault="00196E23">
      <w:pPr>
        <w:pStyle w:val="FootnoteText"/>
        <w:rPr>
          <w:rFonts w:ascii="Palatino Linotype" w:hAnsi="Palatino Linotype" w:cs="Arial"/>
          <w:sz w:val="20"/>
          <w:szCs w:val="20"/>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szCs w:val="20"/>
          <w:lang w:val="en-US"/>
        </w:rPr>
        <w:t xml:space="preserve">Ibid citing M P Follett, Constructive Conflict, Conference Paper (presented at Bureau </w:t>
      </w:r>
    </w:p>
    <w:p w14:paraId="74AA185C" w14:textId="77777777" w:rsidR="00956640" w:rsidRPr="00546952" w:rsidRDefault="00956640">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w:t>
      </w:r>
      <w:r w:rsidR="00196E23" w:rsidRPr="00546952">
        <w:rPr>
          <w:rFonts w:ascii="Palatino Linotype" w:hAnsi="Palatino Linotype" w:cs="Arial"/>
          <w:sz w:val="20"/>
          <w:szCs w:val="20"/>
          <w:lang w:val="en-US"/>
        </w:rPr>
        <w:t xml:space="preserve">of Personnel Administration Conference, January 1925) reproduced in EM Fox and </w:t>
      </w:r>
    </w:p>
    <w:p w14:paraId="10B88446" w14:textId="3C93987C" w:rsidR="00956640" w:rsidRPr="00546952" w:rsidRDefault="00956640">
      <w:pPr>
        <w:pStyle w:val="FootnoteText"/>
        <w:rPr>
          <w:rFonts w:ascii="Palatino Linotype" w:hAnsi="Palatino Linotype" w:cs="Arial"/>
          <w:i/>
          <w:sz w:val="20"/>
          <w:szCs w:val="20"/>
          <w:lang w:val="en-US"/>
        </w:rPr>
      </w:pPr>
      <w:r w:rsidRPr="00546952">
        <w:rPr>
          <w:rFonts w:ascii="Palatino Linotype" w:hAnsi="Palatino Linotype" w:cs="Arial"/>
          <w:sz w:val="20"/>
          <w:szCs w:val="20"/>
          <w:lang w:val="en-US"/>
        </w:rPr>
        <w:t xml:space="preserve">    </w:t>
      </w:r>
      <w:r w:rsidR="00196E23" w:rsidRPr="00546952">
        <w:rPr>
          <w:rFonts w:ascii="Palatino Linotype" w:hAnsi="Palatino Linotype" w:cs="Arial"/>
          <w:sz w:val="20"/>
          <w:szCs w:val="20"/>
          <w:lang w:val="en-US"/>
        </w:rPr>
        <w:t xml:space="preserve">L </w:t>
      </w:r>
      <w:proofErr w:type="spellStart"/>
      <w:r w:rsidR="00196E23" w:rsidRPr="00546952">
        <w:rPr>
          <w:rFonts w:ascii="Palatino Linotype" w:hAnsi="Palatino Linotype" w:cs="Arial"/>
          <w:sz w:val="20"/>
          <w:szCs w:val="20"/>
          <w:lang w:val="en-US"/>
        </w:rPr>
        <w:t>Urwick</w:t>
      </w:r>
      <w:proofErr w:type="spellEnd"/>
      <w:r w:rsidR="00196E23" w:rsidRPr="00546952">
        <w:rPr>
          <w:rFonts w:ascii="Palatino Linotype" w:hAnsi="Palatino Linotype" w:cs="Arial"/>
          <w:sz w:val="20"/>
          <w:szCs w:val="20"/>
          <w:lang w:val="en-US"/>
        </w:rPr>
        <w:t xml:space="preserve"> (</w:t>
      </w:r>
      <w:proofErr w:type="spellStart"/>
      <w:r w:rsidR="00196E23" w:rsidRPr="00546952">
        <w:rPr>
          <w:rFonts w:ascii="Palatino Linotype" w:hAnsi="Palatino Linotype" w:cs="Arial"/>
          <w:sz w:val="20"/>
          <w:szCs w:val="20"/>
          <w:lang w:val="en-US"/>
        </w:rPr>
        <w:t>eds</w:t>
      </w:r>
      <w:proofErr w:type="spellEnd"/>
      <w:r w:rsidR="00196E23" w:rsidRPr="00546952">
        <w:rPr>
          <w:rFonts w:ascii="Palatino Linotype" w:hAnsi="Palatino Linotype" w:cs="Arial"/>
          <w:sz w:val="20"/>
          <w:szCs w:val="20"/>
          <w:lang w:val="en-US"/>
        </w:rPr>
        <w:t xml:space="preserve">), </w:t>
      </w:r>
      <w:r w:rsidR="00196E23" w:rsidRPr="00546952">
        <w:rPr>
          <w:rFonts w:ascii="Palatino Linotype" w:hAnsi="Palatino Linotype" w:cs="Arial"/>
          <w:i/>
          <w:sz w:val="20"/>
          <w:szCs w:val="20"/>
          <w:lang w:val="en-US"/>
        </w:rPr>
        <w:t xml:space="preserve">Dynamic Administration: The collected Papers of Mary Parker </w:t>
      </w:r>
      <w:r w:rsidRPr="00546952">
        <w:rPr>
          <w:rFonts w:ascii="Palatino Linotype" w:hAnsi="Palatino Linotype" w:cs="Arial"/>
          <w:i/>
          <w:sz w:val="20"/>
          <w:szCs w:val="20"/>
          <w:lang w:val="en-US"/>
        </w:rPr>
        <w:t xml:space="preserve">   </w:t>
      </w:r>
    </w:p>
    <w:p w14:paraId="6602F2CC" w14:textId="054DB2B1" w:rsidR="00196E23" w:rsidRPr="00546952" w:rsidRDefault="00956640">
      <w:pPr>
        <w:pStyle w:val="FootnoteText"/>
        <w:rPr>
          <w:rFonts w:ascii="Palatino Linotype" w:hAnsi="Palatino Linotype"/>
          <w:lang w:val="en-US"/>
        </w:rPr>
      </w:pPr>
      <w:r w:rsidRPr="00546952">
        <w:rPr>
          <w:rFonts w:ascii="Palatino Linotype" w:hAnsi="Palatino Linotype" w:cs="Arial"/>
          <w:i/>
          <w:sz w:val="20"/>
          <w:szCs w:val="20"/>
          <w:lang w:val="en-US"/>
        </w:rPr>
        <w:t xml:space="preserve">   </w:t>
      </w:r>
      <w:r w:rsidR="00196E23" w:rsidRPr="00546952">
        <w:rPr>
          <w:rFonts w:ascii="Palatino Linotype" w:hAnsi="Palatino Linotype" w:cs="Arial"/>
          <w:i/>
          <w:sz w:val="20"/>
          <w:szCs w:val="20"/>
          <w:lang w:val="en-US"/>
        </w:rPr>
        <w:t>Follett</w:t>
      </w:r>
      <w:r w:rsidR="00196E23" w:rsidRPr="00546952">
        <w:rPr>
          <w:rFonts w:ascii="Palatino Linotype" w:hAnsi="Palatino Linotype" w:cs="Arial"/>
          <w:sz w:val="20"/>
          <w:szCs w:val="20"/>
          <w:lang w:val="en-US"/>
        </w:rPr>
        <w:t xml:space="preserve"> (Pittman, London, 1973)</w:t>
      </w:r>
    </w:p>
  </w:footnote>
  <w:footnote w:id="19">
    <w:p w14:paraId="32341EC1" w14:textId="3738D5BA"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proofErr w:type="spellStart"/>
      <w:r w:rsidRPr="00546952">
        <w:rPr>
          <w:rFonts w:ascii="Palatino Linotype" w:hAnsi="Palatino Linotype" w:cs="Arial"/>
          <w:sz w:val="20"/>
          <w:szCs w:val="20"/>
          <w:lang w:val="en-US"/>
        </w:rPr>
        <w:t>Sourdin</w:t>
      </w:r>
      <w:proofErr w:type="spellEnd"/>
      <w:r w:rsidR="00491352"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above n 1</w:t>
      </w:r>
      <w:r w:rsidR="00491352"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16</w:t>
      </w:r>
      <w:r w:rsidR="00491352" w:rsidRPr="00546952">
        <w:rPr>
          <w:rFonts w:ascii="Palatino Linotype" w:hAnsi="Palatino Linotype" w:cs="Arial"/>
          <w:sz w:val="20"/>
          <w:szCs w:val="20"/>
          <w:lang w:val="en-US"/>
        </w:rPr>
        <w:t>.</w:t>
      </w:r>
    </w:p>
  </w:footnote>
  <w:footnote w:id="20">
    <w:p w14:paraId="396B0CC8" w14:textId="7501E274"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szCs w:val="20"/>
          <w:lang w:val="en-US"/>
        </w:rPr>
        <w:t>Ibid</w:t>
      </w:r>
      <w:r w:rsidR="002861C8" w:rsidRPr="00546952">
        <w:rPr>
          <w:rFonts w:ascii="Palatino Linotype" w:hAnsi="Palatino Linotype" w:cs="Arial"/>
          <w:sz w:val="20"/>
          <w:szCs w:val="20"/>
          <w:lang w:val="en-US"/>
        </w:rPr>
        <w:t>.</w:t>
      </w:r>
    </w:p>
  </w:footnote>
  <w:footnote w:id="21">
    <w:p w14:paraId="6C0AD5CD" w14:textId="6ED7A7E2"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cs="Arial"/>
          <w:sz w:val="20"/>
          <w:szCs w:val="20"/>
        </w:rPr>
        <w:footnoteRef/>
      </w:r>
      <w:r w:rsidRPr="00546952">
        <w:rPr>
          <w:rFonts w:ascii="Palatino Linotype" w:hAnsi="Palatino Linotype"/>
        </w:rPr>
        <w:t xml:space="preserve"> </w:t>
      </w:r>
      <w:r w:rsidRPr="00546952">
        <w:rPr>
          <w:rFonts w:ascii="Palatino Linotype" w:hAnsi="Palatino Linotype" w:cs="Arial"/>
          <w:sz w:val="20"/>
          <w:szCs w:val="20"/>
          <w:lang w:val="en-US"/>
        </w:rPr>
        <w:t>Ibid</w:t>
      </w:r>
      <w:r w:rsidRPr="00546952" w:rsidDel="00D849B7">
        <w:rPr>
          <w:rFonts w:ascii="Palatino Linotype" w:hAnsi="Palatino Linotype" w:cs="Arial"/>
          <w:sz w:val="20"/>
          <w:szCs w:val="20"/>
          <w:lang w:val="en-US"/>
        </w:rPr>
        <w:t xml:space="preserve"> </w:t>
      </w:r>
      <w:r w:rsidRPr="00546952">
        <w:rPr>
          <w:rFonts w:ascii="Palatino Linotype" w:hAnsi="Palatino Linotype" w:cs="Arial"/>
          <w:sz w:val="20"/>
          <w:szCs w:val="20"/>
          <w:lang w:val="en-US"/>
        </w:rPr>
        <w:t>4</w:t>
      </w:r>
      <w:r w:rsidR="00491352" w:rsidRPr="00546952">
        <w:rPr>
          <w:rFonts w:ascii="Palatino Linotype" w:hAnsi="Palatino Linotype" w:cs="Arial"/>
          <w:sz w:val="20"/>
          <w:szCs w:val="20"/>
          <w:lang w:val="en-US"/>
        </w:rPr>
        <w:t>.</w:t>
      </w:r>
    </w:p>
  </w:footnote>
  <w:footnote w:id="22">
    <w:p w14:paraId="76671D19" w14:textId="77777777" w:rsidR="00196E23" w:rsidRPr="00546952" w:rsidRDefault="00196E23" w:rsidP="007E7EDE">
      <w:pPr>
        <w:widowControl w:val="0"/>
        <w:autoSpaceDE w:val="0"/>
        <w:autoSpaceDN w:val="0"/>
        <w:adjustRightInd w:val="0"/>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National Alternative Dispute Resolution Advisory Council (NADRAC), Dispute </w:t>
      </w:r>
    </w:p>
    <w:p w14:paraId="4EE420A5" w14:textId="2D4D58AD" w:rsidR="00196E23" w:rsidRPr="00546952" w:rsidRDefault="00196E23" w:rsidP="007E7EDE">
      <w:pPr>
        <w:widowControl w:val="0"/>
        <w:autoSpaceDE w:val="0"/>
        <w:autoSpaceDN w:val="0"/>
        <w:adjustRightInd w:val="0"/>
        <w:rPr>
          <w:rFonts w:ascii="Palatino Linotype" w:hAnsi="Palatino Linotype" w:cs="Arial"/>
          <w:sz w:val="20"/>
          <w:szCs w:val="20"/>
          <w:lang w:val="en-US"/>
        </w:rPr>
      </w:pPr>
      <w:r w:rsidRPr="00546952">
        <w:rPr>
          <w:rFonts w:ascii="Palatino Linotype" w:hAnsi="Palatino Linotype" w:cs="Arial"/>
          <w:sz w:val="20"/>
          <w:szCs w:val="20"/>
          <w:lang w:val="en-US"/>
        </w:rPr>
        <w:t xml:space="preserve">    Resolution Terms (2003) </w:t>
      </w:r>
      <w:r w:rsidR="00C11E59" w:rsidRPr="00546952">
        <w:rPr>
          <w:rFonts w:ascii="Palatino Linotype" w:hAnsi="Palatino Linotype" w:cs="Arial"/>
          <w:sz w:val="20"/>
          <w:szCs w:val="20"/>
          <w:lang w:val="en-US"/>
        </w:rPr>
        <w:t xml:space="preserve">as quoted in </w:t>
      </w:r>
      <w:proofErr w:type="spellStart"/>
      <w:r w:rsidR="00C11E59" w:rsidRPr="00546952">
        <w:rPr>
          <w:rFonts w:ascii="Palatino Linotype" w:hAnsi="Palatino Linotype" w:cs="Arial"/>
          <w:sz w:val="20"/>
          <w:szCs w:val="20"/>
          <w:lang w:val="en-US"/>
        </w:rPr>
        <w:t>Sourdin</w:t>
      </w:r>
      <w:proofErr w:type="spellEnd"/>
      <w:r w:rsidR="00C11E59" w:rsidRPr="00546952">
        <w:rPr>
          <w:rFonts w:ascii="Palatino Linotype" w:hAnsi="Palatino Linotype" w:cs="Arial"/>
          <w:sz w:val="20"/>
          <w:szCs w:val="20"/>
          <w:lang w:val="en-US"/>
        </w:rPr>
        <w:t xml:space="preserve"> above n 1</w:t>
      </w:r>
      <w:r w:rsidRPr="00546952">
        <w:rPr>
          <w:rFonts w:ascii="Palatino Linotype" w:hAnsi="Palatino Linotype" w:cs="Arial"/>
          <w:sz w:val="20"/>
          <w:szCs w:val="20"/>
          <w:lang w:val="en-US"/>
        </w:rPr>
        <w:t xml:space="preserve"> 3</w:t>
      </w:r>
    </w:p>
  </w:footnote>
  <w:footnote w:id="23">
    <w:p w14:paraId="3EA05181" w14:textId="5728448F"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w:t>
      </w:r>
      <w:r w:rsidR="00EF1982" w:rsidRPr="00546952">
        <w:rPr>
          <w:rFonts w:ascii="Palatino Linotype" w:hAnsi="Palatino Linotype" w:cs="Arial"/>
          <w:sz w:val="20"/>
          <w:szCs w:val="20"/>
          <w:lang w:val="en-US"/>
        </w:rPr>
        <w:t>.</w:t>
      </w:r>
    </w:p>
  </w:footnote>
  <w:footnote w:id="24">
    <w:p w14:paraId="27639FAD" w14:textId="77777777" w:rsidR="00196E23" w:rsidRPr="00546952" w:rsidRDefault="00196E23" w:rsidP="009C79F6">
      <w:pPr>
        <w:pStyle w:val="FootnoteText"/>
        <w:rPr>
          <w:rFonts w:ascii="Palatino Linotype" w:hAnsi="Palatino Linotype" w:cs="Arial"/>
          <w:i/>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i/>
          <w:sz w:val="20"/>
          <w:szCs w:val="20"/>
          <w:lang w:val="en-US"/>
        </w:rPr>
        <w:t>Family Law (Family Dispute Practitioners) Regulations 2008</w:t>
      </w:r>
    </w:p>
  </w:footnote>
  <w:footnote w:id="25">
    <w:p w14:paraId="33F17336" w14:textId="77777777"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Leading Edge Alternative Dispute Resolvers (LEADR)</w:t>
      </w:r>
    </w:p>
  </w:footnote>
  <w:footnote w:id="26">
    <w:p w14:paraId="50DD9D68"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Institute of Arbitrators and Mediators Australia (IAMA); among a range of other state-</w:t>
      </w:r>
    </w:p>
    <w:p w14:paraId="60EC80DC" w14:textId="77777777" w:rsidR="00196E23" w:rsidRPr="00546952" w:rsidRDefault="00196E23" w:rsidP="009C79F6">
      <w:pPr>
        <w:pStyle w:val="FootnoteText"/>
        <w:rPr>
          <w:rFonts w:ascii="Palatino Linotype" w:hAnsi="Palatino Linotype" w:cs="Arial"/>
          <w:sz w:val="20"/>
          <w:szCs w:val="20"/>
          <w:lang w:val="fr-FR"/>
        </w:rPr>
      </w:pPr>
      <w:r w:rsidRPr="00546952">
        <w:rPr>
          <w:rFonts w:ascii="Palatino Linotype" w:hAnsi="Palatino Linotype" w:cs="Arial"/>
          <w:sz w:val="20"/>
          <w:szCs w:val="20"/>
          <w:lang w:val="en-US"/>
        </w:rPr>
        <w:t xml:space="preserve">    </w:t>
      </w:r>
      <w:proofErr w:type="spellStart"/>
      <w:proofErr w:type="gramStart"/>
      <w:r w:rsidRPr="00546952">
        <w:rPr>
          <w:rFonts w:ascii="Palatino Linotype" w:hAnsi="Palatino Linotype" w:cs="Arial"/>
          <w:sz w:val="20"/>
          <w:szCs w:val="20"/>
          <w:lang w:val="fr-FR"/>
        </w:rPr>
        <w:t>based</w:t>
      </w:r>
      <w:proofErr w:type="spellEnd"/>
      <w:proofErr w:type="gramEnd"/>
      <w:r w:rsidRPr="00546952">
        <w:rPr>
          <w:rFonts w:ascii="Palatino Linotype" w:hAnsi="Palatino Linotype" w:cs="Arial"/>
          <w:sz w:val="20"/>
          <w:szCs w:val="20"/>
          <w:lang w:val="fr-FR"/>
        </w:rPr>
        <w:t xml:space="preserve"> organisations: </w:t>
      </w:r>
      <w:proofErr w:type="spellStart"/>
      <w:r w:rsidRPr="00546952">
        <w:rPr>
          <w:rFonts w:ascii="Palatino Linotype" w:hAnsi="Palatino Linotype" w:cs="Arial"/>
          <w:sz w:val="20"/>
          <w:szCs w:val="20"/>
          <w:lang w:val="fr-FR"/>
        </w:rPr>
        <w:t>Australian</w:t>
      </w:r>
      <w:proofErr w:type="spellEnd"/>
      <w:r w:rsidRPr="00546952">
        <w:rPr>
          <w:rFonts w:ascii="Palatino Linotype" w:hAnsi="Palatino Linotype" w:cs="Arial"/>
          <w:sz w:val="20"/>
          <w:szCs w:val="20"/>
          <w:lang w:val="fr-FR"/>
        </w:rPr>
        <w:t xml:space="preserve"> Commercial Disputes Centre (ACDC), </w:t>
      </w:r>
      <w:proofErr w:type="spellStart"/>
      <w:r w:rsidRPr="00546952">
        <w:rPr>
          <w:rFonts w:ascii="Palatino Linotype" w:hAnsi="Palatino Linotype" w:cs="Arial"/>
          <w:sz w:val="20"/>
          <w:szCs w:val="20"/>
          <w:lang w:val="fr-FR"/>
        </w:rPr>
        <w:t>Australian</w:t>
      </w:r>
      <w:proofErr w:type="spellEnd"/>
      <w:r w:rsidRPr="00546952">
        <w:rPr>
          <w:rFonts w:ascii="Palatino Linotype" w:hAnsi="Palatino Linotype" w:cs="Arial"/>
          <w:sz w:val="20"/>
          <w:szCs w:val="20"/>
          <w:lang w:val="fr-FR"/>
        </w:rPr>
        <w:t xml:space="preserve"> </w:t>
      </w:r>
    </w:p>
    <w:p w14:paraId="3E1D00CB" w14:textId="77777777"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cs="Arial"/>
          <w:sz w:val="20"/>
          <w:szCs w:val="20"/>
          <w:lang w:val="fr-FR"/>
        </w:rPr>
        <w:t xml:space="preserve">    </w:t>
      </w:r>
      <w:r w:rsidRPr="00546952">
        <w:rPr>
          <w:rFonts w:ascii="Palatino Linotype" w:hAnsi="Palatino Linotype" w:cs="Arial"/>
          <w:sz w:val="20"/>
          <w:szCs w:val="20"/>
          <w:lang w:val="en-US"/>
        </w:rPr>
        <w:t xml:space="preserve">Dispute Resolution Association (ADRA). On 1 January 2015, LEADR and IAMA </w:t>
      </w:r>
    </w:p>
    <w:p w14:paraId="006F24B1" w14:textId="5EF54A2E"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Combined to form the Resolution Institute</w:t>
      </w:r>
    </w:p>
  </w:footnote>
  <w:footnote w:id="27">
    <w:p w14:paraId="2D16A335" w14:textId="7EACFCCF" w:rsidR="00196E23" w:rsidRPr="00546952" w:rsidRDefault="00196E23">
      <w:pPr>
        <w:pStyle w:val="FootnoteText"/>
        <w:rPr>
          <w:rFonts w:ascii="Palatino Linotype" w:hAnsi="Palatino Linotype" w:cs="Arial"/>
          <w:sz w:val="20"/>
          <w:lang w:val="en-US"/>
        </w:rPr>
      </w:pPr>
      <w:r w:rsidRPr="00546952">
        <w:rPr>
          <w:rStyle w:val="FootnoteReference"/>
          <w:rFonts w:ascii="Palatino Linotype" w:hAnsi="Palatino Linotype" w:cs="Arial"/>
          <w:sz w:val="20"/>
        </w:rPr>
        <w:footnoteRef/>
      </w:r>
      <w:r w:rsidRPr="00546952">
        <w:rPr>
          <w:rFonts w:ascii="Palatino Linotype" w:hAnsi="Palatino Linotype" w:cs="Arial"/>
          <w:sz w:val="20"/>
        </w:rPr>
        <w:t xml:space="preserve"> </w:t>
      </w:r>
      <w:r w:rsidRPr="00546952">
        <w:rPr>
          <w:rFonts w:ascii="Palatino Linotype" w:hAnsi="Palatino Linotype" w:cs="Arial"/>
          <w:i/>
          <w:sz w:val="20"/>
          <w:lang w:val="en-US"/>
        </w:rPr>
        <w:t xml:space="preserve">Community Justice </w:t>
      </w:r>
      <w:proofErr w:type="spellStart"/>
      <w:r w:rsidRPr="00546952">
        <w:rPr>
          <w:rFonts w:ascii="Palatino Linotype" w:hAnsi="Palatino Linotype" w:cs="Arial"/>
          <w:i/>
          <w:sz w:val="20"/>
          <w:lang w:val="en-US"/>
        </w:rPr>
        <w:t>Centres</w:t>
      </w:r>
      <w:proofErr w:type="spellEnd"/>
      <w:r w:rsidRPr="00546952">
        <w:rPr>
          <w:rFonts w:ascii="Palatino Linotype" w:hAnsi="Palatino Linotype" w:cs="Arial"/>
          <w:i/>
          <w:sz w:val="20"/>
          <w:lang w:val="en-US"/>
        </w:rPr>
        <w:t xml:space="preserve"> Act 1983</w:t>
      </w:r>
      <w:r w:rsidRPr="00546952">
        <w:rPr>
          <w:rFonts w:ascii="Palatino Linotype" w:hAnsi="Palatino Linotype" w:cs="Arial"/>
          <w:sz w:val="20"/>
          <w:lang w:val="en-US"/>
        </w:rPr>
        <w:t xml:space="preserve"> (NSW)</w:t>
      </w:r>
    </w:p>
  </w:footnote>
  <w:footnote w:id="28">
    <w:p w14:paraId="29345BCC" w14:textId="1E0A2F4A"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cs="Arial"/>
          <w:sz w:val="20"/>
        </w:rPr>
        <w:footnoteRef/>
      </w:r>
      <w:r w:rsidRPr="00546952">
        <w:rPr>
          <w:rFonts w:ascii="Palatino Linotype" w:hAnsi="Palatino Linotype"/>
          <w:sz w:val="20"/>
        </w:rPr>
        <w:t xml:space="preserve"> </w:t>
      </w:r>
      <w:r w:rsidRPr="00546952">
        <w:rPr>
          <w:rFonts w:ascii="Palatino Linotype" w:hAnsi="Palatino Linotype" w:cs="Arial"/>
          <w:i/>
          <w:sz w:val="20"/>
          <w:lang w:val="en-US"/>
        </w:rPr>
        <w:t xml:space="preserve">Dispute Resolution </w:t>
      </w:r>
      <w:proofErr w:type="spellStart"/>
      <w:r w:rsidRPr="00546952">
        <w:rPr>
          <w:rFonts w:ascii="Palatino Linotype" w:hAnsi="Palatino Linotype" w:cs="Arial"/>
          <w:i/>
          <w:sz w:val="20"/>
          <w:lang w:val="en-US"/>
        </w:rPr>
        <w:t>Centres</w:t>
      </w:r>
      <w:proofErr w:type="spellEnd"/>
      <w:r w:rsidRPr="00546952">
        <w:rPr>
          <w:rFonts w:ascii="Palatino Linotype" w:hAnsi="Palatino Linotype" w:cs="Arial"/>
          <w:i/>
          <w:sz w:val="20"/>
          <w:lang w:val="en-US"/>
        </w:rPr>
        <w:t xml:space="preserve"> Act 1990</w:t>
      </w:r>
      <w:r w:rsidRPr="00546952">
        <w:rPr>
          <w:rFonts w:ascii="Palatino Linotype" w:hAnsi="Palatino Linotype" w:cs="Arial"/>
          <w:sz w:val="20"/>
          <w:lang w:val="en-US"/>
        </w:rPr>
        <w:t xml:space="preserve"> (</w:t>
      </w:r>
      <w:proofErr w:type="spellStart"/>
      <w:r w:rsidRPr="00546952">
        <w:rPr>
          <w:rFonts w:ascii="Palatino Linotype" w:hAnsi="Palatino Linotype" w:cs="Arial"/>
          <w:sz w:val="20"/>
          <w:lang w:val="en-US"/>
        </w:rPr>
        <w:t>Qld</w:t>
      </w:r>
      <w:proofErr w:type="spellEnd"/>
      <w:r w:rsidRPr="00546952">
        <w:rPr>
          <w:rFonts w:ascii="Palatino Linotype" w:hAnsi="Palatino Linotype" w:cs="Arial"/>
          <w:sz w:val="20"/>
          <w:lang w:val="en-US"/>
        </w:rPr>
        <w:t>)</w:t>
      </w:r>
    </w:p>
  </w:footnote>
  <w:footnote w:id="29">
    <w:p w14:paraId="25870191" w14:textId="35CAFF68"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cs="Arial"/>
          <w:sz w:val="20"/>
        </w:rPr>
        <w:footnoteRef/>
      </w:r>
      <w:r w:rsidRPr="00546952">
        <w:rPr>
          <w:rFonts w:ascii="Palatino Linotype" w:hAnsi="Palatino Linotype"/>
        </w:rPr>
        <w:t xml:space="preserve"> </w:t>
      </w:r>
      <w:proofErr w:type="spellStart"/>
      <w:r w:rsidRPr="00546952">
        <w:rPr>
          <w:rFonts w:ascii="Palatino Linotype" w:hAnsi="Palatino Linotype" w:cs="Arial"/>
          <w:sz w:val="20"/>
          <w:szCs w:val="20"/>
          <w:lang w:val="en-US"/>
        </w:rPr>
        <w:t>Sourdin</w:t>
      </w:r>
      <w:proofErr w:type="spellEnd"/>
      <w:r w:rsidR="00491352"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above n 1</w:t>
      </w:r>
      <w:r w:rsidR="00491352"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20</w:t>
      </w:r>
      <w:r w:rsidR="00491352" w:rsidRPr="00546952">
        <w:rPr>
          <w:rFonts w:ascii="Palatino Linotype" w:hAnsi="Palatino Linotype" w:cs="Arial"/>
          <w:sz w:val="20"/>
          <w:szCs w:val="20"/>
          <w:lang w:val="en-US"/>
        </w:rPr>
        <w:t>.</w:t>
      </w:r>
    </w:p>
  </w:footnote>
  <w:footnote w:id="30">
    <w:p w14:paraId="42DF4516"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proofErr w:type="spellStart"/>
      <w:r w:rsidRPr="00546952">
        <w:rPr>
          <w:rFonts w:ascii="Palatino Linotype" w:hAnsi="Palatino Linotype" w:cs="Arial"/>
          <w:sz w:val="20"/>
          <w:szCs w:val="20"/>
        </w:rPr>
        <w:t>Gutman</w:t>
      </w:r>
      <w:proofErr w:type="spellEnd"/>
      <w:r w:rsidRPr="00546952">
        <w:rPr>
          <w:rFonts w:ascii="Palatino Linotype" w:hAnsi="Palatino Linotype" w:cs="Arial"/>
          <w:sz w:val="20"/>
          <w:szCs w:val="20"/>
        </w:rPr>
        <w:t xml:space="preserve">, J, Fisher, T, Martens, E, Why teach alternative dispute resolution to law students? </w:t>
      </w:r>
    </w:p>
    <w:p w14:paraId="0A6A2BF9" w14:textId="77777777" w:rsidR="00196E23" w:rsidRPr="00546952" w:rsidRDefault="00196E23" w:rsidP="009C79F6">
      <w:pPr>
        <w:pStyle w:val="FootnoteText"/>
        <w:rPr>
          <w:rFonts w:ascii="Palatino Linotype" w:hAnsi="Palatino Linotype" w:cs="Arial"/>
          <w:i/>
          <w:sz w:val="20"/>
          <w:szCs w:val="20"/>
        </w:rPr>
      </w:pPr>
      <w:r w:rsidRPr="00546952">
        <w:rPr>
          <w:rFonts w:ascii="Palatino Linotype" w:hAnsi="Palatino Linotype" w:cs="Arial"/>
          <w:sz w:val="20"/>
          <w:szCs w:val="20"/>
        </w:rPr>
        <w:t xml:space="preserve">   Part one: past and current practices and some unanswered questions, </w:t>
      </w:r>
      <w:r w:rsidRPr="00546952">
        <w:rPr>
          <w:rFonts w:ascii="Palatino Linotype" w:hAnsi="Palatino Linotype" w:cs="Arial"/>
          <w:i/>
          <w:sz w:val="20"/>
          <w:szCs w:val="20"/>
        </w:rPr>
        <w:t xml:space="preserve">Legal Education </w:t>
      </w:r>
    </w:p>
    <w:p w14:paraId="26259945" w14:textId="77777777"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cs="Arial"/>
          <w:i/>
          <w:sz w:val="20"/>
          <w:szCs w:val="20"/>
        </w:rPr>
        <w:t xml:space="preserve">   Review </w:t>
      </w:r>
      <w:r w:rsidRPr="00546952">
        <w:rPr>
          <w:rFonts w:ascii="Palatino Linotype" w:hAnsi="Palatino Linotype" w:cs="Arial"/>
          <w:sz w:val="20"/>
          <w:szCs w:val="20"/>
        </w:rPr>
        <w:t>(2006) 125</w:t>
      </w:r>
    </w:p>
  </w:footnote>
  <w:footnote w:id="31">
    <w:p w14:paraId="0B75AD2F" w14:textId="77777777" w:rsidR="00196E23" w:rsidRPr="00546952" w:rsidRDefault="00196E23" w:rsidP="009C79F6">
      <w:pPr>
        <w:pStyle w:val="FootnoteText"/>
        <w:rPr>
          <w:rFonts w:ascii="Palatino Linotype" w:hAnsi="Palatino Linotype" w:cs="Arial"/>
          <w:i/>
          <w:sz w:val="20"/>
          <w:szCs w:val="20"/>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rPr>
        <w:t xml:space="preserve">See </w:t>
      </w:r>
      <w:r w:rsidRPr="00546952">
        <w:rPr>
          <w:rFonts w:ascii="Palatino Linotype" w:hAnsi="Palatino Linotype" w:cs="Arial"/>
          <w:i/>
          <w:sz w:val="20"/>
          <w:szCs w:val="20"/>
        </w:rPr>
        <w:t>Administrative Appeals Tribunal Act 1975</w:t>
      </w:r>
      <w:r w:rsidRPr="00546952">
        <w:rPr>
          <w:rFonts w:ascii="Palatino Linotype" w:hAnsi="Palatino Linotype" w:cs="Arial"/>
          <w:sz w:val="20"/>
          <w:szCs w:val="20"/>
        </w:rPr>
        <w:t xml:space="preserve"> (</w:t>
      </w:r>
      <w:proofErr w:type="spellStart"/>
      <w:r w:rsidRPr="00546952">
        <w:rPr>
          <w:rFonts w:ascii="Palatino Linotype" w:hAnsi="Palatino Linotype" w:cs="Arial"/>
          <w:sz w:val="20"/>
          <w:szCs w:val="20"/>
        </w:rPr>
        <w:t>Cth</w:t>
      </w:r>
      <w:proofErr w:type="spellEnd"/>
      <w:r w:rsidRPr="00546952">
        <w:rPr>
          <w:rFonts w:ascii="Palatino Linotype" w:hAnsi="Palatino Linotype" w:cs="Arial"/>
          <w:sz w:val="20"/>
          <w:szCs w:val="20"/>
        </w:rPr>
        <w:t xml:space="preserve">), </w:t>
      </w:r>
      <w:r w:rsidRPr="00546952">
        <w:rPr>
          <w:rFonts w:ascii="Palatino Linotype" w:hAnsi="Palatino Linotype" w:cs="Arial"/>
          <w:i/>
          <w:sz w:val="20"/>
          <w:szCs w:val="20"/>
        </w:rPr>
        <w:t xml:space="preserve">Administrative Decisions Tribunal Act </w:t>
      </w:r>
    </w:p>
    <w:p w14:paraId="3C8191A2" w14:textId="77777777"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cs="Arial"/>
          <w:i/>
          <w:sz w:val="20"/>
          <w:szCs w:val="20"/>
        </w:rPr>
        <w:t xml:space="preserve">   1997 </w:t>
      </w:r>
      <w:r w:rsidRPr="00546952">
        <w:rPr>
          <w:rFonts w:ascii="Palatino Linotype" w:hAnsi="Palatino Linotype" w:cs="Arial"/>
          <w:sz w:val="20"/>
          <w:szCs w:val="20"/>
        </w:rPr>
        <w:t xml:space="preserve">(NSW), </w:t>
      </w:r>
      <w:r w:rsidRPr="00546952">
        <w:rPr>
          <w:rFonts w:ascii="Palatino Linotype" w:hAnsi="Palatino Linotype" w:cs="Arial"/>
          <w:i/>
          <w:sz w:val="20"/>
          <w:szCs w:val="20"/>
        </w:rPr>
        <w:t>Victorian Civil and Administrative Tribunal Act 1998</w:t>
      </w:r>
      <w:r w:rsidRPr="00546952">
        <w:rPr>
          <w:rFonts w:ascii="Palatino Linotype" w:hAnsi="Palatino Linotype" w:cs="Arial"/>
          <w:sz w:val="20"/>
          <w:szCs w:val="20"/>
        </w:rPr>
        <w:t xml:space="preserve"> (Vic)</w:t>
      </w:r>
    </w:p>
  </w:footnote>
  <w:footnote w:id="32">
    <w:p w14:paraId="51BCB81C" w14:textId="77777777"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i/>
          <w:sz w:val="20"/>
          <w:szCs w:val="20"/>
        </w:rPr>
        <w:t>Queensland Civil and Administrative Tribunal Act 2009</w:t>
      </w:r>
      <w:r w:rsidRPr="00546952">
        <w:rPr>
          <w:rFonts w:ascii="Palatino Linotype" w:hAnsi="Palatino Linotype" w:cs="Arial"/>
          <w:sz w:val="20"/>
          <w:szCs w:val="20"/>
        </w:rPr>
        <w:t xml:space="preserve"> (Qld)</w:t>
      </w:r>
    </w:p>
  </w:footnote>
  <w:footnote w:id="33">
    <w:p w14:paraId="4FEFF638" w14:textId="514CB255" w:rsidR="00196E23" w:rsidRPr="00546952" w:rsidRDefault="00196E23" w:rsidP="009C79F6">
      <w:pPr>
        <w:pStyle w:val="FootnoteText"/>
        <w:rPr>
          <w:rFonts w:ascii="Palatino Linotype" w:hAnsi="Palatino Linotype"/>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w:t>
      </w:r>
      <w:r w:rsidR="00046E24" w:rsidRPr="00546952">
        <w:rPr>
          <w:rFonts w:ascii="Palatino Linotype" w:hAnsi="Palatino Linotype" w:cs="Arial"/>
          <w:sz w:val="20"/>
          <w:szCs w:val="20"/>
          <w:lang w:val="en-US"/>
        </w:rPr>
        <w:t>.</w:t>
      </w:r>
    </w:p>
  </w:footnote>
  <w:footnote w:id="34">
    <w:p w14:paraId="43C59956" w14:textId="77777777" w:rsidR="00196E23" w:rsidRPr="00546952" w:rsidRDefault="00196E23" w:rsidP="009C79F6">
      <w:pPr>
        <w:pStyle w:val="FootnoteText"/>
        <w:rPr>
          <w:rFonts w:ascii="Palatino Linotype" w:hAnsi="Palatino Linotype"/>
          <w:sz w:val="20"/>
          <w:szCs w:val="20"/>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i/>
          <w:sz w:val="20"/>
          <w:szCs w:val="20"/>
          <w:lang w:val="en-US"/>
        </w:rPr>
        <w:t xml:space="preserve">Civil Procedure Act 2010 </w:t>
      </w:r>
      <w:r w:rsidRPr="00546952">
        <w:rPr>
          <w:rFonts w:ascii="Palatino Linotype" w:hAnsi="Palatino Linotype" w:cs="Arial"/>
          <w:sz w:val="20"/>
          <w:szCs w:val="20"/>
          <w:lang w:val="en-US"/>
        </w:rPr>
        <w:t>(Vic) s22</w:t>
      </w:r>
    </w:p>
  </w:footnote>
  <w:footnote w:id="35">
    <w:p w14:paraId="70729EBA" w14:textId="72B1A0D2"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szCs w:val="20"/>
          <w:lang w:val="en-US"/>
        </w:rPr>
        <w:t xml:space="preserve">Susskind </w:t>
      </w:r>
      <w:r w:rsidRPr="00546952">
        <w:rPr>
          <w:rFonts w:ascii="Palatino Linotype" w:hAnsi="Palatino Linotype" w:cs="Arial"/>
          <w:sz w:val="20"/>
        </w:rPr>
        <w:t xml:space="preserve">R, Tomorrow’s Lawyers, 2013, Oxford University Press </w:t>
      </w:r>
      <w:r w:rsidRPr="00546952">
        <w:rPr>
          <w:rFonts w:ascii="Palatino Linotype" w:hAnsi="Palatino Linotype" w:cs="Arial"/>
          <w:sz w:val="20"/>
          <w:szCs w:val="20"/>
          <w:lang w:val="en-US"/>
        </w:rPr>
        <w:t>85</w:t>
      </w:r>
    </w:p>
  </w:footnote>
  <w:footnote w:id="36">
    <w:p w14:paraId="02C085BF" w14:textId="5D90D1A9"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szCs w:val="20"/>
          <w:lang w:val="en-US"/>
        </w:rPr>
        <w:t>Ibid.</w:t>
      </w:r>
    </w:p>
  </w:footnote>
  <w:footnote w:id="37">
    <w:p w14:paraId="4CCE1CF2"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Access to Justice Taskforce, A Strategic Framework for Justice in the Federal Civil Justice </w:t>
      </w:r>
    </w:p>
    <w:p w14:paraId="1A3943C3" w14:textId="6AE28465"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System,</w:t>
      </w:r>
      <w:r w:rsidR="000B5A5A" w:rsidRPr="00546952">
        <w:rPr>
          <w:rFonts w:ascii="Palatino Linotype" w:hAnsi="Palatino Linotype" w:cs="Arial"/>
          <w:sz w:val="20"/>
          <w:szCs w:val="20"/>
        </w:rPr>
        <w:t xml:space="preserve"> </w:t>
      </w:r>
      <w:r w:rsidRPr="00546952">
        <w:rPr>
          <w:rFonts w:ascii="Palatino Linotype" w:hAnsi="Palatino Linotype" w:cs="Arial"/>
          <w:sz w:val="20"/>
          <w:szCs w:val="20"/>
        </w:rPr>
        <w:t>(2009) 3.</w:t>
      </w:r>
    </w:p>
  </w:footnote>
  <w:footnote w:id="38">
    <w:p w14:paraId="21E94D22" w14:textId="5521BD7A"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Access to Justice Review Summary Report August 2016</w:t>
      </w:r>
    </w:p>
  </w:footnote>
  <w:footnote w:id="39">
    <w:p w14:paraId="3F4EE7FA" w14:textId="08FC0470"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cs="Arial"/>
          <w:sz w:val="20"/>
          <w:szCs w:val="20"/>
        </w:rPr>
        <w:footnoteRef/>
      </w:r>
      <w:r w:rsidRPr="00546952">
        <w:rPr>
          <w:rFonts w:ascii="Palatino Linotype" w:hAnsi="Palatino Linotype"/>
        </w:rPr>
        <w:t xml:space="preserve"> </w:t>
      </w:r>
      <w:r w:rsidRPr="00546952">
        <w:rPr>
          <w:rFonts w:ascii="Palatino Linotype" w:hAnsi="Palatino Linotype" w:cs="Arial"/>
          <w:sz w:val="20"/>
          <w:szCs w:val="20"/>
          <w:lang w:val="en-US"/>
        </w:rPr>
        <w:t xml:space="preserve">Ibid, </w:t>
      </w:r>
      <w:proofErr w:type="spellStart"/>
      <w:r w:rsidRPr="00546952">
        <w:rPr>
          <w:rFonts w:ascii="Palatino Linotype" w:hAnsi="Palatino Linotype" w:cs="Arial"/>
          <w:sz w:val="20"/>
          <w:szCs w:val="20"/>
          <w:lang w:val="en-US"/>
        </w:rPr>
        <w:t>Chp</w:t>
      </w:r>
      <w:proofErr w:type="spellEnd"/>
      <w:r w:rsidRPr="00546952">
        <w:rPr>
          <w:rFonts w:ascii="Palatino Linotype" w:hAnsi="Palatino Linotype" w:cs="Arial"/>
          <w:sz w:val="20"/>
          <w:szCs w:val="20"/>
          <w:lang w:val="en-US"/>
        </w:rPr>
        <w:t xml:space="preserve"> 4 Alternative Dispute Resolution Recommendation </w:t>
      </w:r>
    </w:p>
  </w:footnote>
  <w:footnote w:id="40">
    <w:p w14:paraId="725D5D48" w14:textId="0FCE2F4B"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cs="Arial"/>
          <w:sz w:val="20"/>
          <w:szCs w:val="20"/>
        </w:rPr>
        <w:footnoteRef/>
      </w:r>
      <w:r w:rsidRPr="00546952">
        <w:rPr>
          <w:rFonts w:ascii="Palatino Linotype" w:hAnsi="Palatino Linotype"/>
        </w:rPr>
        <w:t xml:space="preserve"> </w:t>
      </w:r>
      <w:r w:rsidRPr="00546952">
        <w:rPr>
          <w:rFonts w:ascii="Palatino Linotype" w:hAnsi="Palatino Linotype" w:cs="Arial"/>
          <w:sz w:val="20"/>
          <w:szCs w:val="20"/>
          <w:lang w:val="en-US"/>
        </w:rPr>
        <w:t>Ibid.</w:t>
      </w:r>
    </w:p>
  </w:footnote>
  <w:footnote w:id="41">
    <w:p w14:paraId="490C5831" w14:textId="73F905D1"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cs="Arial"/>
          <w:sz w:val="20"/>
          <w:szCs w:val="20"/>
        </w:rPr>
        <w:footnoteRef/>
      </w:r>
      <w:r w:rsidRPr="00546952">
        <w:rPr>
          <w:rFonts w:ascii="Palatino Linotype" w:hAnsi="Palatino Linotype"/>
        </w:rPr>
        <w:t xml:space="preserve"> </w:t>
      </w:r>
      <w:r w:rsidRPr="00546952">
        <w:rPr>
          <w:rFonts w:ascii="Palatino Linotype" w:hAnsi="Palatino Linotype" w:cs="Arial"/>
          <w:sz w:val="20"/>
          <w:szCs w:val="20"/>
          <w:lang w:val="en-US"/>
        </w:rPr>
        <w:t>Ibid.</w:t>
      </w:r>
    </w:p>
  </w:footnote>
  <w:footnote w:id="42">
    <w:p w14:paraId="7C3C92BD" w14:textId="33611E42"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cs="Arial"/>
          <w:sz w:val="20"/>
          <w:szCs w:val="20"/>
        </w:rPr>
        <w:footnoteRef/>
      </w:r>
      <w:r w:rsidRPr="00546952">
        <w:rPr>
          <w:rFonts w:ascii="Palatino Linotype" w:hAnsi="Palatino Linotype"/>
        </w:rPr>
        <w:t xml:space="preserve"> </w:t>
      </w:r>
      <w:r w:rsidRPr="00546952">
        <w:rPr>
          <w:rFonts w:ascii="Palatino Linotype" w:hAnsi="Palatino Linotype" w:cs="Arial"/>
          <w:sz w:val="20"/>
          <w:szCs w:val="20"/>
          <w:lang w:val="en-US"/>
        </w:rPr>
        <w:t>Ibid.</w:t>
      </w:r>
    </w:p>
  </w:footnote>
  <w:footnote w:id="43">
    <w:p w14:paraId="3E32777E" w14:textId="2FD2A338"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44">
    <w:p w14:paraId="0E40DB29" w14:textId="3ECC5BA2"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45">
    <w:p w14:paraId="69246425" w14:textId="7AA7843A"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proofErr w:type="spellStart"/>
      <w:r w:rsidR="00793993" w:rsidRPr="00546952">
        <w:rPr>
          <w:rFonts w:ascii="Palatino Linotype" w:hAnsi="Palatino Linotype" w:cs="Arial"/>
          <w:sz w:val="20"/>
          <w:szCs w:val="20"/>
          <w:lang w:val="en-US"/>
        </w:rPr>
        <w:t>Sourdin</w:t>
      </w:r>
      <w:proofErr w:type="spellEnd"/>
      <w:r w:rsidR="00491352" w:rsidRPr="00546952">
        <w:rPr>
          <w:rFonts w:ascii="Palatino Linotype" w:hAnsi="Palatino Linotype" w:cs="Arial"/>
          <w:sz w:val="20"/>
          <w:szCs w:val="20"/>
          <w:lang w:val="en-US"/>
        </w:rPr>
        <w:t>,</w:t>
      </w:r>
      <w:r w:rsidR="00793993" w:rsidRPr="00546952">
        <w:rPr>
          <w:rFonts w:ascii="Palatino Linotype" w:hAnsi="Palatino Linotype" w:cs="Arial"/>
          <w:sz w:val="20"/>
          <w:szCs w:val="20"/>
          <w:lang w:val="en-US"/>
        </w:rPr>
        <w:t xml:space="preserve"> above n 1</w:t>
      </w:r>
      <w:r w:rsidR="00491352"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420</w:t>
      </w:r>
      <w:r w:rsidR="00491352" w:rsidRPr="00546952">
        <w:rPr>
          <w:rFonts w:ascii="Palatino Linotype" w:hAnsi="Palatino Linotype" w:cs="Arial"/>
          <w:sz w:val="20"/>
          <w:szCs w:val="20"/>
          <w:lang w:val="en-US"/>
        </w:rPr>
        <w:t>.</w:t>
      </w:r>
    </w:p>
  </w:footnote>
  <w:footnote w:id="46">
    <w:p w14:paraId="3422DEBF" w14:textId="320DAA58"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r w:rsidR="00046E24"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w:t>
      </w:r>
    </w:p>
  </w:footnote>
  <w:footnote w:id="47">
    <w:p w14:paraId="38C8102A" w14:textId="20C8F9B6"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proofErr w:type="spellStart"/>
      <w:r w:rsidR="00793993" w:rsidRPr="00546952">
        <w:rPr>
          <w:rFonts w:ascii="Palatino Linotype" w:hAnsi="Palatino Linotype" w:cs="Arial"/>
          <w:sz w:val="20"/>
          <w:szCs w:val="20"/>
          <w:lang w:val="en-US"/>
        </w:rPr>
        <w:t>Sourdin</w:t>
      </w:r>
      <w:proofErr w:type="spellEnd"/>
      <w:r w:rsidR="00491352" w:rsidRPr="00546952">
        <w:rPr>
          <w:rFonts w:ascii="Palatino Linotype" w:hAnsi="Palatino Linotype" w:cs="Arial"/>
          <w:sz w:val="20"/>
          <w:szCs w:val="20"/>
          <w:lang w:val="en-US"/>
        </w:rPr>
        <w:t>,</w:t>
      </w:r>
      <w:r w:rsidR="00793993" w:rsidRPr="00546952">
        <w:rPr>
          <w:rFonts w:ascii="Palatino Linotype" w:hAnsi="Palatino Linotype" w:cs="Arial"/>
          <w:sz w:val="20"/>
          <w:szCs w:val="20"/>
          <w:lang w:val="en-US"/>
        </w:rPr>
        <w:t xml:space="preserve"> above n 1</w:t>
      </w:r>
      <w:r w:rsidR="00491352" w:rsidRPr="00546952">
        <w:rPr>
          <w:rFonts w:ascii="Palatino Linotype" w:hAnsi="Palatino Linotype" w:cs="Arial"/>
          <w:sz w:val="20"/>
          <w:szCs w:val="20"/>
          <w:lang w:val="en-US"/>
        </w:rPr>
        <w:t>,</w:t>
      </w:r>
      <w:r w:rsidR="00793993" w:rsidRPr="00546952">
        <w:rPr>
          <w:rFonts w:ascii="Palatino Linotype" w:hAnsi="Palatino Linotype" w:cs="Arial"/>
          <w:sz w:val="20"/>
          <w:szCs w:val="20"/>
          <w:lang w:val="en-US"/>
        </w:rPr>
        <w:t xml:space="preserve"> </w:t>
      </w:r>
      <w:r w:rsidRPr="00546952">
        <w:rPr>
          <w:rFonts w:ascii="Palatino Linotype" w:hAnsi="Palatino Linotype" w:cs="Arial"/>
          <w:sz w:val="20"/>
          <w:szCs w:val="20"/>
          <w:lang w:val="en-US"/>
        </w:rPr>
        <w:t xml:space="preserve">275 and Chapter 9 </w:t>
      </w:r>
    </w:p>
  </w:footnote>
  <w:footnote w:id="48">
    <w:p w14:paraId="6E20FFBC" w14:textId="59208D3D"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 275</w:t>
      </w:r>
      <w:r w:rsidR="00491352" w:rsidRPr="00546952">
        <w:rPr>
          <w:rFonts w:ascii="Palatino Linotype" w:hAnsi="Palatino Linotype" w:cs="Arial"/>
          <w:sz w:val="20"/>
          <w:szCs w:val="20"/>
          <w:lang w:val="en-US"/>
        </w:rPr>
        <w:t>.</w:t>
      </w:r>
    </w:p>
  </w:footnote>
  <w:footnote w:id="49">
    <w:p w14:paraId="02FFBF65" w14:textId="77777777" w:rsidR="00196E23" w:rsidRPr="00546952" w:rsidRDefault="00196E23" w:rsidP="009C79F6">
      <w:pPr>
        <w:widowControl w:val="0"/>
        <w:autoSpaceDE w:val="0"/>
        <w:autoSpaceDN w:val="0"/>
        <w:adjustRightInd w:val="0"/>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Tania </w:t>
      </w:r>
      <w:proofErr w:type="spellStart"/>
      <w:r w:rsidRPr="00546952">
        <w:rPr>
          <w:rFonts w:ascii="Palatino Linotype" w:hAnsi="Palatino Linotype" w:cs="Arial"/>
          <w:sz w:val="20"/>
          <w:szCs w:val="20"/>
          <w:lang w:val="en-US"/>
        </w:rPr>
        <w:t>Sourdin</w:t>
      </w:r>
      <w:proofErr w:type="spellEnd"/>
      <w:r w:rsidRPr="00546952">
        <w:rPr>
          <w:rFonts w:ascii="Palatino Linotype" w:hAnsi="Palatino Linotype" w:cs="Arial"/>
          <w:sz w:val="20"/>
          <w:szCs w:val="20"/>
          <w:lang w:val="en-US"/>
        </w:rPr>
        <w:t xml:space="preserve">, ‘Making an Attempt to Resolve Disputes Before Using Courts: We All </w:t>
      </w:r>
    </w:p>
    <w:p w14:paraId="285E2EFB" w14:textId="77777777" w:rsidR="00196E23" w:rsidRPr="00546952" w:rsidRDefault="00196E23" w:rsidP="009C79F6">
      <w:pPr>
        <w:widowControl w:val="0"/>
        <w:autoSpaceDE w:val="0"/>
        <w:autoSpaceDN w:val="0"/>
        <w:adjustRightInd w:val="0"/>
        <w:rPr>
          <w:rFonts w:ascii="Palatino Linotype" w:hAnsi="Palatino Linotype" w:cs="Arial"/>
          <w:sz w:val="20"/>
          <w:szCs w:val="20"/>
          <w:lang w:val="en-US"/>
        </w:rPr>
      </w:pPr>
      <w:r w:rsidRPr="00546952">
        <w:rPr>
          <w:rFonts w:ascii="Palatino Linotype" w:hAnsi="Palatino Linotype" w:cs="Arial"/>
          <w:sz w:val="20"/>
          <w:szCs w:val="20"/>
          <w:lang w:val="en-US"/>
        </w:rPr>
        <w:t xml:space="preserve">   Have Obligations’ (2010) 21 </w:t>
      </w:r>
      <w:r w:rsidRPr="00546952">
        <w:rPr>
          <w:rFonts w:ascii="Palatino Linotype" w:hAnsi="Palatino Linotype" w:cs="Arial"/>
          <w:i/>
          <w:sz w:val="20"/>
          <w:szCs w:val="20"/>
          <w:lang w:val="en-US"/>
        </w:rPr>
        <w:t>Australasian Journal of Dispute Resolution</w:t>
      </w:r>
      <w:r w:rsidRPr="00546952">
        <w:rPr>
          <w:rFonts w:ascii="Palatino Linotype" w:hAnsi="Palatino Linotype" w:cs="Arial"/>
          <w:sz w:val="20"/>
          <w:szCs w:val="20"/>
          <w:lang w:val="en-US"/>
        </w:rPr>
        <w:t xml:space="preserve"> 225.</w:t>
      </w:r>
    </w:p>
  </w:footnote>
  <w:footnote w:id="50">
    <w:p w14:paraId="403D09E2" w14:textId="1213FE91"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proofErr w:type="spellStart"/>
      <w:r w:rsidR="000C53A0" w:rsidRPr="00546952">
        <w:rPr>
          <w:rFonts w:ascii="Palatino Linotype" w:hAnsi="Palatino Linotype" w:cs="Arial"/>
          <w:sz w:val="20"/>
          <w:szCs w:val="20"/>
        </w:rPr>
        <w:t>Sourdin</w:t>
      </w:r>
      <w:proofErr w:type="spellEnd"/>
      <w:r w:rsidRPr="00546952">
        <w:rPr>
          <w:rFonts w:ascii="Palatino Linotype" w:hAnsi="Palatino Linotype" w:cs="Arial"/>
          <w:sz w:val="20"/>
          <w:szCs w:val="20"/>
        </w:rPr>
        <w:t xml:space="preserve"> above </w:t>
      </w:r>
      <w:r w:rsidR="000C53A0" w:rsidRPr="00546952">
        <w:rPr>
          <w:rFonts w:ascii="Palatino Linotype" w:hAnsi="Palatino Linotype" w:cs="Arial"/>
          <w:sz w:val="20"/>
          <w:szCs w:val="20"/>
          <w:lang w:val="en-US"/>
        </w:rPr>
        <w:t>n 1</w:t>
      </w:r>
      <w:r w:rsidRPr="00546952">
        <w:rPr>
          <w:rFonts w:ascii="Palatino Linotype" w:hAnsi="Palatino Linotype" w:cs="Arial"/>
          <w:sz w:val="20"/>
          <w:szCs w:val="20"/>
          <w:lang w:val="en-US"/>
        </w:rPr>
        <w:t xml:space="preserve"> 21 citing </w:t>
      </w:r>
      <w:proofErr w:type="spellStart"/>
      <w:r w:rsidRPr="00546952">
        <w:rPr>
          <w:rFonts w:ascii="Palatino Linotype" w:hAnsi="Palatino Linotype" w:cs="Arial"/>
          <w:sz w:val="20"/>
          <w:szCs w:val="20"/>
          <w:lang w:val="en-US"/>
        </w:rPr>
        <w:t>Ipsos</w:t>
      </w:r>
      <w:proofErr w:type="spellEnd"/>
      <w:r w:rsidRPr="00546952">
        <w:rPr>
          <w:rFonts w:ascii="Palatino Linotype" w:hAnsi="Palatino Linotype" w:cs="Arial"/>
          <w:sz w:val="20"/>
          <w:szCs w:val="20"/>
          <w:lang w:val="en-US"/>
        </w:rPr>
        <w:t xml:space="preserve"> Australia Pty ltd, Alternative Dispute Resolution in </w:t>
      </w:r>
    </w:p>
    <w:p w14:paraId="00B10483" w14:textId="77777777"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Victoria: Community Survey 2007 (Report, Department of Justice, State Government of </w:t>
      </w:r>
    </w:p>
    <w:p w14:paraId="2206CE2A" w14:textId="77777777"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Victoria, 2007); </w:t>
      </w:r>
      <w:proofErr w:type="spellStart"/>
      <w:r w:rsidRPr="00546952">
        <w:rPr>
          <w:rFonts w:ascii="Palatino Linotype" w:hAnsi="Palatino Linotype" w:cs="Arial"/>
          <w:sz w:val="20"/>
          <w:szCs w:val="20"/>
          <w:lang w:val="en-US"/>
        </w:rPr>
        <w:t>Ipsos</w:t>
      </w:r>
      <w:proofErr w:type="spellEnd"/>
      <w:r w:rsidRPr="00546952">
        <w:rPr>
          <w:rFonts w:ascii="Palatino Linotype" w:hAnsi="Palatino Linotype" w:cs="Arial"/>
          <w:sz w:val="20"/>
          <w:szCs w:val="20"/>
          <w:lang w:val="en-US"/>
        </w:rPr>
        <w:t xml:space="preserve"> Australia Pty Ltd, Alternative Dispute Resolution in Victoria: Small </w:t>
      </w:r>
    </w:p>
    <w:p w14:paraId="7A1FDA0D" w14:textId="77777777" w:rsidR="00196E23" w:rsidRPr="00546952" w:rsidRDefault="00196E23" w:rsidP="009C79F6">
      <w:pPr>
        <w:pStyle w:val="FootnoteText"/>
        <w:rPr>
          <w:rFonts w:ascii="Palatino Linotype" w:hAnsi="Palatino Linotype"/>
          <w:sz w:val="20"/>
          <w:szCs w:val="20"/>
          <w:lang w:val="en-US"/>
        </w:rPr>
      </w:pPr>
      <w:r w:rsidRPr="00546952">
        <w:rPr>
          <w:rFonts w:ascii="Palatino Linotype" w:hAnsi="Palatino Linotype" w:cs="Arial"/>
          <w:sz w:val="20"/>
          <w:szCs w:val="20"/>
          <w:lang w:val="en-US"/>
        </w:rPr>
        <w:t xml:space="preserve">   Business Survey 2007 (Report, </w:t>
      </w:r>
      <w:proofErr w:type="spellStart"/>
      <w:r w:rsidRPr="00546952">
        <w:rPr>
          <w:rFonts w:ascii="Palatino Linotype" w:hAnsi="Palatino Linotype" w:cs="Arial"/>
          <w:sz w:val="20"/>
          <w:szCs w:val="20"/>
          <w:lang w:val="en-US"/>
        </w:rPr>
        <w:t>Dept</w:t>
      </w:r>
      <w:proofErr w:type="spellEnd"/>
      <w:r w:rsidRPr="00546952">
        <w:rPr>
          <w:rFonts w:ascii="Palatino Linotype" w:hAnsi="Palatino Linotype" w:cs="Arial"/>
          <w:sz w:val="20"/>
          <w:szCs w:val="20"/>
          <w:lang w:val="en-US"/>
        </w:rPr>
        <w:t xml:space="preserve"> of Justice, State Government of Victoria, 2007)</w:t>
      </w:r>
    </w:p>
  </w:footnote>
  <w:footnote w:id="51">
    <w:p w14:paraId="7DACC385" w14:textId="593FEFF9" w:rsidR="00196E23" w:rsidRPr="00546952" w:rsidRDefault="00196E23" w:rsidP="0065077A">
      <w:pPr>
        <w:pStyle w:val="FootnoteText"/>
        <w:rPr>
          <w:rFonts w:ascii="Palatino Linotype" w:hAnsi="Palatino Linotype" w:cs="Arial"/>
          <w:sz w:val="20"/>
          <w:szCs w:val="20"/>
        </w:rPr>
      </w:pPr>
      <w:r w:rsidRPr="00546952">
        <w:rPr>
          <w:rFonts w:ascii="Palatino Linotype" w:hAnsi="Palatino Linotype" w:cs="Arial"/>
          <w:sz w:val="20"/>
          <w:szCs w:val="20"/>
          <w:lang w:val="en-US"/>
        </w:rPr>
        <w:t xml:space="preserve"> </w:t>
      </w: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lang w:val="en-US"/>
        </w:rPr>
        <w:t xml:space="preserve"> Macfarlane</w:t>
      </w:r>
      <w:r w:rsidRPr="00546952">
        <w:rPr>
          <w:rFonts w:ascii="Palatino Linotype" w:hAnsi="Palatino Linotype" w:cs="Arial"/>
          <w:sz w:val="20"/>
          <w:szCs w:val="20"/>
        </w:rPr>
        <w:t xml:space="preserve">, J The New Lawyer: How Settlement is Transforming the Practice of Law </w:t>
      </w:r>
    </w:p>
    <w:p w14:paraId="32FD244A" w14:textId="3C9A3B59" w:rsidR="00196E23" w:rsidRPr="00546952" w:rsidRDefault="00196E23" w:rsidP="0065077A">
      <w:pPr>
        <w:pStyle w:val="FootnoteText"/>
        <w:rPr>
          <w:rFonts w:ascii="Palatino Linotype" w:hAnsi="Palatino Linotype" w:cs="Arial"/>
          <w:sz w:val="20"/>
          <w:szCs w:val="20"/>
          <w:lang w:val="en-US"/>
        </w:rPr>
      </w:pPr>
      <w:r w:rsidRPr="00546952">
        <w:rPr>
          <w:rFonts w:ascii="Palatino Linotype" w:hAnsi="Palatino Linotype" w:cs="Arial"/>
          <w:sz w:val="20"/>
          <w:szCs w:val="20"/>
        </w:rPr>
        <w:t xml:space="preserve">   (UBC</w:t>
      </w:r>
      <w:r w:rsidR="00584F7F" w:rsidRPr="00546952">
        <w:rPr>
          <w:rFonts w:ascii="Palatino Linotype" w:hAnsi="Palatino Linotype" w:cs="Arial"/>
          <w:sz w:val="20"/>
          <w:szCs w:val="20"/>
        </w:rPr>
        <w:t xml:space="preserve"> Vancouver) </w:t>
      </w:r>
      <w:r w:rsidRPr="00546952">
        <w:rPr>
          <w:rFonts w:ascii="Palatino Linotype" w:hAnsi="Palatino Linotype" w:cs="Arial"/>
          <w:sz w:val="20"/>
          <w:szCs w:val="20"/>
        </w:rPr>
        <w:t xml:space="preserve">2008 </w:t>
      </w:r>
      <w:r w:rsidRPr="00546952">
        <w:rPr>
          <w:rFonts w:ascii="Palatino Linotype" w:hAnsi="Palatino Linotype" w:cs="Arial"/>
          <w:sz w:val="20"/>
          <w:szCs w:val="20"/>
          <w:lang w:val="en-US"/>
        </w:rPr>
        <w:t>23.</w:t>
      </w:r>
    </w:p>
  </w:footnote>
  <w:footnote w:id="52">
    <w:p w14:paraId="28B3C6BA" w14:textId="5C66B8C9"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cs="Arial"/>
          <w:sz w:val="20"/>
          <w:szCs w:val="20"/>
        </w:rPr>
        <w:footnoteRef/>
      </w:r>
      <w:r w:rsidRPr="00546952">
        <w:rPr>
          <w:rFonts w:ascii="Palatino Linotype" w:hAnsi="Palatino Linotype"/>
        </w:rPr>
        <w:t xml:space="preserve"> </w:t>
      </w:r>
      <w:r w:rsidRPr="00546952">
        <w:rPr>
          <w:rFonts w:ascii="Palatino Linotype" w:hAnsi="Palatino Linotype" w:cs="Arial"/>
          <w:sz w:val="20"/>
        </w:rPr>
        <w:t>I</w:t>
      </w:r>
      <w:r w:rsidRPr="00546952">
        <w:rPr>
          <w:rFonts w:ascii="Palatino Linotype" w:hAnsi="Palatino Linotype" w:cs="Arial"/>
          <w:sz w:val="20"/>
          <w:szCs w:val="20"/>
          <w:lang w:val="en-US"/>
        </w:rPr>
        <w:t xml:space="preserve">bid &amp; Susskind </w:t>
      </w:r>
      <w:r w:rsidRPr="00546952">
        <w:rPr>
          <w:rFonts w:ascii="Palatino Linotype" w:hAnsi="Palatino Linotype" w:cs="Arial"/>
          <w:sz w:val="20"/>
        </w:rPr>
        <w:t xml:space="preserve">R, Tomorrow’s Lawyers, 2013, Oxford University Press </w:t>
      </w:r>
      <w:r w:rsidRPr="00546952">
        <w:rPr>
          <w:rFonts w:ascii="Palatino Linotype" w:hAnsi="Palatino Linotype" w:cs="Arial"/>
          <w:sz w:val="20"/>
          <w:szCs w:val="20"/>
          <w:lang w:val="en-US"/>
        </w:rPr>
        <w:t>135</w:t>
      </w:r>
    </w:p>
  </w:footnote>
  <w:footnote w:id="53">
    <w:p w14:paraId="475A4FB1"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54">
    <w:p w14:paraId="6EB01157" w14:textId="54C8A38F"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Ibid. </w:t>
      </w:r>
    </w:p>
  </w:footnote>
  <w:footnote w:id="55">
    <w:p w14:paraId="739620DA"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56">
    <w:p w14:paraId="61773AE9"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Ibid. </w:t>
      </w:r>
    </w:p>
  </w:footnote>
  <w:footnote w:id="57">
    <w:p w14:paraId="361BF641" w14:textId="1B27B8F6"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Ibid. </w:t>
      </w:r>
    </w:p>
  </w:footnote>
  <w:footnote w:id="58">
    <w:p w14:paraId="69C2EDE2"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59">
    <w:p w14:paraId="762CE1DF"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60">
    <w:p w14:paraId="32E221FF" w14:textId="204DBC68"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 10</w:t>
      </w:r>
      <w:r w:rsidR="00696645" w:rsidRPr="00546952">
        <w:rPr>
          <w:rFonts w:ascii="Palatino Linotype" w:hAnsi="Palatino Linotype" w:cs="Arial"/>
          <w:sz w:val="20"/>
          <w:szCs w:val="20"/>
          <w:lang w:val="en-US"/>
        </w:rPr>
        <w:t>.</w:t>
      </w:r>
    </w:p>
  </w:footnote>
  <w:footnote w:id="61">
    <w:p w14:paraId="283F0263" w14:textId="61419E06"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 12</w:t>
      </w:r>
      <w:r w:rsidR="00696645" w:rsidRPr="00546952">
        <w:rPr>
          <w:rFonts w:ascii="Palatino Linotype" w:hAnsi="Palatino Linotype" w:cs="Arial"/>
          <w:sz w:val="20"/>
          <w:szCs w:val="20"/>
          <w:lang w:val="en-US"/>
        </w:rPr>
        <w:t>.</w:t>
      </w:r>
    </w:p>
  </w:footnote>
  <w:footnote w:id="62">
    <w:p w14:paraId="2B99FBD9" w14:textId="2D582785"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00A45F1D" w:rsidRPr="00546952">
        <w:rPr>
          <w:rFonts w:ascii="Palatino Linotype" w:hAnsi="Palatino Linotype" w:cs="Arial"/>
          <w:sz w:val="20"/>
          <w:szCs w:val="20"/>
        </w:rPr>
        <w:t xml:space="preserve">Ibid </w:t>
      </w:r>
      <w:r w:rsidRPr="00546952">
        <w:rPr>
          <w:rFonts w:ascii="Palatino Linotype" w:hAnsi="Palatino Linotype" w:cs="Arial"/>
          <w:sz w:val="20"/>
          <w:szCs w:val="20"/>
        </w:rPr>
        <w:t>24</w:t>
      </w:r>
      <w:r w:rsidR="00696645" w:rsidRPr="00546952">
        <w:rPr>
          <w:rFonts w:ascii="Palatino Linotype" w:hAnsi="Palatino Linotype" w:cs="Arial"/>
          <w:sz w:val="20"/>
          <w:szCs w:val="20"/>
        </w:rPr>
        <w:t>.</w:t>
      </w:r>
    </w:p>
  </w:footnote>
  <w:footnote w:id="63">
    <w:p w14:paraId="4D5F70F9" w14:textId="77777777" w:rsidR="00196E23" w:rsidRPr="00546952" w:rsidRDefault="00196E23" w:rsidP="009C79F6">
      <w:pPr>
        <w:widowControl w:val="0"/>
        <w:autoSpaceDE w:val="0"/>
        <w:autoSpaceDN w:val="0"/>
        <w:adjustRightInd w:val="0"/>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Julie Macfarlane The Evolution of the New Lawyer: How Lawyers are Reshaping the</w:t>
      </w:r>
    </w:p>
    <w:p w14:paraId="617DE2B0" w14:textId="77777777"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Practice of Law (2008) </w:t>
      </w:r>
      <w:r w:rsidRPr="00546952">
        <w:rPr>
          <w:rFonts w:ascii="Palatino Linotype" w:hAnsi="Palatino Linotype" w:cs="Arial"/>
          <w:i/>
          <w:sz w:val="20"/>
          <w:szCs w:val="20"/>
          <w:lang w:val="en-US"/>
        </w:rPr>
        <w:t>Journal of Dispute Resolution</w:t>
      </w:r>
      <w:r w:rsidRPr="00546952">
        <w:rPr>
          <w:rFonts w:ascii="Palatino Linotype" w:hAnsi="Palatino Linotype" w:cs="Arial"/>
          <w:sz w:val="20"/>
          <w:szCs w:val="20"/>
          <w:lang w:val="en-US"/>
        </w:rPr>
        <w:t xml:space="preserve"> 62</w:t>
      </w:r>
    </w:p>
  </w:footnote>
  <w:footnote w:id="64">
    <w:p w14:paraId="356E58CC" w14:textId="77777777" w:rsidR="00196E23" w:rsidRPr="00546952" w:rsidRDefault="00196E23" w:rsidP="009C79F6">
      <w:pPr>
        <w:widowControl w:val="0"/>
        <w:autoSpaceDE w:val="0"/>
        <w:autoSpaceDN w:val="0"/>
        <w:adjustRightInd w:val="0"/>
        <w:rPr>
          <w:rFonts w:ascii="Palatino Linotype" w:hAnsi="Palatino Linotype" w:cs="Arial"/>
          <w:i/>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lang w:val="en-US"/>
        </w:rPr>
        <w:t xml:space="preserve"> Ibid and R Susskind &amp; D Susskind, </w:t>
      </w:r>
      <w:r w:rsidRPr="00546952">
        <w:rPr>
          <w:rFonts w:ascii="Palatino Linotype" w:hAnsi="Palatino Linotype" w:cs="Arial"/>
          <w:i/>
          <w:sz w:val="20"/>
          <w:szCs w:val="20"/>
          <w:lang w:val="en-US"/>
        </w:rPr>
        <w:t xml:space="preserve">The Future of the Professions: How Technology Will </w:t>
      </w:r>
    </w:p>
    <w:p w14:paraId="6551624C" w14:textId="4885D93C" w:rsidR="00196E23" w:rsidRPr="00546952" w:rsidRDefault="00196E23" w:rsidP="009C79F6">
      <w:pPr>
        <w:widowControl w:val="0"/>
        <w:autoSpaceDE w:val="0"/>
        <w:autoSpaceDN w:val="0"/>
        <w:adjustRightInd w:val="0"/>
        <w:rPr>
          <w:rFonts w:ascii="Palatino Linotype" w:hAnsi="Palatino Linotype" w:cs="Arial"/>
          <w:sz w:val="20"/>
          <w:szCs w:val="20"/>
          <w:lang w:val="en-US"/>
        </w:rPr>
      </w:pPr>
      <w:r w:rsidRPr="00546952">
        <w:rPr>
          <w:rFonts w:ascii="Palatino Linotype" w:hAnsi="Palatino Linotype" w:cs="Arial"/>
          <w:i/>
          <w:sz w:val="20"/>
          <w:szCs w:val="20"/>
          <w:lang w:val="en-US"/>
        </w:rPr>
        <w:t xml:space="preserve">   Transform The Work of Human Experts</w:t>
      </w:r>
      <w:r w:rsidRPr="00546952">
        <w:rPr>
          <w:rFonts w:ascii="Palatino Linotype" w:hAnsi="Palatino Linotype" w:cs="Arial"/>
          <w:sz w:val="20"/>
          <w:szCs w:val="20"/>
          <w:lang w:val="en-US"/>
        </w:rPr>
        <w:t xml:space="preserve"> (Oxford University Press, 2015)</w:t>
      </w:r>
    </w:p>
  </w:footnote>
  <w:footnote w:id="65">
    <w:p w14:paraId="7E34F5CA"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66">
    <w:p w14:paraId="50C65412"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67">
    <w:p w14:paraId="639422F5"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Ibid. </w:t>
      </w:r>
    </w:p>
  </w:footnote>
  <w:footnote w:id="68">
    <w:p w14:paraId="450E0AD6" w14:textId="77777777"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w:t>
      </w:r>
    </w:p>
  </w:footnote>
  <w:footnote w:id="69">
    <w:p w14:paraId="46C29AEB" w14:textId="6AAF25C0"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004B0FB6" w:rsidRPr="00546952">
        <w:rPr>
          <w:rFonts w:ascii="Palatino Linotype" w:hAnsi="Palatino Linotype" w:cs="Arial"/>
          <w:sz w:val="20"/>
          <w:szCs w:val="20"/>
          <w:lang w:val="en-US"/>
        </w:rPr>
        <w:t>Macfarlane</w:t>
      </w:r>
      <w:r w:rsidR="00696645" w:rsidRPr="00546952">
        <w:rPr>
          <w:rFonts w:ascii="Palatino Linotype" w:hAnsi="Palatino Linotype" w:cs="Arial"/>
          <w:sz w:val="20"/>
          <w:szCs w:val="20"/>
          <w:lang w:val="en-US"/>
        </w:rPr>
        <w:t>,</w:t>
      </w:r>
      <w:r w:rsidR="007A16EA" w:rsidRPr="00546952">
        <w:rPr>
          <w:rFonts w:ascii="Palatino Linotype" w:hAnsi="Palatino Linotype" w:cs="Arial"/>
          <w:sz w:val="20"/>
          <w:szCs w:val="20"/>
          <w:lang w:val="en-US"/>
        </w:rPr>
        <w:t xml:space="preserve"> above n </w:t>
      </w:r>
      <w:r w:rsidRPr="00546952">
        <w:rPr>
          <w:rFonts w:ascii="Palatino Linotype" w:hAnsi="Palatino Linotype" w:cs="Arial"/>
          <w:sz w:val="20"/>
          <w:szCs w:val="20"/>
          <w:lang w:val="en-US"/>
        </w:rPr>
        <w:t>63</w:t>
      </w:r>
      <w:r w:rsidR="00696645" w:rsidRPr="00546952">
        <w:rPr>
          <w:rFonts w:ascii="Palatino Linotype" w:hAnsi="Palatino Linotype" w:cs="Arial"/>
          <w:sz w:val="20"/>
          <w:szCs w:val="20"/>
          <w:lang w:val="en-US"/>
        </w:rPr>
        <w:t>,</w:t>
      </w:r>
      <w:r w:rsidR="007A16EA" w:rsidRPr="00546952">
        <w:rPr>
          <w:rFonts w:ascii="Palatino Linotype" w:hAnsi="Palatino Linotype" w:cs="Arial"/>
          <w:sz w:val="20"/>
          <w:szCs w:val="20"/>
          <w:lang w:val="en-US"/>
        </w:rPr>
        <w:t xml:space="preserve"> 63</w:t>
      </w:r>
      <w:r w:rsidR="00696645" w:rsidRPr="00546952">
        <w:rPr>
          <w:rFonts w:ascii="Palatino Linotype" w:hAnsi="Palatino Linotype" w:cs="Arial"/>
          <w:sz w:val="20"/>
          <w:szCs w:val="20"/>
          <w:lang w:val="en-US"/>
        </w:rPr>
        <w:t>.</w:t>
      </w:r>
    </w:p>
  </w:footnote>
  <w:footnote w:id="70">
    <w:p w14:paraId="32BE07C8"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71">
    <w:p w14:paraId="3F3D5867"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72">
    <w:p w14:paraId="2F752B9B" w14:textId="128AD1D3"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00024536" w:rsidRPr="00546952">
        <w:rPr>
          <w:rFonts w:ascii="Palatino Linotype" w:hAnsi="Palatino Linotype" w:cs="Arial"/>
          <w:sz w:val="20"/>
          <w:szCs w:val="20"/>
          <w:lang w:val="en-US"/>
        </w:rPr>
        <w:t>Macfarlane</w:t>
      </w:r>
      <w:r w:rsidR="00696645" w:rsidRPr="00546952">
        <w:rPr>
          <w:rFonts w:ascii="Palatino Linotype" w:hAnsi="Palatino Linotype" w:cs="Arial"/>
          <w:sz w:val="20"/>
          <w:szCs w:val="20"/>
          <w:lang w:val="en-US"/>
        </w:rPr>
        <w:t>,</w:t>
      </w:r>
      <w:r w:rsidR="00024536" w:rsidRPr="00546952">
        <w:rPr>
          <w:rFonts w:ascii="Palatino Linotype" w:hAnsi="Palatino Linotype" w:cs="Arial"/>
          <w:sz w:val="20"/>
          <w:szCs w:val="20"/>
          <w:lang w:val="en-US"/>
        </w:rPr>
        <w:t xml:space="preserve"> above n 51</w:t>
      </w:r>
      <w:r w:rsidR="00696645" w:rsidRPr="00546952">
        <w:rPr>
          <w:rFonts w:ascii="Palatino Linotype" w:hAnsi="Palatino Linotype" w:cs="Arial"/>
          <w:sz w:val="20"/>
          <w:szCs w:val="20"/>
          <w:lang w:val="en-US"/>
        </w:rPr>
        <w:t>,</w:t>
      </w:r>
      <w:r w:rsidR="00024536" w:rsidRPr="00546952">
        <w:rPr>
          <w:rFonts w:ascii="Palatino Linotype" w:hAnsi="Palatino Linotype" w:cs="Arial"/>
          <w:sz w:val="20"/>
          <w:szCs w:val="20"/>
          <w:lang w:val="en-US"/>
        </w:rPr>
        <w:t xml:space="preserve"> </w:t>
      </w:r>
      <w:r w:rsidRPr="00546952">
        <w:rPr>
          <w:rFonts w:ascii="Palatino Linotype" w:hAnsi="Palatino Linotype" w:cs="Arial"/>
          <w:sz w:val="20"/>
          <w:szCs w:val="20"/>
        </w:rPr>
        <w:t>23</w:t>
      </w:r>
      <w:r w:rsidR="00696645" w:rsidRPr="00546952">
        <w:rPr>
          <w:rFonts w:ascii="Palatino Linotype" w:hAnsi="Palatino Linotype" w:cs="Arial"/>
          <w:sz w:val="20"/>
          <w:szCs w:val="20"/>
        </w:rPr>
        <w:t>.</w:t>
      </w:r>
    </w:p>
  </w:footnote>
  <w:footnote w:id="73">
    <w:p w14:paraId="3D169806" w14:textId="77777777" w:rsidR="00196E23" w:rsidRPr="00546952" w:rsidRDefault="00196E23" w:rsidP="009C79F6">
      <w:pPr>
        <w:widowControl w:val="0"/>
        <w:autoSpaceDE w:val="0"/>
        <w:autoSpaceDN w:val="0"/>
        <w:adjustRightInd w:val="0"/>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74">
    <w:p w14:paraId="26D2F94B"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w:t>
      </w:r>
    </w:p>
  </w:footnote>
  <w:footnote w:id="75">
    <w:p w14:paraId="06B2874B"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76">
    <w:p w14:paraId="09FD01F2"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77">
    <w:p w14:paraId="4A404F25"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78">
    <w:p w14:paraId="20291B0E" w14:textId="32BA254F" w:rsidR="00196E23" w:rsidRPr="00546952" w:rsidRDefault="00196E23" w:rsidP="009C79F6">
      <w:pPr>
        <w:widowControl w:val="0"/>
        <w:autoSpaceDE w:val="0"/>
        <w:autoSpaceDN w:val="0"/>
        <w:adjustRightInd w:val="0"/>
        <w:rPr>
          <w:rFonts w:ascii="Palatino Linotype" w:hAnsi="Palatino Linotype" w:cs="Arial"/>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cs="Arial"/>
          <w:sz w:val="20"/>
          <w:szCs w:val="20"/>
          <w:lang w:val="en-US"/>
        </w:rPr>
        <w:t xml:space="preserve"> </w:t>
      </w:r>
      <w:r w:rsidR="00582286" w:rsidRPr="00546952">
        <w:rPr>
          <w:rFonts w:ascii="Palatino Linotype" w:hAnsi="Palatino Linotype" w:cs="Arial"/>
          <w:sz w:val="20"/>
          <w:szCs w:val="20"/>
          <w:lang w:val="en-US"/>
        </w:rPr>
        <w:t xml:space="preserve">Ibid </w:t>
      </w:r>
      <w:r w:rsidRPr="00546952">
        <w:rPr>
          <w:rFonts w:ascii="Palatino Linotype" w:hAnsi="Palatino Linotype" w:cs="Arial"/>
          <w:sz w:val="20"/>
          <w:szCs w:val="20"/>
          <w:lang w:val="en-US"/>
        </w:rPr>
        <w:t>24</w:t>
      </w:r>
      <w:r w:rsidR="00DE57DE" w:rsidRPr="00546952">
        <w:rPr>
          <w:rFonts w:ascii="Palatino Linotype" w:hAnsi="Palatino Linotype" w:cs="Arial"/>
          <w:sz w:val="20"/>
          <w:szCs w:val="20"/>
          <w:lang w:val="en-US"/>
        </w:rPr>
        <w:t>.</w:t>
      </w:r>
    </w:p>
  </w:footnote>
  <w:footnote w:id="79">
    <w:p w14:paraId="63FFAF0B"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 </w:t>
      </w:r>
    </w:p>
  </w:footnote>
  <w:footnote w:id="80">
    <w:p w14:paraId="62EB135C" w14:textId="77777777"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w:t>
      </w:r>
    </w:p>
  </w:footnote>
  <w:footnote w:id="81">
    <w:p w14:paraId="6F528C82"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w:t>
      </w:r>
    </w:p>
  </w:footnote>
  <w:footnote w:id="82">
    <w:p w14:paraId="4CE53A22"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 citing Carrie </w:t>
      </w:r>
      <w:proofErr w:type="spellStart"/>
      <w:r w:rsidRPr="00546952">
        <w:rPr>
          <w:rFonts w:ascii="Palatino Linotype" w:hAnsi="Palatino Linotype" w:cs="Arial"/>
          <w:sz w:val="20"/>
          <w:szCs w:val="20"/>
        </w:rPr>
        <w:t>Menkel</w:t>
      </w:r>
      <w:proofErr w:type="spellEnd"/>
      <w:r w:rsidRPr="00546952">
        <w:rPr>
          <w:rFonts w:ascii="Palatino Linotype" w:hAnsi="Palatino Linotype" w:cs="Arial"/>
          <w:sz w:val="20"/>
          <w:szCs w:val="20"/>
        </w:rPr>
        <w:t xml:space="preserve">-Meadow, ‘The Trouble with the Adversarial System in a </w:t>
      </w:r>
    </w:p>
    <w:p w14:paraId="10F3FB34" w14:textId="77777777"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Postmodern, Multicultural World’ (1996) 38 </w:t>
      </w:r>
      <w:r w:rsidRPr="00546952">
        <w:rPr>
          <w:rFonts w:ascii="Palatino Linotype" w:hAnsi="Palatino Linotype" w:cs="Arial"/>
          <w:i/>
          <w:sz w:val="20"/>
          <w:szCs w:val="20"/>
        </w:rPr>
        <w:t>William and Mary Law Review</w:t>
      </w:r>
      <w:r w:rsidRPr="00546952">
        <w:rPr>
          <w:rFonts w:ascii="Palatino Linotype" w:hAnsi="Palatino Linotype" w:cs="Arial"/>
          <w:sz w:val="20"/>
          <w:szCs w:val="20"/>
        </w:rPr>
        <w:t xml:space="preserve"> 5, 37-39.</w:t>
      </w:r>
    </w:p>
  </w:footnote>
  <w:footnote w:id="83">
    <w:p w14:paraId="7AF8ACFD" w14:textId="2AD58B2F"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002F4559" w:rsidRPr="00546952">
        <w:rPr>
          <w:rFonts w:ascii="Palatino Linotype" w:hAnsi="Palatino Linotype" w:cs="Arial"/>
          <w:sz w:val="20"/>
          <w:szCs w:val="20"/>
        </w:rPr>
        <w:t xml:space="preserve"> Macfarlane</w:t>
      </w:r>
      <w:r w:rsidR="00DE57DE" w:rsidRPr="00546952">
        <w:rPr>
          <w:rFonts w:ascii="Palatino Linotype" w:hAnsi="Palatino Linotype" w:cs="Arial"/>
          <w:sz w:val="20"/>
          <w:szCs w:val="20"/>
        </w:rPr>
        <w:t>,</w:t>
      </w:r>
      <w:r w:rsidR="002F4559" w:rsidRPr="00546952">
        <w:rPr>
          <w:rFonts w:ascii="Palatino Linotype" w:hAnsi="Palatino Linotype" w:cs="Arial"/>
          <w:sz w:val="20"/>
          <w:szCs w:val="20"/>
        </w:rPr>
        <w:t xml:space="preserve"> above n 51</w:t>
      </w:r>
      <w:r w:rsidR="00DE57DE" w:rsidRPr="00546952">
        <w:rPr>
          <w:rFonts w:ascii="Palatino Linotype" w:hAnsi="Palatino Linotype" w:cs="Arial"/>
          <w:sz w:val="20"/>
          <w:szCs w:val="20"/>
        </w:rPr>
        <w:t>,</w:t>
      </w:r>
      <w:r w:rsidRPr="00546952">
        <w:rPr>
          <w:rFonts w:ascii="Palatino Linotype" w:hAnsi="Palatino Linotype" w:cs="Arial"/>
          <w:sz w:val="20"/>
          <w:szCs w:val="20"/>
        </w:rPr>
        <w:t xml:space="preserve"> 2</w:t>
      </w:r>
      <w:r w:rsidR="00DE57DE" w:rsidRPr="00546952">
        <w:rPr>
          <w:rFonts w:ascii="Palatino Linotype" w:hAnsi="Palatino Linotype" w:cs="Arial"/>
          <w:sz w:val="20"/>
          <w:szCs w:val="20"/>
        </w:rPr>
        <w:t>.</w:t>
      </w:r>
    </w:p>
  </w:footnote>
  <w:footnote w:id="84">
    <w:p w14:paraId="31116178" w14:textId="64E2D6D2"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85">
    <w:p w14:paraId="02D5004E" w14:textId="5CC5D162"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Susskind</w:t>
      </w:r>
      <w:r w:rsidR="00CA40D6"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w:t>
      </w:r>
      <w:r w:rsidR="008A7294" w:rsidRPr="00546952">
        <w:rPr>
          <w:rFonts w:ascii="Palatino Linotype" w:hAnsi="Palatino Linotype" w:cs="Arial"/>
          <w:sz w:val="20"/>
        </w:rPr>
        <w:t>above n 35</w:t>
      </w:r>
      <w:r w:rsidR="00CA40D6" w:rsidRPr="00546952">
        <w:rPr>
          <w:rFonts w:ascii="Palatino Linotype" w:hAnsi="Palatino Linotype" w:cs="Arial"/>
          <w:sz w:val="20"/>
        </w:rPr>
        <w:t>,</w:t>
      </w:r>
      <w:r w:rsidRPr="00546952">
        <w:rPr>
          <w:rFonts w:ascii="Palatino Linotype" w:hAnsi="Palatino Linotype" w:cs="Arial"/>
          <w:sz w:val="20"/>
        </w:rPr>
        <w:t xml:space="preserve"> </w:t>
      </w:r>
      <w:r w:rsidRPr="00546952">
        <w:rPr>
          <w:rFonts w:ascii="Palatino Linotype" w:hAnsi="Palatino Linotype" w:cs="Arial"/>
          <w:sz w:val="20"/>
          <w:szCs w:val="20"/>
          <w:lang w:val="en-US"/>
        </w:rPr>
        <w:t>135</w:t>
      </w:r>
      <w:r w:rsidR="00CA40D6" w:rsidRPr="00546952">
        <w:rPr>
          <w:rFonts w:ascii="Palatino Linotype" w:hAnsi="Palatino Linotype" w:cs="Arial"/>
          <w:sz w:val="20"/>
          <w:szCs w:val="20"/>
          <w:lang w:val="en-US"/>
        </w:rPr>
        <w:t>.</w:t>
      </w:r>
    </w:p>
  </w:footnote>
  <w:footnote w:id="86">
    <w:p w14:paraId="40795D4B"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Ibid. </w:t>
      </w:r>
    </w:p>
  </w:footnote>
  <w:footnote w:id="87">
    <w:p w14:paraId="0AFCDF7E"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Ibid. </w:t>
      </w:r>
    </w:p>
  </w:footnote>
  <w:footnote w:id="88">
    <w:p w14:paraId="221695B4"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89">
    <w:p w14:paraId="5779E551"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90">
    <w:p w14:paraId="7A5F46D7" w14:textId="5DCA6AEF"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Macfarlane, above </w:t>
      </w:r>
      <w:r w:rsidR="00255A7D" w:rsidRPr="00546952">
        <w:rPr>
          <w:rFonts w:ascii="Palatino Linotype" w:hAnsi="Palatino Linotype" w:cs="Arial"/>
          <w:sz w:val="20"/>
          <w:szCs w:val="20"/>
          <w:lang w:val="en-US"/>
        </w:rPr>
        <w:t>n 51</w:t>
      </w:r>
      <w:r w:rsidR="00CA40D6"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16</w:t>
      </w:r>
      <w:r w:rsidR="00CA40D6" w:rsidRPr="00546952">
        <w:rPr>
          <w:rFonts w:ascii="Palatino Linotype" w:hAnsi="Palatino Linotype" w:cs="Arial"/>
          <w:sz w:val="20"/>
          <w:szCs w:val="20"/>
          <w:lang w:val="en-US"/>
        </w:rPr>
        <w:t>.</w:t>
      </w:r>
    </w:p>
  </w:footnote>
  <w:footnote w:id="91">
    <w:p w14:paraId="342D8DF5"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92">
    <w:p w14:paraId="28F1D0EC"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Ross </w:t>
      </w:r>
      <w:proofErr w:type="spellStart"/>
      <w:r w:rsidRPr="00546952">
        <w:rPr>
          <w:rFonts w:ascii="Palatino Linotype" w:hAnsi="Palatino Linotype" w:cs="Arial"/>
          <w:sz w:val="20"/>
          <w:szCs w:val="20"/>
        </w:rPr>
        <w:t>Hyams</w:t>
      </w:r>
      <w:proofErr w:type="spellEnd"/>
      <w:r w:rsidRPr="00546952">
        <w:rPr>
          <w:rFonts w:ascii="Palatino Linotype" w:hAnsi="Palatino Linotype" w:cs="Arial"/>
          <w:sz w:val="20"/>
          <w:szCs w:val="20"/>
        </w:rPr>
        <w:t xml:space="preserve">, ‘The Teaching of Skills: Rebuilding-Not Just Tinkering Around The </w:t>
      </w:r>
    </w:p>
    <w:p w14:paraId="52ABC08D" w14:textId="2F7DFA72"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Edges’ (1995) 13 </w:t>
      </w:r>
      <w:r w:rsidRPr="00546952">
        <w:rPr>
          <w:rFonts w:ascii="Palatino Linotype" w:hAnsi="Palatino Linotype" w:cs="Arial"/>
          <w:i/>
          <w:iCs/>
          <w:sz w:val="20"/>
          <w:szCs w:val="20"/>
        </w:rPr>
        <w:t>Journal of Professional Legal Education</w:t>
      </w:r>
      <w:r w:rsidRPr="00546952">
        <w:rPr>
          <w:rFonts w:ascii="Palatino Linotype" w:hAnsi="Palatino Linotype" w:cs="Arial"/>
          <w:sz w:val="20"/>
          <w:szCs w:val="20"/>
        </w:rPr>
        <w:t xml:space="preserve"> 63 </w:t>
      </w:r>
    </w:p>
  </w:footnote>
  <w:footnote w:id="93">
    <w:p w14:paraId="2206C52E"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94">
    <w:p w14:paraId="78C73506"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95">
    <w:p w14:paraId="0D4A13AE"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96">
    <w:p w14:paraId="6DE1AE49" w14:textId="5C0440EA"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 78</w:t>
      </w:r>
      <w:r w:rsidR="007B6DD5" w:rsidRPr="00546952">
        <w:rPr>
          <w:rFonts w:ascii="Palatino Linotype" w:hAnsi="Palatino Linotype" w:cs="Arial"/>
          <w:sz w:val="20"/>
          <w:szCs w:val="20"/>
        </w:rPr>
        <w:t>.</w:t>
      </w:r>
    </w:p>
  </w:footnote>
  <w:footnote w:id="97">
    <w:p w14:paraId="6174F8EF" w14:textId="77777777" w:rsidR="00196E23" w:rsidRPr="00546952" w:rsidRDefault="00196E23" w:rsidP="009C79F6">
      <w:pPr>
        <w:pStyle w:val="FootnoteText"/>
        <w:rPr>
          <w:rFonts w:ascii="Palatino Linotype" w:hAnsi="Palatino Linotype" w:cs="Arial"/>
          <w:sz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rPr>
        <w:t xml:space="preserve">Douglas, K, ‘The teaching of ADR in Australian law schools: Promoting </w:t>
      </w:r>
    </w:p>
    <w:p w14:paraId="05E80994" w14:textId="1E29B7FB" w:rsidR="00196E23" w:rsidRPr="00546952" w:rsidRDefault="00196E23" w:rsidP="009C79F6">
      <w:pPr>
        <w:pStyle w:val="FootnoteText"/>
        <w:rPr>
          <w:rFonts w:ascii="Palatino Linotype" w:hAnsi="Palatino Linotype" w:cs="Arial"/>
        </w:rPr>
      </w:pPr>
      <w:r w:rsidRPr="00546952">
        <w:rPr>
          <w:rFonts w:ascii="Palatino Linotype" w:hAnsi="Palatino Linotype" w:cs="Arial"/>
          <w:sz w:val="20"/>
        </w:rPr>
        <w:t xml:space="preserve">    non-adversarial   practice in law’, (2011) 22 </w:t>
      </w:r>
      <w:r w:rsidRPr="00546952">
        <w:rPr>
          <w:rFonts w:ascii="Palatino Linotype" w:hAnsi="Palatino Linotype" w:cs="Arial"/>
          <w:i/>
          <w:iCs/>
          <w:sz w:val="20"/>
        </w:rPr>
        <w:t>Australasian Dispute Resolution Journal</w:t>
      </w:r>
      <w:r w:rsidRPr="00546952">
        <w:rPr>
          <w:rFonts w:ascii="Palatino Linotype" w:hAnsi="Palatino Linotype" w:cs="Arial"/>
          <w:sz w:val="20"/>
        </w:rPr>
        <w:t xml:space="preserve"> 55</w:t>
      </w:r>
    </w:p>
  </w:footnote>
  <w:footnote w:id="98">
    <w:p w14:paraId="31C42B56"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99">
    <w:p w14:paraId="4DBF6167"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00">
    <w:p w14:paraId="42087A1E"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01">
    <w:p w14:paraId="5A41B899"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02">
    <w:p w14:paraId="32315A80" w14:textId="2C873C7B" w:rsidR="00196E23" w:rsidRPr="00546952" w:rsidRDefault="00196E23" w:rsidP="002B5014">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rPr>
        <w:t xml:space="preserve">M King, A Freiberg, B </w:t>
      </w:r>
      <w:proofErr w:type="spellStart"/>
      <w:r w:rsidRPr="00546952">
        <w:rPr>
          <w:rFonts w:ascii="Palatino Linotype" w:hAnsi="Palatino Linotype" w:cs="Arial"/>
          <w:sz w:val="20"/>
        </w:rPr>
        <w:t>Batagol</w:t>
      </w:r>
      <w:proofErr w:type="spellEnd"/>
      <w:r w:rsidRPr="00546952">
        <w:rPr>
          <w:rFonts w:ascii="Palatino Linotype" w:hAnsi="Palatino Linotype" w:cs="Arial"/>
          <w:sz w:val="20"/>
        </w:rPr>
        <w:t xml:space="preserve">, R </w:t>
      </w:r>
      <w:proofErr w:type="spellStart"/>
      <w:r w:rsidRPr="00546952">
        <w:rPr>
          <w:rFonts w:ascii="Palatino Linotype" w:hAnsi="Palatino Linotype" w:cs="Arial"/>
          <w:sz w:val="20"/>
        </w:rPr>
        <w:t>Hyams</w:t>
      </w:r>
      <w:proofErr w:type="spellEnd"/>
      <w:r w:rsidRPr="00546952">
        <w:rPr>
          <w:rFonts w:ascii="Palatino Linotype" w:hAnsi="Palatino Linotype" w:cs="Arial"/>
          <w:sz w:val="20"/>
        </w:rPr>
        <w:t>,</w:t>
      </w:r>
      <w:r w:rsidRPr="00546952">
        <w:rPr>
          <w:rFonts w:ascii="Palatino Linotype" w:hAnsi="Palatino Linotype" w:cs="Arial"/>
          <w:sz w:val="20"/>
          <w:szCs w:val="20"/>
          <w:lang w:val="en-US"/>
        </w:rPr>
        <w:t xml:space="preserve"> </w:t>
      </w:r>
      <w:r w:rsidRPr="00546952">
        <w:rPr>
          <w:rFonts w:ascii="Palatino Linotype" w:hAnsi="Palatino Linotype" w:cs="Arial"/>
          <w:i/>
          <w:sz w:val="20"/>
          <w:szCs w:val="20"/>
          <w:lang w:val="en-US"/>
        </w:rPr>
        <w:t>Non-Adversarial Justice</w:t>
      </w:r>
      <w:r w:rsidRPr="00546952">
        <w:rPr>
          <w:rFonts w:ascii="Palatino Linotype" w:hAnsi="Palatino Linotype" w:cs="Arial"/>
          <w:sz w:val="20"/>
          <w:szCs w:val="20"/>
          <w:lang w:val="en-US"/>
        </w:rPr>
        <w:t xml:space="preserve"> </w:t>
      </w:r>
    </w:p>
    <w:p w14:paraId="2653AE69" w14:textId="77D47486" w:rsidR="00196E23" w:rsidRPr="00546952" w:rsidRDefault="00196E23" w:rsidP="002B5014">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(The Federation Press, 2009) 247</w:t>
      </w:r>
    </w:p>
  </w:footnote>
  <w:footnote w:id="103">
    <w:p w14:paraId="123D7DCC" w14:textId="77777777" w:rsidR="00650276"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Australian Government, Review of Australian Higher Education (2008) (the </w:t>
      </w:r>
    </w:p>
    <w:p w14:paraId="7356AA0A" w14:textId="5F172B45" w:rsidR="00196E23" w:rsidRPr="00546952" w:rsidRDefault="00650276" w:rsidP="009C79F6">
      <w:pPr>
        <w:pStyle w:val="FootnoteText"/>
        <w:rPr>
          <w:rFonts w:ascii="Palatino Linotype" w:hAnsi="Palatino Linotype" w:cs="Arial"/>
          <w:sz w:val="20"/>
          <w:szCs w:val="20"/>
          <w:lang w:val="en-US"/>
        </w:rPr>
      </w:pPr>
      <w:r w:rsidRPr="00546952">
        <w:rPr>
          <w:rFonts w:ascii="Palatino Linotype" w:hAnsi="Palatino Linotype" w:cs="Arial"/>
          <w:sz w:val="20"/>
          <w:szCs w:val="20"/>
        </w:rPr>
        <w:t xml:space="preserve">    </w:t>
      </w:r>
      <w:r w:rsidR="00196E23" w:rsidRPr="00546952">
        <w:rPr>
          <w:rFonts w:ascii="Palatino Linotype" w:hAnsi="Palatino Linotype" w:cs="Arial"/>
          <w:sz w:val="20"/>
          <w:szCs w:val="20"/>
        </w:rPr>
        <w:t>Bradley Report)</w:t>
      </w:r>
    </w:p>
  </w:footnote>
  <w:footnote w:id="104">
    <w:p w14:paraId="5EC62ECD"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 xi-xvi.</w:t>
      </w:r>
    </w:p>
  </w:footnote>
  <w:footnote w:id="105">
    <w:p w14:paraId="73FE6156"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Australian Government, Tertiary Education Quality and Standards Agency (TEQSA), </w:t>
      </w:r>
    </w:p>
    <w:p w14:paraId="00E90B8B" w14:textId="3E7C75D0"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About TEQSA http://www.teqsa.gov.au/about-teqsa at 3 January 2012.</w:t>
      </w:r>
    </w:p>
  </w:footnote>
  <w:footnote w:id="106">
    <w:p w14:paraId="076C8B2C"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Australian Learning and Teaching Council (ALTC), ‘Discipline Setting Standards’ </w:t>
      </w:r>
    </w:p>
    <w:p w14:paraId="6A23C8E3" w14:textId="77777777"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ALTC Newsletter 2010. http://www.altc.edu.au/standards at 3 January 2012.</w:t>
      </w:r>
    </w:p>
  </w:footnote>
  <w:footnote w:id="107">
    <w:p w14:paraId="79DE90C1" w14:textId="77777777" w:rsidR="00196E23" w:rsidRPr="00546952" w:rsidRDefault="00196E23" w:rsidP="009C79F6">
      <w:pPr>
        <w:widowControl w:val="0"/>
        <w:autoSpaceDE w:val="0"/>
        <w:autoSpaceDN w:val="0"/>
        <w:adjustRightInd w:val="0"/>
        <w:rPr>
          <w:rFonts w:ascii="Palatino Linotype" w:eastAsiaTheme="minorHAnsi"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eastAsiaTheme="minorHAnsi" w:hAnsi="Palatino Linotype" w:cs="Arial"/>
          <w:sz w:val="20"/>
          <w:szCs w:val="20"/>
          <w:lang w:val="en-US"/>
        </w:rPr>
        <w:t xml:space="preserve">Australian Learning and Teaching Council, Learning and Teaching Academic Standards </w:t>
      </w:r>
    </w:p>
    <w:p w14:paraId="6A642E01" w14:textId="77777777" w:rsidR="00196E23" w:rsidRPr="00546952" w:rsidRDefault="00196E23" w:rsidP="009C79F6">
      <w:pPr>
        <w:widowControl w:val="0"/>
        <w:autoSpaceDE w:val="0"/>
        <w:autoSpaceDN w:val="0"/>
        <w:adjustRightInd w:val="0"/>
        <w:rPr>
          <w:rFonts w:ascii="Palatino Linotype" w:eastAsiaTheme="minorHAnsi" w:hAnsi="Palatino Linotype" w:cs="Arial"/>
          <w:sz w:val="20"/>
          <w:szCs w:val="20"/>
          <w:lang w:val="en-US"/>
        </w:rPr>
      </w:pPr>
      <w:r w:rsidRPr="00546952">
        <w:rPr>
          <w:rFonts w:ascii="Palatino Linotype" w:eastAsiaTheme="minorHAnsi" w:hAnsi="Palatino Linotype" w:cs="Arial"/>
          <w:sz w:val="20"/>
          <w:szCs w:val="20"/>
          <w:lang w:val="en-US"/>
        </w:rPr>
        <w:t xml:space="preserve">    Project: Bachelor of Laws: Academic Standards Statement (December, 2010).</w:t>
      </w:r>
    </w:p>
  </w:footnote>
  <w:footnote w:id="108">
    <w:p w14:paraId="2045B9CD" w14:textId="2A3B2873"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See </w:t>
      </w:r>
      <w:proofErr w:type="spellStart"/>
      <w:r w:rsidRPr="00546952">
        <w:rPr>
          <w:rFonts w:ascii="Palatino Linotype" w:hAnsi="Palatino Linotype" w:cs="Arial"/>
          <w:sz w:val="20"/>
          <w:szCs w:val="20"/>
          <w:lang w:val="en-US"/>
        </w:rPr>
        <w:t>Sourdin</w:t>
      </w:r>
      <w:proofErr w:type="spellEnd"/>
      <w:r w:rsidR="007B6DD5"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above n 1. </w:t>
      </w:r>
    </w:p>
  </w:footnote>
  <w:footnote w:id="109">
    <w:p w14:paraId="2DF5B45B"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110">
    <w:p w14:paraId="4614DA74" w14:textId="77777777" w:rsidR="00196E23" w:rsidRPr="00546952" w:rsidRDefault="00196E23" w:rsidP="009C79F6">
      <w:pPr>
        <w:pStyle w:val="FootnoteText"/>
        <w:rPr>
          <w:rFonts w:ascii="Palatino Linotype" w:hAnsi="Palatino Linotype" w:cs="Arial"/>
          <w:i/>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Australian Learning and Teaching Council (ALTC), </w:t>
      </w:r>
      <w:r w:rsidRPr="00546952">
        <w:rPr>
          <w:rFonts w:ascii="Palatino Linotype" w:hAnsi="Palatino Linotype" w:cs="Arial"/>
          <w:i/>
          <w:sz w:val="20"/>
          <w:szCs w:val="20"/>
        </w:rPr>
        <w:t xml:space="preserve">Learning and Teaching Academic </w:t>
      </w:r>
    </w:p>
    <w:p w14:paraId="290D745A" w14:textId="77777777"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i/>
          <w:sz w:val="20"/>
          <w:szCs w:val="20"/>
        </w:rPr>
        <w:t xml:space="preserve">    Standards Project: Bachelor of Laws: Academic Standards Statement</w:t>
      </w:r>
      <w:r w:rsidRPr="00546952">
        <w:rPr>
          <w:rFonts w:ascii="Palatino Linotype" w:hAnsi="Palatino Linotype" w:cs="Arial"/>
          <w:sz w:val="20"/>
          <w:szCs w:val="20"/>
        </w:rPr>
        <w:t xml:space="preserve"> (December, 2010)</w:t>
      </w:r>
    </w:p>
  </w:footnote>
  <w:footnote w:id="111">
    <w:p w14:paraId="0E385EA8"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112">
    <w:p w14:paraId="23941ABD" w14:textId="77777777" w:rsidR="00196E23" w:rsidRPr="00546952" w:rsidRDefault="00196E23" w:rsidP="009C79F6">
      <w:pPr>
        <w:pStyle w:val="FootnoteText"/>
        <w:rPr>
          <w:rFonts w:ascii="Palatino Linotype" w:hAnsi="Palatino Linotype" w:cs="Arial"/>
          <w:i/>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Australian Learning and Teaching Council (ALTC), </w:t>
      </w:r>
      <w:r w:rsidRPr="00546952">
        <w:rPr>
          <w:rFonts w:ascii="Palatino Linotype" w:hAnsi="Palatino Linotype" w:cs="Arial"/>
          <w:i/>
          <w:sz w:val="20"/>
          <w:szCs w:val="20"/>
        </w:rPr>
        <w:t xml:space="preserve">Learning and Teaching Academic </w:t>
      </w:r>
    </w:p>
    <w:p w14:paraId="03D297FC" w14:textId="77777777"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i/>
          <w:sz w:val="20"/>
          <w:szCs w:val="20"/>
        </w:rPr>
        <w:t xml:space="preserve">     Standards Project: Bachelor of Laws: Academic Standards Statement</w:t>
      </w:r>
      <w:r w:rsidRPr="00546952">
        <w:rPr>
          <w:rFonts w:ascii="Palatino Linotype" w:hAnsi="Palatino Linotype" w:cs="Arial"/>
          <w:sz w:val="20"/>
          <w:szCs w:val="20"/>
        </w:rPr>
        <w:t xml:space="preserve"> (December, 2010)</w:t>
      </w:r>
    </w:p>
  </w:footnote>
  <w:footnote w:id="113">
    <w:p w14:paraId="411D516C" w14:textId="190529C1"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Douglas, </w:t>
      </w:r>
      <w:r w:rsidR="00AE36FF" w:rsidRPr="00546952">
        <w:rPr>
          <w:rFonts w:ascii="Palatino Linotype" w:hAnsi="Palatino Linotype" w:cs="Arial"/>
          <w:sz w:val="20"/>
          <w:szCs w:val="20"/>
        </w:rPr>
        <w:t>above n 97</w:t>
      </w:r>
      <w:r w:rsidR="007B6DD5" w:rsidRPr="00546952">
        <w:rPr>
          <w:rFonts w:ascii="Palatino Linotype" w:hAnsi="Palatino Linotype" w:cs="Arial"/>
          <w:sz w:val="20"/>
          <w:szCs w:val="20"/>
        </w:rPr>
        <w:t>,</w:t>
      </w:r>
      <w:r w:rsidRPr="00546952">
        <w:rPr>
          <w:rFonts w:ascii="Palatino Linotype" w:hAnsi="Palatino Linotype" w:cs="Arial"/>
          <w:sz w:val="20"/>
          <w:szCs w:val="20"/>
        </w:rPr>
        <w:t xml:space="preserve"> 283</w:t>
      </w:r>
      <w:r w:rsidR="007B6DD5" w:rsidRPr="00546952">
        <w:rPr>
          <w:rFonts w:ascii="Palatino Linotype" w:hAnsi="Palatino Linotype" w:cs="Arial"/>
          <w:sz w:val="20"/>
          <w:szCs w:val="20"/>
        </w:rPr>
        <w:t>.</w:t>
      </w:r>
    </w:p>
  </w:footnote>
  <w:footnote w:id="114">
    <w:p w14:paraId="1CC982E3"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115">
    <w:p w14:paraId="79AF1275"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116">
    <w:p w14:paraId="4C640418"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117">
    <w:p w14:paraId="33FDF4A5"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18">
    <w:p w14:paraId="639A1081" w14:textId="77777777" w:rsidR="00196E23" w:rsidRPr="00546952" w:rsidRDefault="00196E23" w:rsidP="00EF4431">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proofErr w:type="spellStart"/>
      <w:r w:rsidRPr="00546952">
        <w:rPr>
          <w:rFonts w:ascii="Palatino Linotype" w:hAnsi="Palatino Linotype" w:cs="Arial"/>
          <w:sz w:val="20"/>
          <w:szCs w:val="20"/>
          <w:lang w:val="en-US"/>
        </w:rPr>
        <w:t>Gutman</w:t>
      </w:r>
      <w:proofErr w:type="spellEnd"/>
      <w:r w:rsidRPr="00546952">
        <w:rPr>
          <w:rFonts w:ascii="Palatino Linotype" w:hAnsi="Palatino Linotype" w:cs="Arial"/>
          <w:sz w:val="20"/>
          <w:szCs w:val="20"/>
          <w:lang w:val="en-US"/>
        </w:rPr>
        <w:t xml:space="preserve">, J and Riddle, M, ‘ADR in legal education: Learning by doing’ (2012) </w:t>
      </w:r>
    </w:p>
    <w:p w14:paraId="64CD637F" w14:textId="23DC92BB" w:rsidR="00196E23" w:rsidRPr="00546952" w:rsidRDefault="00196E23" w:rsidP="00EF4431">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23 </w:t>
      </w:r>
      <w:r w:rsidRPr="00546952">
        <w:rPr>
          <w:rFonts w:ascii="Palatino Linotype" w:hAnsi="Palatino Linotype" w:cs="Arial"/>
          <w:i/>
          <w:sz w:val="20"/>
          <w:szCs w:val="20"/>
          <w:lang w:val="en-US"/>
        </w:rPr>
        <w:t>Australasian Dispute Resolution Journal</w:t>
      </w:r>
      <w:r w:rsidRPr="00546952">
        <w:rPr>
          <w:rFonts w:ascii="Palatino Linotype" w:hAnsi="Palatino Linotype" w:cs="Arial"/>
          <w:sz w:val="20"/>
          <w:szCs w:val="20"/>
          <w:lang w:val="en-US"/>
        </w:rPr>
        <w:t xml:space="preserve"> 191</w:t>
      </w:r>
    </w:p>
  </w:footnote>
  <w:footnote w:id="119">
    <w:p w14:paraId="366EF872" w14:textId="77777777" w:rsidR="00196E23" w:rsidRPr="00546952" w:rsidRDefault="00196E23" w:rsidP="00EF4431">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120">
    <w:p w14:paraId="5A3E0A2D" w14:textId="4CD4748F" w:rsidR="00196E23" w:rsidRPr="00546952" w:rsidRDefault="00196E23" w:rsidP="00EF4431">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 191</w:t>
      </w:r>
      <w:r w:rsidR="004F2A92" w:rsidRPr="00546952">
        <w:rPr>
          <w:rFonts w:ascii="Palatino Linotype" w:hAnsi="Palatino Linotype" w:cs="Arial"/>
          <w:sz w:val="20"/>
          <w:szCs w:val="20"/>
        </w:rPr>
        <w:t>.</w:t>
      </w:r>
    </w:p>
  </w:footnote>
  <w:footnote w:id="121">
    <w:p w14:paraId="1919353E" w14:textId="77777777" w:rsidR="00196E23" w:rsidRPr="00546952" w:rsidRDefault="00196E23" w:rsidP="00EF4431">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122">
    <w:p w14:paraId="771C5DA4" w14:textId="34890C50" w:rsidR="00196E23" w:rsidRPr="00546952" w:rsidRDefault="00196E23" w:rsidP="00EF4431">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123">
    <w:p w14:paraId="16415FC8" w14:textId="0D886593" w:rsidR="00196E23" w:rsidRPr="00546952" w:rsidRDefault="00196E23" w:rsidP="00EF4431">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 192</w:t>
      </w:r>
      <w:r w:rsidR="004F2A92" w:rsidRPr="00546952">
        <w:rPr>
          <w:rFonts w:ascii="Palatino Linotype" w:hAnsi="Palatino Linotype" w:cs="Arial"/>
          <w:sz w:val="20"/>
          <w:szCs w:val="20"/>
        </w:rPr>
        <w:t>.</w:t>
      </w:r>
    </w:p>
  </w:footnote>
  <w:footnote w:id="124">
    <w:p w14:paraId="512124A7" w14:textId="3496EEBF" w:rsidR="00196E23" w:rsidRPr="00546952" w:rsidRDefault="00196E23">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Monash University Unit Guide for Civil Dispute Unit </w:t>
      </w:r>
    </w:p>
  </w:footnote>
  <w:footnote w:id="125">
    <w:p w14:paraId="32E3D562" w14:textId="67F2FA96" w:rsidR="00196E23" w:rsidRPr="00546952" w:rsidRDefault="00196E23">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Monash University Unit Guide for </w:t>
      </w:r>
      <w:r w:rsidRPr="00546952">
        <w:rPr>
          <w:rFonts w:ascii="Palatino Linotype" w:hAnsi="Palatino Linotype" w:cs="Arial"/>
          <w:sz w:val="20"/>
          <w:szCs w:val="20"/>
          <w:lang w:val="en-US"/>
        </w:rPr>
        <w:t>Masters of Dispute Resolution</w:t>
      </w:r>
    </w:p>
  </w:footnote>
  <w:footnote w:id="126">
    <w:p w14:paraId="0C8AA035" w14:textId="5DA19BFA" w:rsidR="00196E23" w:rsidRPr="00546952" w:rsidRDefault="00196E23">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Melbourne University Synopsis for </w:t>
      </w:r>
      <w:r w:rsidRPr="00546952">
        <w:rPr>
          <w:rFonts w:ascii="Palatino Linotype" w:hAnsi="Palatino Linotype" w:cs="Arial"/>
          <w:sz w:val="20"/>
          <w:szCs w:val="20"/>
          <w:lang w:val="en-US"/>
        </w:rPr>
        <w:t>Graduate Diploma in Dispute Resolution</w:t>
      </w:r>
    </w:p>
  </w:footnote>
  <w:footnote w:id="127">
    <w:p w14:paraId="1660EAA1"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proofErr w:type="spellStart"/>
      <w:r w:rsidRPr="00546952">
        <w:rPr>
          <w:rFonts w:ascii="Palatino Linotype" w:hAnsi="Palatino Linotype" w:cs="Arial"/>
          <w:sz w:val="20"/>
          <w:szCs w:val="20"/>
        </w:rPr>
        <w:t>Gutman</w:t>
      </w:r>
      <w:proofErr w:type="spellEnd"/>
      <w:r w:rsidRPr="00546952">
        <w:rPr>
          <w:rFonts w:ascii="Palatino Linotype" w:hAnsi="Palatino Linotype" w:cs="Arial"/>
          <w:sz w:val="20"/>
          <w:szCs w:val="20"/>
        </w:rPr>
        <w:t xml:space="preserve">, J, Fisher, T, Martens, E, Why teach alternative dispute resolution to </w:t>
      </w:r>
    </w:p>
    <w:p w14:paraId="61344DE6" w14:textId="77777777"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w:t>
      </w:r>
      <w:proofErr w:type="gramStart"/>
      <w:r w:rsidRPr="00546952">
        <w:rPr>
          <w:rFonts w:ascii="Palatino Linotype" w:hAnsi="Palatino Linotype" w:cs="Arial"/>
          <w:sz w:val="20"/>
          <w:szCs w:val="20"/>
        </w:rPr>
        <w:t>law</w:t>
      </w:r>
      <w:proofErr w:type="gramEnd"/>
      <w:r w:rsidRPr="00546952">
        <w:rPr>
          <w:rFonts w:ascii="Palatino Linotype" w:hAnsi="Palatino Linotype" w:cs="Arial"/>
          <w:sz w:val="20"/>
          <w:szCs w:val="20"/>
        </w:rPr>
        <w:t xml:space="preserve"> students? Part one: past and current practices and some unanswered questions, </w:t>
      </w:r>
    </w:p>
    <w:p w14:paraId="309F354F" w14:textId="661315A4"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cs="Arial"/>
          <w:sz w:val="20"/>
          <w:szCs w:val="20"/>
        </w:rPr>
        <w:t xml:space="preserve">    </w:t>
      </w:r>
      <w:r w:rsidRPr="00546952">
        <w:rPr>
          <w:rFonts w:ascii="Palatino Linotype" w:hAnsi="Palatino Linotype" w:cs="Arial"/>
          <w:i/>
          <w:sz w:val="20"/>
          <w:szCs w:val="20"/>
        </w:rPr>
        <w:t xml:space="preserve">Legal Education Review </w:t>
      </w:r>
      <w:r w:rsidRPr="00546952">
        <w:rPr>
          <w:rFonts w:ascii="Palatino Linotype" w:hAnsi="Palatino Linotype" w:cs="Arial"/>
          <w:sz w:val="20"/>
          <w:szCs w:val="20"/>
        </w:rPr>
        <w:t>(2006) 125</w:t>
      </w:r>
      <w:r w:rsidRPr="00546952">
        <w:rPr>
          <w:rFonts w:ascii="Palatino Linotype" w:hAnsi="Palatino Linotype" w:cs="Arial"/>
          <w:sz w:val="20"/>
          <w:szCs w:val="20"/>
          <w:lang w:val="en-US"/>
        </w:rPr>
        <w:t xml:space="preserve"> </w:t>
      </w:r>
      <w:r w:rsidRPr="00546952">
        <w:rPr>
          <w:rFonts w:ascii="Palatino Linotype" w:hAnsi="Palatino Linotype" w:cs="Arial"/>
          <w:sz w:val="20"/>
          <w:szCs w:val="20"/>
        </w:rPr>
        <w:t xml:space="preserve">This research is focused on clinical legal education in </w:t>
      </w:r>
    </w:p>
    <w:p w14:paraId="66CCE998" w14:textId="77777777"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the Australian context, but it must be noted that clinical education is accepted, encouraged, </w:t>
      </w:r>
    </w:p>
    <w:p w14:paraId="5E2A5A83" w14:textId="77777777"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w:t>
      </w:r>
      <w:proofErr w:type="gramStart"/>
      <w:r w:rsidRPr="00546952">
        <w:rPr>
          <w:rFonts w:ascii="Palatino Linotype" w:hAnsi="Palatino Linotype" w:cs="Arial"/>
          <w:sz w:val="20"/>
          <w:szCs w:val="20"/>
        </w:rPr>
        <w:t>taught</w:t>
      </w:r>
      <w:proofErr w:type="gramEnd"/>
      <w:r w:rsidRPr="00546952">
        <w:rPr>
          <w:rFonts w:ascii="Palatino Linotype" w:hAnsi="Palatino Linotype" w:cs="Arial"/>
          <w:sz w:val="20"/>
          <w:szCs w:val="20"/>
        </w:rPr>
        <w:t xml:space="preserve">, learned and researched internationally. Much writing exists on clinics in the </w:t>
      </w:r>
    </w:p>
    <w:p w14:paraId="19DF3BD1" w14:textId="77777777"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international context some include: Margaret Barry, Clinical Legal Education in the Law </w:t>
      </w:r>
    </w:p>
    <w:p w14:paraId="05322D84" w14:textId="77777777" w:rsidR="00196E23" w:rsidRPr="00546952" w:rsidRDefault="00196E23" w:rsidP="009C79F6">
      <w:pPr>
        <w:pStyle w:val="FootnoteText"/>
        <w:rPr>
          <w:rFonts w:ascii="Palatino Linotype" w:hAnsi="Palatino Linotype" w:cs="Arial"/>
          <w:i/>
          <w:sz w:val="20"/>
          <w:szCs w:val="20"/>
        </w:rPr>
      </w:pPr>
      <w:r w:rsidRPr="00546952">
        <w:rPr>
          <w:rFonts w:ascii="Palatino Linotype" w:hAnsi="Palatino Linotype" w:cs="Arial"/>
          <w:sz w:val="20"/>
          <w:szCs w:val="20"/>
        </w:rPr>
        <w:t xml:space="preserve">    University: Goals and Challenges (2007) 27 </w:t>
      </w:r>
      <w:r w:rsidRPr="00546952">
        <w:rPr>
          <w:rFonts w:ascii="Palatino Linotype" w:hAnsi="Palatino Linotype" w:cs="Arial"/>
          <w:i/>
          <w:sz w:val="20"/>
          <w:szCs w:val="20"/>
        </w:rPr>
        <w:t xml:space="preserve">International Journal Clinical Legal </w:t>
      </w:r>
    </w:p>
    <w:p w14:paraId="4A521FD6" w14:textId="77777777"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i/>
          <w:sz w:val="20"/>
          <w:szCs w:val="20"/>
        </w:rPr>
        <w:t xml:space="preserve">    Education</w:t>
      </w:r>
      <w:r w:rsidRPr="00546952">
        <w:rPr>
          <w:rFonts w:ascii="Palatino Linotype" w:hAnsi="Palatino Linotype" w:cs="Arial"/>
          <w:sz w:val="20"/>
          <w:szCs w:val="20"/>
        </w:rPr>
        <w:t xml:space="preserve">  p 30, for discussions on clinical legal education in India, and p33 </w:t>
      </w:r>
    </w:p>
    <w:p w14:paraId="6C1C7B2F" w14:textId="77777777"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Legal Education Reform in United States; James </w:t>
      </w:r>
      <w:proofErr w:type="spellStart"/>
      <w:r w:rsidRPr="00546952">
        <w:rPr>
          <w:rFonts w:ascii="Palatino Linotype" w:hAnsi="Palatino Linotype" w:cs="Arial"/>
          <w:sz w:val="20"/>
          <w:szCs w:val="20"/>
        </w:rPr>
        <w:t>Marson</w:t>
      </w:r>
      <w:proofErr w:type="spellEnd"/>
      <w:r w:rsidRPr="00546952">
        <w:rPr>
          <w:rFonts w:ascii="Palatino Linotype" w:hAnsi="Palatino Linotype" w:cs="Arial"/>
          <w:sz w:val="20"/>
          <w:szCs w:val="20"/>
        </w:rPr>
        <w:t xml:space="preserve">, Adam Wilson and Mark </w:t>
      </w:r>
    </w:p>
    <w:p w14:paraId="697F254C" w14:textId="77777777" w:rsidR="00196E23" w:rsidRPr="00546952" w:rsidRDefault="00196E23" w:rsidP="009C79F6">
      <w:pPr>
        <w:pStyle w:val="FootnoteText"/>
        <w:rPr>
          <w:rFonts w:ascii="Palatino Linotype" w:hAnsi="Palatino Linotype" w:cs="Arial"/>
          <w:sz w:val="20"/>
          <w:szCs w:val="20"/>
        </w:rPr>
      </w:pPr>
      <w:r w:rsidRPr="00546952">
        <w:rPr>
          <w:rFonts w:ascii="Palatino Linotype" w:hAnsi="Palatino Linotype" w:cs="Arial"/>
          <w:sz w:val="20"/>
          <w:szCs w:val="20"/>
        </w:rPr>
        <w:t xml:space="preserve">     Van </w:t>
      </w:r>
      <w:proofErr w:type="spellStart"/>
      <w:r w:rsidRPr="00546952">
        <w:rPr>
          <w:rFonts w:ascii="Palatino Linotype" w:hAnsi="Palatino Linotype" w:cs="Arial"/>
          <w:sz w:val="20"/>
          <w:szCs w:val="20"/>
        </w:rPr>
        <w:t>Hoorebeek</w:t>
      </w:r>
      <w:proofErr w:type="spellEnd"/>
      <w:r w:rsidRPr="00546952">
        <w:rPr>
          <w:rFonts w:ascii="Palatino Linotype" w:hAnsi="Palatino Linotype" w:cs="Arial"/>
          <w:sz w:val="20"/>
          <w:szCs w:val="20"/>
        </w:rPr>
        <w:t xml:space="preserve">, The Necessity of Clinical Legal Education in University Law Schools: </w:t>
      </w:r>
    </w:p>
    <w:p w14:paraId="1AF9A448" w14:textId="77777777" w:rsidR="00196E23" w:rsidRPr="00546952" w:rsidRDefault="00196E23" w:rsidP="00B87CC4">
      <w:pPr>
        <w:pStyle w:val="FootnoteText"/>
        <w:rPr>
          <w:rFonts w:ascii="Palatino Linotype" w:hAnsi="Palatino Linotype" w:cs="Arial"/>
          <w:sz w:val="20"/>
          <w:szCs w:val="20"/>
        </w:rPr>
      </w:pPr>
      <w:r w:rsidRPr="00546952">
        <w:rPr>
          <w:rFonts w:ascii="Palatino Linotype" w:hAnsi="Palatino Linotype" w:cs="Arial"/>
          <w:sz w:val="20"/>
          <w:szCs w:val="20"/>
        </w:rPr>
        <w:t xml:space="preserve">     A UK Perspective (2005)7 </w:t>
      </w:r>
      <w:r w:rsidRPr="00546952">
        <w:rPr>
          <w:rFonts w:ascii="Palatino Linotype" w:hAnsi="Palatino Linotype" w:cs="Arial"/>
          <w:i/>
          <w:sz w:val="20"/>
          <w:szCs w:val="20"/>
        </w:rPr>
        <w:t>International Journal of Legal Education</w:t>
      </w:r>
      <w:r w:rsidRPr="00546952">
        <w:rPr>
          <w:rFonts w:ascii="Palatino Linotype" w:hAnsi="Palatino Linotype" w:cs="Arial"/>
          <w:sz w:val="20"/>
          <w:szCs w:val="20"/>
        </w:rPr>
        <w:t xml:space="preserve"> 29 for a discussion </w:t>
      </w:r>
    </w:p>
    <w:p w14:paraId="6E1621E2" w14:textId="77777777" w:rsidR="00196E23" w:rsidRPr="00546952" w:rsidRDefault="00196E23" w:rsidP="00B87CC4">
      <w:pPr>
        <w:pStyle w:val="FootnoteText"/>
        <w:rPr>
          <w:rFonts w:ascii="Palatino Linotype" w:hAnsi="Palatino Linotype" w:cs="Arial"/>
          <w:sz w:val="20"/>
          <w:szCs w:val="20"/>
        </w:rPr>
      </w:pPr>
      <w:r w:rsidRPr="00546952">
        <w:rPr>
          <w:rFonts w:ascii="Palatino Linotype" w:hAnsi="Palatino Linotype" w:cs="Arial"/>
          <w:sz w:val="20"/>
          <w:szCs w:val="20"/>
        </w:rPr>
        <w:t xml:space="preserve">    on clinical legal education in UK, Neil Gold, Clinic is the Basis for a Complete </w:t>
      </w:r>
    </w:p>
    <w:p w14:paraId="262978DB" w14:textId="77777777" w:rsidR="00196E23" w:rsidRPr="00546952" w:rsidRDefault="00196E23" w:rsidP="00B87CC4">
      <w:pPr>
        <w:pStyle w:val="FootnoteText"/>
        <w:rPr>
          <w:rFonts w:ascii="Palatino Linotype" w:hAnsi="Palatino Linotype" w:cs="Arial"/>
          <w:sz w:val="20"/>
          <w:szCs w:val="20"/>
        </w:rPr>
      </w:pPr>
      <w:r w:rsidRPr="00546952">
        <w:rPr>
          <w:rFonts w:ascii="Palatino Linotype" w:hAnsi="Palatino Linotype" w:cs="Arial"/>
          <w:sz w:val="20"/>
          <w:szCs w:val="20"/>
        </w:rPr>
        <w:t xml:space="preserve">    Legal Education: Quality Assurance, Learning Outcomes and the Clinical Method, </w:t>
      </w:r>
    </w:p>
    <w:p w14:paraId="30BAD64C" w14:textId="77777777" w:rsidR="00196E23" w:rsidRPr="00546952" w:rsidRDefault="00196E23" w:rsidP="00B87CC4">
      <w:pPr>
        <w:pStyle w:val="FootnoteText"/>
        <w:rPr>
          <w:rFonts w:ascii="Palatino Linotype" w:hAnsi="Palatino Linotype" w:cs="Arial"/>
          <w:sz w:val="20"/>
          <w:szCs w:val="20"/>
        </w:rPr>
      </w:pPr>
      <w:r w:rsidRPr="00546952">
        <w:rPr>
          <w:rFonts w:ascii="Palatino Linotype" w:hAnsi="Palatino Linotype" w:cs="Arial"/>
          <w:sz w:val="20"/>
          <w:szCs w:val="20"/>
        </w:rPr>
        <w:t xml:space="preserve">    (2015) 22 </w:t>
      </w:r>
      <w:r w:rsidRPr="00546952">
        <w:rPr>
          <w:rFonts w:ascii="Palatino Linotype" w:hAnsi="Palatino Linotype" w:cs="Arial"/>
          <w:i/>
          <w:sz w:val="20"/>
          <w:szCs w:val="20"/>
        </w:rPr>
        <w:t>International Journal of Clinical Legal Education</w:t>
      </w:r>
      <w:r w:rsidRPr="00546952">
        <w:rPr>
          <w:rFonts w:ascii="Palatino Linotype" w:hAnsi="Palatino Linotype" w:cs="Arial"/>
          <w:sz w:val="20"/>
          <w:szCs w:val="20"/>
        </w:rPr>
        <w:t xml:space="preserve"> 1 for </w:t>
      </w:r>
      <w:proofErr w:type="spellStart"/>
      <w:r w:rsidRPr="00546952">
        <w:rPr>
          <w:rFonts w:ascii="Palatino Linotype" w:hAnsi="Palatino Linotype" w:cs="Arial"/>
          <w:sz w:val="20"/>
          <w:szCs w:val="20"/>
        </w:rPr>
        <w:t>a</w:t>
      </w:r>
      <w:proofErr w:type="spellEnd"/>
      <w:r w:rsidRPr="00546952">
        <w:rPr>
          <w:rFonts w:ascii="Palatino Linotype" w:hAnsi="Palatino Linotype" w:cs="Arial"/>
          <w:sz w:val="20"/>
          <w:szCs w:val="20"/>
        </w:rPr>
        <w:t xml:space="preserve"> overview on clinical </w:t>
      </w:r>
    </w:p>
    <w:p w14:paraId="64A57FC9" w14:textId="67FAE456" w:rsidR="00196E23" w:rsidRPr="00546952" w:rsidRDefault="00196E23" w:rsidP="00B87CC4">
      <w:pPr>
        <w:pStyle w:val="FootnoteText"/>
        <w:rPr>
          <w:rFonts w:ascii="Palatino Linotype" w:hAnsi="Palatino Linotype" w:cs="Arial"/>
          <w:sz w:val="20"/>
          <w:szCs w:val="20"/>
        </w:rPr>
      </w:pPr>
      <w:r w:rsidRPr="00546952">
        <w:rPr>
          <w:rFonts w:ascii="Palatino Linotype" w:hAnsi="Palatino Linotype" w:cs="Arial"/>
          <w:sz w:val="20"/>
          <w:szCs w:val="20"/>
        </w:rPr>
        <w:t xml:space="preserve">    legal education in Canada </w:t>
      </w:r>
    </w:p>
  </w:footnote>
  <w:footnote w:id="128">
    <w:p w14:paraId="3C242EBE"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 xml:space="preserve">Evans, A, Cody, A, Copeland A, Giddings, J, </w:t>
      </w:r>
      <w:proofErr w:type="spellStart"/>
      <w:r w:rsidRPr="00546952">
        <w:rPr>
          <w:rFonts w:ascii="Palatino Linotype" w:hAnsi="Palatino Linotype" w:cs="Arial"/>
          <w:sz w:val="20"/>
          <w:szCs w:val="20"/>
          <w:lang w:val="en-US"/>
        </w:rPr>
        <w:t>Noone</w:t>
      </w:r>
      <w:proofErr w:type="spellEnd"/>
      <w:r w:rsidRPr="00546952">
        <w:rPr>
          <w:rFonts w:ascii="Palatino Linotype" w:hAnsi="Palatino Linotype" w:cs="Arial"/>
          <w:sz w:val="20"/>
          <w:szCs w:val="20"/>
          <w:lang w:val="en-US"/>
        </w:rPr>
        <w:t xml:space="preserve"> M.A &amp; Rice S, Best Practices </w:t>
      </w:r>
    </w:p>
    <w:p w14:paraId="5321F801" w14:textId="77777777"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Australian Clinical Legal Education Office of Teaching and Learning 2013 </w:t>
      </w:r>
    </w:p>
  </w:footnote>
  <w:footnote w:id="129">
    <w:p w14:paraId="5934150E" w14:textId="27F465C8"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 20</w:t>
      </w:r>
      <w:r w:rsidR="00CC382C" w:rsidRPr="00546952">
        <w:rPr>
          <w:rFonts w:ascii="Palatino Linotype" w:hAnsi="Palatino Linotype" w:cs="Arial"/>
          <w:sz w:val="20"/>
          <w:szCs w:val="20"/>
          <w:lang w:val="en-US"/>
        </w:rPr>
        <w:t>.</w:t>
      </w:r>
    </w:p>
  </w:footnote>
  <w:footnote w:id="130">
    <w:p w14:paraId="67493D0D" w14:textId="77777777" w:rsidR="00196E23" w:rsidRPr="00546952" w:rsidRDefault="00196E23" w:rsidP="009C79F6">
      <w:pPr>
        <w:widowControl w:val="0"/>
        <w:autoSpaceDE w:val="0"/>
        <w:autoSpaceDN w:val="0"/>
        <w:adjustRightInd w:val="0"/>
        <w:rPr>
          <w:rFonts w:ascii="Palatino Linotype" w:hAnsi="Palatino Linotype" w:cs="Arial"/>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proofErr w:type="spellStart"/>
      <w:r w:rsidRPr="00546952">
        <w:rPr>
          <w:rFonts w:ascii="Palatino Linotype" w:hAnsi="Palatino Linotype" w:cs="Arial"/>
          <w:sz w:val="20"/>
          <w:szCs w:val="20"/>
          <w:lang w:val="en-US"/>
        </w:rPr>
        <w:t>Noone</w:t>
      </w:r>
      <w:proofErr w:type="spellEnd"/>
      <w:r w:rsidRPr="00546952">
        <w:rPr>
          <w:rFonts w:ascii="Palatino Linotype" w:hAnsi="Palatino Linotype" w:cs="Arial"/>
          <w:sz w:val="20"/>
          <w:szCs w:val="20"/>
          <w:lang w:val="en-US"/>
        </w:rPr>
        <w:t xml:space="preserve"> M and Dickson J, ‘Teaching Towards a New Professionalism: Challenging </w:t>
      </w:r>
    </w:p>
    <w:p w14:paraId="50D8924B" w14:textId="54452E14" w:rsidR="00196E23" w:rsidRPr="00546952" w:rsidRDefault="00196E23" w:rsidP="009C79F6">
      <w:pPr>
        <w:widowControl w:val="0"/>
        <w:autoSpaceDE w:val="0"/>
        <w:autoSpaceDN w:val="0"/>
        <w:adjustRightInd w:val="0"/>
        <w:rPr>
          <w:rFonts w:ascii="Palatino Linotype" w:hAnsi="Palatino Linotype" w:cs="Arial"/>
          <w:sz w:val="20"/>
          <w:szCs w:val="20"/>
          <w:lang w:val="en-US"/>
        </w:rPr>
      </w:pPr>
      <w:r w:rsidRPr="00546952">
        <w:rPr>
          <w:rFonts w:ascii="Palatino Linotype" w:hAnsi="Palatino Linotype" w:cs="Arial"/>
          <w:sz w:val="20"/>
          <w:szCs w:val="20"/>
          <w:lang w:val="en-US"/>
        </w:rPr>
        <w:t xml:space="preserve">     Law Students to Become Ethical Lawyers’ (2004) 4 </w:t>
      </w:r>
      <w:r w:rsidRPr="00546952">
        <w:rPr>
          <w:rFonts w:ascii="Palatino Linotype" w:hAnsi="Palatino Linotype" w:cs="Arial"/>
          <w:i/>
          <w:sz w:val="20"/>
          <w:szCs w:val="20"/>
          <w:lang w:val="en-US"/>
        </w:rPr>
        <w:t>Legal Ethics</w:t>
      </w:r>
      <w:r w:rsidRPr="00546952">
        <w:rPr>
          <w:rFonts w:ascii="Palatino Linotype" w:hAnsi="Palatino Linotype" w:cs="Arial"/>
          <w:sz w:val="20"/>
          <w:szCs w:val="20"/>
          <w:lang w:val="en-US"/>
        </w:rPr>
        <w:t xml:space="preserve"> 127.</w:t>
      </w:r>
      <w:r w:rsidRPr="00546952">
        <w:rPr>
          <w:rFonts w:ascii="Palatino Linotype" w:hAnsi="Palatino Linotype" w:cs="Arial"/>
          <w:sz w:val="20"/>
          <w:szCs w:val="16"/>
          <w:lang w:val="en-US"/>
        </w:rPr>
        <w:t xml:space="preserve"> </w:t>
      </w:r>
    </w:p>
  </w:footnote>
  <w:footnote w:id="131">
    <w:p w14:paraId="1F712C1A" w14:textId="77777777"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 xml:space="preserve">J Giddings, </w:t>
      </w:r>
      <w:r w:rsidRPr="00546952">
        <w:rPr>
          <w:rFonts w:ascii="Palatino Linotype" w:hAnsi="Palatino Linotype" w:cs="Arial"/>
          <w:i/>
          <w:sz w:val="20"/>
          <w:szCs w:val="20"/>
          <w:lang w:val="en-US"/>
        </w:rPr>
        <w:t>Promoting Justice Through Clinical Legal Education</w:t>
      </w:r>
      <w:r w:rsidRPr="00546952">
        <w:rPr>
          <w:rFonts w:ascii="Palatino Linotype" w:hAnsi="Palatino Linotype" w:cs="Arial"/>
          <w:sz w:val="20"/>
          <w:szCs w:val="20"/>
          <w:lang w:val="en-US"/>
        </w:rPr>
        <w:t>, Justice Press 2013, 9</w:t>
      </w:r>
    </w:p>
  </w:footnote>
  <w:footnote w:id="132">
    <w:p w14:paraId="53B5A7A7"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 xml:space="preserve">Ibid 10, with reference to clinics established at Deakin University (2003), the Australian </w:t>
      </w:r>
    </w:p>
    <w:p w14:paraId="7AED9312" w14:textId="77777777"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National University (2004), Bond University (2004), Macquarie University (2004), University </w:t>
      </w:r>
    </w:p>
    <w:p w14:paraId="6597C9C9" w14:textId="77777777"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of Queensland and University of Sydney, see Giddings for detailed outline of </w:t>
      </w:r>
    </w:p>
    <w:p w14:paraId="07301ED7" w14:textId="21D2F982"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cs="Arial"/>
          <w:sz w:val="20"/>
          <w:szCs w:val="20"/>
          <w:lang w:val="en-US"/>
        </w:rPr>
        <w:t xml:space="preserve">     </w:t>
      </w:r>
      <w:proofErr w:type="gramStart"/>
      <w:r w:rsidRPr="00546952">
        <w:rPr>
          <w:rFonts w:ascii="Palatino Linotype" w:hAnsi="Palatino Linotype" w:cs="Arial"/>
          <w:sz w:val="20"/>
          <w:szCs w:val="20"/>
          <w:lang w:val="en-US"/>
        </w:rPr>
        <w:t>clinical</w:t>
      </w:r>
      <w:proofErr w:type="gramEnd"/>
      <w:r w:rsidRPr="00546952">
        <w:rPr>
          <w:rFonts w:ascii="Palatino Linotype" w:hAnsi="Palatino Linotype" w:cs="Arial"/>
          <w:sz w:val="20"/>
          <w:szCs w:val="20"/>
          <w:lang w:val="en-US"/>
        </w:rPr>
        <w:t xml:space="preserve"> programs.</w:t>
      </w:r>
    </w:p>
  </w:footnote>
  <w:footnote w:id="133">
    <w:p w14:paraId="5C1BD6FA" w14:textId="65F16226"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 13</w:t>
      </w:r>
      <w:r w:rsidR="00CC382C" w:rsidRPr="00546952">
        <w:rPr>
          <w:rFonts w:ascii="Palatino Linotype" w:hAnsi="Palatino Linotype" w:cs="Arial"/>
          <w:sz w:val="20"/>
          <w:szCs w:val="20"/>
          <w:lang w:val="en-US"/>
        </w:rPr>
        <w:t>.</w:t>
      </w:r>
    </w:p>
  </w:footnote>
  <w:footnote w:id="134">
    <w:p w14:paraId="35BAB78F" w14:textId="77777777" w:rsidR="00196E23" w:rsidRPr="00546952" w:rsidRDefault="00196E23" w:rsidP="009C79F6">
      <w:pPr>
        <w:pStyle w:val="FootnoteText"/>
        <w:rPr>
          <w:rFonts w:ascii="Palatino Linotype" w:hAnsi="Palatino Linotype" w:cs="Arial"/>
          <w:sz w:val="20"/>
          <w:szCs w:val="20"/>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rPr>
        <w:t xml:space="preserve">Judith Dickson, </w:t>
      </w:r>
      <w:r w:rsidRPr="00546952">
        <w:rPr>
          <w:rFonts w:ascii="Palatino Linotype" w:hAnsi="Palatino Linotype" w:cs="Arial"/>
          <w:i/>
          <w:sz w:val="20"/>
          <w:szCs w:val="20"/>
        </w:rPr>
        <w:t xml:space="preserve">25 Years of Clinical Legal Education at La Trobe </w:t>
      </w:r>
      <w:proofErr w:type="spellStart"/>
      <w:r w:rsidRPr="00546952">
        <w:rPr>
          <w:rFonts w:ascii="Palatino Linotype" w:hAnsi="Palatino Linotype" w:cs="Arial"/>
          <w:i/>
          <w:sz w:val="20"/>
          <w:szCs w:val="20"/>
        </w:rPr>
        <w:t>Uni</w:t>
      </w:r>
      <w:proofErr w:type="spellEnd"/>
      <w:r w:rsidRPr="00546952">
        <w:rPr>
          <w:rFonts w:ascii="Palatino Linotype" w:hAnsi="Palatino Linotype" w:cs="Arial"/>
          <w:sz w:val="20"/>
          <w:szCs w:val="20"/>
        </w:rPr>
        <w:t xml:space="preserve"> (2004) 29 </w:t>
      </w:r>
    </w:p>
    <w:p w14:paraId="7C5FE3FD" w14:textId="1E6A963B" w:rsidR="00196E23" w:rsidRPr="00546952" w:rsidRDefault="00196E23" w:rsidP="009C79F6">
      <w:pPr>
        <w:pStyle w:val="FootnoteText"/>
        <w:rPr>
          <w:rStyle w:val="FootnoteReference"/>
          <w:rFonts w:ascii="Palatino Linotype" w:hAnsi="Palatino Linotype" w:cs="Arial"/>
          <w:sz w:val="20"/>
          <w:szCs w:val="20"/>
          <w:vertAlign w:val="baseline"/>
        </w:rPr>
      </w:pPr>
      <w:r w:rsidRPr="00546952">
        <w:rPr>
          <w:rFonts w:ascii="Palatino Linotype" w:hAnsi="Palatino Linotype" w:cs="Arial"/>
          <w:sz w:val="20"/>
          <w:szCs w:val="20"/>
        </w:rPr>
        <w:t xml:space="preserve">     (1) </w:t>
      </w:r>
      <w:r w:rsidRPr="00546952">
        <w:rPr>
          <w:rFonts w:ascii="Palatino Linotype" w:hAnsi="Palatino Linotype" w:cs="Arial"/>
          <w:i/>
          <w:sz w:val="20"/>
          <w:szCs w:val="20"/>
        </w:rPr>
        <w:t>Alternative Law Journal</w:t>
      </w:r>
      <w:r w:rsidRPr="00546952">
        <w:rPr>
          <w:rFonts w:ascii="Palatino Linotype" w:hAnsi="Palatino Linotype" w:cs="Arial"/>
          <w:sz w:val="20"/>
          <w:szCs w:val="20"/>
        </w:rPr>
        <w:t xml:space="preserve"> 41  </w:t>
      </w:r>
      <w:r w:rsidRPr="00546952">
        <w:rPr>
          <w:rStyle w:val="FootnoteReference"/>
          <w:rFonts w:ascii="Palatino Linotype" w:hAnsi="Palatino Linotype"/>
          <w:sz w:val="20"/>
          <w:szCs w:val="20"/>
        </w:rPr>
        <w:t xml:space="preserve"> </w:t>
      </w:r>
    </w:p>
  </w:footnote>
  <w:footnote w:id="135">
    <w:p w14:paraId="05BA4A1D" w14:textId="77777777"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sz w:val="20"/>
          <w:szCs w:val="20"/>
          <w:lang w:val="en-US"/>
        </w:rPr>
        <w:t xml:space="preserve">Ross </w:t>
      </w:r>
      <w:proofErr w:type="spellStart"/>
      <w:r w:rsidRPr="00546952">
        <w:rPr>
          <w:rFonts w:ascii="Palatino Linotype" w:hAnsi="Palatino Linotype"/>
          <w:sz w:val="20"/>
          <w:szCs w:val="20"/>
          <w:lang w:val="en-US"/>
        </w:rPr>
        <w:t>Hyams</w:t>
      </w:r>
      <w:proofErr w:type="spellEnd"/>
      <w:r w:rsidRPr="00546952">
        <w:rPr>
          <w:rFonts w:ascii="Palatino Linotype" w:hAnsi="Palatino Linotype"/>
          <w:sz w:val="20"/>
          <w:szCs w:val="20"/>
          <w:lang w:val="en-US"/>
        </w:rPr>
        <w:t xml:space="preserve">, Susan Campbell, Adrian Evans, </w:t>
      </w:r>
      <w:r w:rsidRPr="00546952">
        <w:rPr>
          <w:rFonts w:ascii="Palatino Linotype" w:hAnsi="Palatino Linotype"/>
          <w:i/>
          <w:sz w:val="20"/>
          <w:szCs w:val="20"/>
          <w:lang w:val="en-US"/>
        </w:rPr>
        <w:t>Practical Legal Skills</w:t>
      </w:r>
      <w:r w:rsidRPr="00546952">
        <w:rPr>
          <w:rFonts w:ascii="Palatino Linotype" w:hAnsi="Palatino Linotype"/>
          <w:sz w:val="20"/>
          <w:szCs w:val="20"/>
          <w:lang w:val="en-US"/>
        </w:rPr>
        <w:t xml:space="preserve"> (4</w:t>
      </w:r>
      <w:r w:rsidRPr="00546952">
        <w:rPr>
          <w:rFonts w:ascii="Palatino Linotype" w:hAnsi="Palatino Linotype"/>
          <w:sz w:val="20"/>
          <w:szCs w:val="20"/>
          <w:vertAlign w:val="superscript"/>
          <w:lang w:val="en-US"/>
        </w:rPr>
        <w:t>th</w:t>
      </w:r>
      <w:r w:rsidRPr="00546952">
        <w:rPr>
          <w:rFonts w:ascii="Palatino Linotype" w:hAnsi="Palatino Linotype"/>
          <w:sz w:val="20"/>
          <w:szCs w:val="20"/>
          <w:lang w:val="en-US"/>
        </w:rPr>
        <w:t xml:space="preserve"> </w:t>
      </w:r>
      <w:proofErr w:type="gramStart"/>
      <w:r w:rsidRPr="00546952">
        <w:rPr>
          <w:rFonts w:ascii="Palatino Linotype" w:hAnsi="Palatino Linotype"/>
          <w:sz w:val="20"/>
          <w:szCs w:val="20"/>
          <w:lang w:val="en-US"/>
        </w:rPr>
        <w:t>ed</w:t>
      </w:r>
      <w:proofErr w:type="gramEnd"/>
      <w:r w:rsidRPr="00546952">
        <w:rPr>
          <w:rFonts w:ascii="Palatino Linotype" w:hAnsi="Palatino Linotype"/>
          <w:sz w:val="20"/>
          <w:szCs w:val="20"/>
          <w:lang w:val="en-US"/>
        </w:rPr>
        <w:t xml:space="preserve">.) (Oxford </w:t>
      </w:r>
    </w:p>
    <w:p w14:paraId="56B9EEE9" w14:textId="77777777" w:rsidR="00196E23" w:rsidRPr="00546952" w:rsidRDefault="00196E23" w:rsidP="009C79F6">
      <w:pPr>
        <w:pStyle w:val="FootnoteText"/>
        <w:rPr>
          <w:rFonts w:ascii="Palatino Linotype" w:hAnsi="Palatino Linotype"/>
          <w:sz w:val="20"/>
          <w:szCs w:val="20"/>
          <w:lang w:val="en-US"/>
        </w:rPr>
      </w:pPr>
      <w:r w:rsidRPr="00546952">
        <w:rPr>
          <w:rFonts w:ascii="Palatino Linotype" w:hAnsi="Palatino Linotype"/>
          <w:sz w:val="20"/>
          <w:szCs w:val="20"/>
          <w:lang w:val="en-US"/>
        </w:rPr>
        <w:t xml:space="preserve">     University Press, 2014)</w:t>
      </w:r>
    </w:p>
  </w:footnote>
  <w:footnote w:id="136">
    <w:p w14:paraId="360F3936" w14:textId="784F4A5B"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 1</w:t>
      </w:r>
      <w:r w:rsidR="00CC382C" w:rsidRPr="00546952">
        <w:rPr>
          <w:rFonts w:ascii="Palatino Linotype" w:hAnsi="Palatino Linotype" w:cs="Arial"/>
          <w:sz w:val="20"/>
          <w:szCs w:val="20"/>
          <w:lang w:val="en-US"/>
        </w:rPr>
        <w:t>.</w:t>
      </w:r>
    </w:p>
  </w:footnote>
  <w:footnote w:id="137">
    <w:p w14:paraId="01129AEC" w14:textId="77777777" w:rsidR="00196E23" w:rsidRPr="00546952" w:rsidRDefault="00196E23" w:rsidP="009C79F6">
      <w:pPr>
        <w:pStyle w:val="FootnoteText"/>
        <w:rPr>
          <w:rFonts w:ascii="Palatino Linotype" w:hAnsi="Palatino Linotype"/>
          <w:sz w:val="20"/>
          <w:szCs w:val="20"/>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Monash University has adopted such a clinical model at Monash Oakleigh Legal Service </w:t>
      </w:r>
    </w:p>
    <w:p w14:paraId="3BFE27CB" w14:textId="77777777" w:rsidR="00196E23" w:rsidRPr="00546952" w:rsidRDefault="00196E23" w:rsidP="009C79F6">
      <w:pPr>
        <w:pStyle w:val="FootnoteText"/>
        <w:rPr>
          <w:rFonts w:ascii="Palatino Linotype" w:hAnsi="Palatino Linotype"/>
          <w:sz w:val="20"/>
          <w:szCs w:val="20"/>
        </w:rPr>
      </w:pPr>
      <w:r w:rsidRPr="00546952">
        <w:rPr>
          <w:rFonts w:ascii="Palatino Linotype" w:hAnsi="Palatino Linotype"/>
          <w:sz w:val="20"/>
          <w:szCs w:val="20"/>
        </w:rPr>
        <w:t xml:space="preserve">     </w:t>
      </w:r>
      <w:proofErr w:type="gramStart"/>
      <w:r w:rsidRPr="00546952">
        <w:rPr>
          <w:rFonts w:ascii="Palatino Linotype" w:hAnsi="Palatino Linotype"/>
          <w:sz w:val="20"/>
          <w:szCs w:val="20"/>
        </w:rPr>
        <w:t>and</w:t>
      </w:r>
      <w:proofErr w:type="gramEnd"/>
      <w:r w:rsidRPr="00546952">
        <w:rPr>
          <w:rFonts w:ascii="Palatino Linotype" w:hAnsi="Palatino Linotype"/>
          <w:sz w:val="20"/>
          <w:szCs w:val="20"/>
        </w:rPr>
        <w:t xml:space="preserve"> Springvale Monash Legal Service. See further discussion on ‘live client’ clinics </w:t>
      </w:r>
    </w:p>
    <w:p w14:paraId="232F55A6" w14:textId="77777777"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sz w:val="20"/>
          <w:szCs w:val="20"/>
        </w:rPr>
        <w:t xml:space="preserve">    and other clinic types in Australia in </w:t>
      </w:r>
      <w:r w:rsidRPr="00546952">
        <w:rPr>
          <w:rFonts w:ascii="Palatino Linotype" w:hAnsi="Palatino Linotype" w:cs="Arial"/>
          <w:sz w:val="20"/>
          <w:szCs w:val="20"/>
          <w:lang w:val="en-US"/>
        </w:rPr>
        <w:t xml:space="preserve">A Evans and R </w:t>
      </w:r>
      <w:proofErr w:type="spellStart"/>
      <w:r w:rsidRPr="00546952">
        <w:rPr>
          <w:rFonts w:ascii="Palatino Linotype" w:hAnsi="Palatino Linotype" w:cs="Arial"/>
          <w:sz w:val="20"/>
          <w:szCs w:val="20"/>
          <w:lang w:val="en-US"/>
        </w:rPr>
        <w:t>Hyams</w:t>
      </w:r>
      <w:proofErr w:type="spellEnd"/>
      <w:r w:rsidRPr="00546952">
        <w:rPr>
          <w:rFonts w:ascii="Palatino Linotype" w:hAnsi="Palatino Linotype" w:cs="Arial"/>
          <w:sz w:val="20"/>
          <w:szCs w:val="20"/>
          <w:lang w:val="en-US"/>
        </w:rPr>
        <w:t xml:space="preserve">, Specialist Legal Clinics: </w:t>
      </w:r>
    </w:p>
    <w:p w14:paraId="30314C49" w14:textId="77777777" w:rsidR="00196E23" w:rsidRPr="00546952" w:rsidRDefault="00196E23" w:rsidP="009C79F6">
      <w:pPr>
        <w:pStyle w:val="FootnoteText"/>
        <w:rPr>
          <w:rFonts w:ascii="Palatino Linotype" w:hAnsi="Palatino Linotype" w:cs="Arial"/>
          <w:i/>
          <w:sz w:val="20"/>
          <w:szCs w:val="20"/>
          <w:lang w:val="en-US"/>
        </w:rPr>
      </w:pPr>
      <w:r w:rsidRPr="00546952">
        <w:rPr>
          <w:rFonts w:ascii="Palatino Linotype" w:hAnsi="Palatino Linotype" w:cs="Arial"/>
          <w:sz w:val="20"/>
          <w:szCs w:val="20"/>
          <w:lang w:val="en-US"/>
        </w:rPr>
        <w:t xml:space="preserve">    Their Pedagogy, Risks and Payoffs as Externships, (2015) 22 </w:t>
      </w:r>
      <w:r w:rsidRPr="00546952">
        <w:rPr>
          <w:rFonts w:ascii="Palatino Linotype" w:hAnsi="Palatino Linotype" w:cs="Arial"/>
          <w:i/>
          <w:sz w:val="20"/>
          <w:szCs w:val="20"/>
          <w:lang w:val="en-US"/>
        </w:rPr>
        <w:t xml:space="preserve">International Journal </w:t>
      </w:r>
    </w:p>
    <w:p w14:paraId="201CB020" w14:textId="67FF2673" w:rsidR="00196E23" w:rsidRPr="00546952" w:rsidRDefault="00196E23" w:rsidP="009C79F6">
      <w:pPr>
        <w:pStyle w:val="FootnoteText"/>
        <w:rPr>
          <w:rFonts w:ascii="Palatino Linotype" w:hAnsi="Palatino Linotype"/>
          <w:sz w:val="20"/>
          <w:szCs w:val="20"/>
        </w:rPr>
      </w:pPr>
      <w:r w:rsidRPr="00546952">
        <w:rPr>
          <w:rFonts w:ascii="Palatino Linotype" w:hAnsi="Palatino Linotype" w:cs="Arial"/>
          <w:i/>
          <w:sz w:val="20"/>
          <w:szCs w:val="20"/>
          <w:lang w:val="en-US"/>
        </w:rPr>
        <w:t xml:space="preserve">    of Clinical Legal Education</w:t>
      </w:r>
      <w:r w:rsidRPr="00546952">
        <w:rPr>
          <w:rFonts w:ascii="Palatino Linotype" w:hAnsi="Palatino Linotype" w:cs="Arial"/>
          <w:sz w:val="20"/>
          <w:szCs w:val="20"/>
          <w:lang w:val="en-US"/>
        </w:rPr>
        <w:t xml:space="preserve"> 3</w:t>
      </w:r>
    </w:p>
  </w:footnote>
  <w:footnote w:id="138">
    <w:p w14:paraId="079D849C" w14:textId="1CA59ADA"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lang w:val="en-US"/>
        </w:rPr>
        <w:t xml:space="preserve">Giddings, </w:t>
      </w:r>
      <w:r w:rsidR="00B06325" w:rsidRPr="00546952">
        <w:rPr>
          <w:rFonts w:ascii="Palatino Linotype" w:hAnsi="Palatino Linotype" w:cs="Arial"/>
          <w:sz w:val="20"/>
          <w:lang w:val="en-US"/>
        </w:rPr>
        <w:t>above n 131</w:t>
      </w:r>
      <w:r w:rsidR="00CC382C" w:rsidRPr="00546952">
        <w:rPr>
          <w:rFonts w:ascii="Palatino Linotype" w:hAnsi="Palatino Linotype" w:cs="Arial"/>
          <w:sz w:val="20"/>
          <w:lang w:val="en-US"/>
        </w:rPr>
        <w:t>,</w:t>
      </w:r>
      <w:r w:rsidR="00B06325" w:rsidRPr="00546952">
        <w:rPr>
          <w:rFonts w:ascii="Palatino Linotype" w:hAnsi="Palatino Linotype" w:cs="Arial"/>
          <w:i/>
          <w:sz w:val="20"/>
          <w:lang w:val="en-US"/>
        </w:rPr>
        <w:t xml:space="preserve"> </w:t>
      </w:r>
      <w:r w:rsidRPr="00546952">
        <w:rPr>
          <w:rFonts w:ascii="Palatino Linotype" w:hAnsi="Palatino Linotype" w:cs="Arial"/>
          <w:sz w:val="20"/>
          <w:lang w:val="en-US"/>
        </w:rPr>
        <w:t>78</w:t>
      </w:r>
      <w:r w:rsidR="00CC382C" w:rsidRPr="00546952">
        <w:rPr>
          <w:rFonts w:ascii="Palatino Linotype" w:hAnsi="Palatino Linotype" w:cs="Arial"/>
          <w:sz w:val="20"/>
          <w:lang w:val="en-US"/>
        </w:rPr>
        <w:t>.</w:t>
      </w:r>
    </w:p>
  </w:footnote>
  <w:footnote w:id="139">
    <w:p w14:paraId="40F50500"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 xml:space="preserve">Ibid 79, also see Specialist Legal Clinics: Their Pedagogy, Risks and Payoffs as </w:t>
      </w:r>
    </w:p>
    <w:p w14:paraId="12CDB0E9" w14:textId="77777777" w:rsidR="00196E23" w:rsidRPr="00546952" w:rsidRDefault="00196E23" w:rsidP="009C79F6">
      <w:pPr>
        <w:pStyle w:val="FootnoteText"/>
        <w:rPr>
          <w:rFonts w:ascii="Palatino Linotype" w:hAnsi="Palatino Linotype"/>
          <w:lang w:val="en-US"/>
        </w:rPr>
      </w:pPr>
      <w:r w:rsidRPr="00546952">
        <w:rPr>
          <w:rFonts w:ascii="Palatino Linotype" w:hAnsi="Palatino Linotype" w:cs="Arial"/>
          <w:sz w:val="20"/>
          <w:szCs w:val="20"/>
          <w:lang w:val="en-US"/>
        </w:rPr>
        <w:t xml:space="preserve">     Externships, (2015) 22 </w:t>
      </w:r>
      <w:r w:rsidRPr="00546952">
        <w:rPr>
          <w:rFonts w:ascii="Palatino Linotype" w:hAnsi="Palatino Linotype" w:cs="Arial"/>
          <w:i/>
          <w:sz w:val="20"/>
          <w:szCs w:val="20"/>
          <w:lang w:val="en-US"/>
        </w:rPr>
        <w:t>International Journal of Clinical Legal Education</w:t>
      </w:r>
      <w:r w:rsidRPr="00546952">
        <w:rPr>
          <w:rFonts w:ascii="Palatino Linotype" w:hAnsi="Palatino Linotype" w:cs="Arial"/>
          <w:sz w:val="20"/>
          <w:szCs w:val="20"/>
          <w:lang w:val="en-US"/>
        </w:rPr>
        <w:t xml:space="preserve"> 2</w:t>
      </w:r>
    </w:p>
  </w:footnote>
  <w:footnote w:id="140">
    <w:p w14:paraId="7808A14C" w14:textId="77777777"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rPr>
        <w:t>Ibid citing</w:t>
      </w:r>
      <w:r w:rsidRPr="00546952">
        <w:rPr>
          <w:rFonts w:ascii="Palatino Linotype" w:hAnsi="Palatino Linotype"/>
          <w:sz w:val="20"/>
          <w:szCs w:val="20"/>
        </w:rPr>
        <w:t xml:space="preserve"> </w:t>
      </w:r>
      <w:r w:rsidRPr="00546952">
        <w:rPr>
          <w:rFonts w:ascii="Palatino Linotype" w:hAnsi="Palatino Linotype" w:cs="Arial"/>
          <w:sz w:val="20"/>
          <w:szCs w:val="20"/>
          <w:lang w:val="en-US"/>
        </w:rPr>
        <w:t>Carnegie Report 2007</w:t>
      </w:r>
    </w:p>
  </w:footnote>
  <w:footnote w:id="141">
    <w:p w14:paraId="7E20EBD3" w14:textId="63B15D3F" w:rsidR="00196E23" w:rsidRPr="00546952" w:rsidRDefault="00196E23" w:rsidP="009C79F6">
      <w:pPr>
        <w:pStyle w:val="FootnoteText"/>
        <w:rPr>
          <w:rFonts w:ascii="Palatino Linotype" w:hAnsi="Palatino Linotype" w:cs="Arial"/>
          <w:i/>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005A5E7E" w:rsidRPr="00546952">
        <w:rPr>
          <w:rFonts w:ascii="Palatino Linotype" w:hAnsi="Palatino Linotype" w:cs="Arial"/>
          <w:sz w:val="20"/>
          <w:szCs w:val="20"/>
          <w:lang w:val="en-US"/>
        </w:rPr>
        <w:t>I</w:t>
      </w:r>
      <w:r w:rsidRPr="00546952">
        <w:rPr>
          <w:rFonts w:ascii="Palatino Linotype" w:hAnsi="Palatino Linotype" w:cs="Arial"/>
          <w:sz w:val="20"/>
          <w:szCs w:val="20"/>
          <w:lang w:val="en-US"/>
        </w:rPr>
        <w:t xml:space="preserve">bid, citing William Sullivan et al, </w:t>
      </w:r>
      <w:r w:rsidRPr="00546952">
        <w:rPr>
          <w:rFonts w:ascii="Palatino Linotype" w:hAnsi="Palatino Linotype" w:cs="Arial"/>
          <w:i/>
          <w:sz w:val="20"/>
          <w:szCs w:val="20"/>
          <w:lang w:val="en-US"/>
        </w:rPr>
        <w:t xml:space="preserve">Educating Lawyers: Preparation for the Profession of </w:t>
      </w:r>
    </w:p>
    <w:p w14:paraId="5003EA5F" w14:textId="77777777" w:rsidR="00196E23" w:rsidRPr="00546952" w:rsidRDefault="00196E23" w:rsidP="009C79F6">
      <w:pPr>
        <w:pStyle w:val="FootnoteText"/>
        <w:rPr>
          <w:rFonts w:ascii="Palatino Linotype" w:hAnsi="Palatino Linotype"/>
          <w:sz w:val="20"/>
          <w:szCs w:val="20"/>
          <w:lang w:val="en-US"/>
        </w:rPr>
      </w:pPr>
      <w:r w:rsidRPr="00546952">
        <w:rPr>
          <w:rFonts w:ascii="Palatino Linotype" w:hAnsi="Palatino Linotype" w:cs="Arial"/>
          <w:i/>
          <w:sz w:val="20"/>
          <w:szCs w:val="20"/>
          <w:lang w:val="en-US"/>
        </w:rPr>
        <w:t xml:space="preserve">    Law</w:t>
      </w:r>
      <w:r w:rsidRPr="00546952">
        <w:rPr>
          <w:rFonts w:ascii="Palatino Linotype" w:hAnsi="Palatino Linotype" w:cs="Arial"/>
          <w:sz w:val="20"/>
          <w:szCs w:val="20"/>
          <w:lang w:val="en-US"/>
        </w:rPr>
        <w:t xml:space="preserve"> (Carnegie Report) (2007) 10. </w:t>
      </w:r>
    </w:p>
  </w:footnote>
  <w:footnote w:id="142">
    <w:p w14:paraId="41432DEE" w14:textId="6013A836"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004A17CB" w:rsidRPr="00546952">
        <w:rPr>
          <w:rFonts w:ascii="Palatino Linotype" w:hAnsi="Palatino Linotype" w:cs="Arial"/>
          <w:sz w:val="20"/>
          <w:lang w:val="en-US"/>
        </w:rPr>
        <w:t>Giddings, above n 131</w:t>
      </w:r>
      <w:r w:rsidR="00CC382C" w:rsidRPr="00546952">
        <w:rPr>
          <w:rFonts w:ascii="Palatino Linotype" w:hAnsi="Palatino Linotype" w:cs="Arial"/>
          <w:sz w:val="20"/>
          <w:lang w:val="en-US"/>
        </w:rPr>
        <w:t>,</w:t>
      </w:r>
      <w:r w:rsidRPr="00546952">
        <w:rPr>
          <w:rFonts w:ascii="Palatino Linotype" w:hAnsi="Palatino Linotype" w:cs="Arial"/>
          <w:sz w:val="20"/>
          <w:lang w:val="en-US"/>
        </w:rPr>
        <w:t xml:space="preserve"> </w:t>
      </w:r>
      <w:r w:rsidRPr="00546952">
        <w:rPr>
          <w:rFonts w:ascii="Palatino Linotype" w:hAnsi="Palatino Linotype"/>
          <w:sz w:val="20"/>
          <w:szCs w:val="20"/>
          <w:lang w:val="en-US"/>
        </w:rPr>
        <w:t>95</w:t>
      </w:r>
      <w:r w:rsidR="00CC382C" w:rsidRPr="00546952">
        <w:rPr>
          <w:rFonts w:ascii="Palatino Linotype" w:hAnsi="Palatino Linotype"/>
          <w:sz w:val="20"/>
          <w:szCs w:val="20"/>
          <w:lang w:val="en-US"/>
        </w:rPr>
        <w:t>.</w:t>
      </w:r>
    </w:p>
  </w:footnote>
  <w:footnote w:id="143">
    <w:p w14:paraId="4945E11F" w14:textId="77777777"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w:t>
      </w:r>
    </w:p>
  </w:footnote>
  <w:footnote w:id="144">
    <w:p w14:paraId="18DA3E0D"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 xml:space="preserve">Ibid, citing John </w:t>
      </w:r>
      <w:proofErr w:type="spellStart"/>
      <w:r w:rsidRPr="00546952">
        <w:rPr>
          <w:rFonts w:ascii="Palatino Linotype" w:hAnsi="Palatino Linotype" w:cs="Arial"/>
          <w:sz w:val="20"/>
          <w:szCs w:val="20"/>
          <w:lang w:val="en-US"/>
        </w:rPr>
        <w:t>Boersig</w:t>
      </w:r>
      <w:proofErr w:type="spellEnd"/>
      <w:r w:rsidRPr="00546952">
        <w:rPr>
          <w:rFonts w:ascii="Palatino Linotype" w:hAnsi="Palatino Linotype" w:cs="Arial"/>
          <w:sz w:val="20"/>
          <w:szCs w:val="20"/>
          <w:lang w:val="en-US"/>
        </w:rPr>
        <w:t xml:space="preserve">, James Marshall, and Georgia Seaton, ‘Teaching Law and Legal </w:t>
      </w:r>
    </w:p>
    <w:p w14:paraId="078B3FC2" w14:textId="77777777" w:rsidR="00196E23" w:rsidRPr="00546952" w:rsidRDefault="00196E23" w:rsidP="009C79F6">
      <w:pPr>
        <w:pStyle w:val="FootnoteText"/>
        <w:rPr>
          <w:rFonts w:ascii="Palatino Linotype" w:hAnsi="Palatino Linotype"/>
          <w:sz w:val="20"/>
          <w:szCs w:val="20"/>
          <w:lang w:val="en-US"/>
        </w:rPr>
      </w:pPr>
      <w:r w:rsidRPr="00546952">
        <w:rPr>
          <w:rFonts w:ascii="Palatino Linotype" w:hAnsi="Palatino Linotype" w:cs="Arial"/>
          <w:sz w:val="20"/>
          <w:szCs w:val="20"/>
          <w:lang w:val="en-US"/>
        </w:rPr>
        <w:t xml:space="preserve">     Practice in a Live Client Clinic’ (2002) 6(2) </w:t>
      </w:r>
      <w:r w:rsidRPr="00546952">
        <w:rPr>
          <w:rFonts w:ascii="Palatino Linotype" w:hAnsi="Palatino Linotype" w:cs="Arial"/>
          <w:i/>
          <w:sz w:val="20"/>
          <w:szCs w:val="20"/>
          <w:lang w:val="en-US"/>
        </w:rPr>
        <w:t>Newcastle Law Review</w:t>
      </w:r>
      <w:r w:rsidRPr="00546952">
        <w:rPr>
          <w:rFonts w:ascii="Palatino Linotype" w:hAnsi="Palatino Linotype" w:cs="Arial"/>
          <w:sz w:val="20"/>
          <w:szCs w:val="20"/>
          <w:lang w:val="en-US"/>
        </w:rPr>
        <w:t xml:space="preserve"> 51</w:t>
      </w:r>
      <w:proofErr w:type="gramStart"/>
      <w:r w:rsidRPr="00546952">
        <w:rPr>
          <w:rFonts w:ascii="Palatino Linotype" w:hAnsi="Palatino Linotype" w:cs="Arial"/>
          <w:sz w:val="20"/>
          <w:szCs w:val="20"/>
          <w:lang w:val="en-US"/>
        </w:rPr>
        <w:t>,64</w:t>
      </w:r>
      <w:proofErr w:type="gramEnd"/>
      <w:r w:rsidRPr="00546952">
        <w:rPr>
          <w:rFonts w:ascii="Palatino Linotype" w:hAnsi="Palatino Linotype" w:cs="Arial"/>
          <w:sz w:val="20"/>
          <w:szCs w:val="20"/>
          <w:lang w:val="en-US"/>
        </w:rPr>
        <w:t xml:space="preserve">. </w:t>
      </w:r>
    </w:p>
  </w:footnote>
  <w:footnote w:id="145">
    <w:p w14:paraId="0419B073"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sz w:val="20"/>
          <w:szCs w:val="20"/>
          <w:lang w:val="en-US"/>
        </w:rPr>
        <w:t>See</w:t>
      </w:r>
      <w:r w:rsidRPr="00546952">
        <w:rPr>
          <w:rFonts w:ascii="Palatino Linotype" w:hAnsi="Palatino Linotype" w:cs="Arial"/>
          <w:sz w:val="20"/>
          <w:szCs w:val="20"/>
          <w:lang w:val="en-US"/>
        </w:rPr>
        <w:t xml:space="preserve"> Best Practices Australian Clinical legal Education Office of Teaching and Learning </w:t>
      </w:r>
    </w:p>
    <w:p w14:paraId="6892DD61" w14:textId="77777777" w:rsidR="00196E23" w:rsidRPr="00546952" w:rsidRDefault="00196E23" w:rsidP="009C79F6">
      <w:pPr>
        <w:pStyle w:val="FootnoteText"/>
        <w:rPr>
          <w:rFonts w:ascii="Palatino Linotype" w:hAnsi="Palatino Linotype"/>
          <w:sz w:val="20"/>
          <w:szCs w:val="20"/>
          <w:lang w:val="en-US"/>
        </w:rPr>
      </w:pPr>
      <w:r w:rsidRPr="00546952">
        <w:rPr>
          <w:rFonts w:ascii="Palatino Linotype" w:hAnsi="Palatino Linotype" w:cs="Arial"/>
          <w:sz w:val="20"/>
          <w:szCs w:val="20"/>
          <w:lang w:val="en-US"/>
        </w:rPr>
        <w:t xml:space="preserve">    2013 </w:t>
      </w:r>
      <w:r w:rsidRPr="00546952">
        <w:rPr>
          <w:rFonts w:ascii="Palatino Linotype" w:hAnsi="Palatino Linotype"/>
          <w:sz w:val="20"/>
          <w:szCs w:val="20"/>
          <w:lang w:val="en-US"/>
        </w:rPr>
        <w:t xml:space="preserve">for discussion on CLE Course Design, including Learning Outcomes, Principles and </w:t>
      </w:r>
    </w:p>
    <w:p w14:paraId="6543B584" w14:textId="77777777" w:rsidR="00196E23" w:rsidRPr="00546952" w:rsidRDefault="00196E23" w:rsidP="009C79F6">
      <w:pPr>
        <w:pStyle w:val="FootnoteText"/>
        <w:rPr>
          <w:rFonts w:ascii="Palatino Linotype" w:hAnsi="Palatino Linotype" w:cs="Arial"/>
          <w:sz w:val="20"/>
          <w:szCs w:val="20"/>
          <w:lang w:val="en-US"/>
        </w:rPr>
      </w:pPr>
      <w:r w:rsidRPr="00546952">
        <w:rPr>
          <w:rFonts w:ascii="Palatino Linotype" w:hAnsi="Palatino Linotype"/>
          <w:sz w:val="20"/>
          <w:szCs w:val="20"/>
          <w:lang w:val="en-US"/>
        </w:rPr>
        <w:t xml:space="preserve">    Best Practices pp11-14</w:t>
      </w:r>
    </w:p>
  </w:footnote>
  <w:footnote w:id="146">
    <w:p w14:paraId="71977CA4" w14:textId="5A94910B"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Macfarlane, above </w:t>
      </w:r>
      <w:r w:rsidR="00540267" w:rsidRPr="00546952">
        <w:rPr>
          <w:rFonts w:ascii="Palatino Linotype" w:hAnsi="Palatino Linotype" w:cs="Arial"/>
          <w:sz w:val="20"/>
          <w:szCs w:val="20"/>
          <w:lang w:val="en-US"/>
        </w:rPr>
        <w:t>n 51</w:t>
      </w:r>
      <w:r w:rsidR="00CC382C"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226</w:t>
      </w:r>
      <w:r w:rsidR="00CC382C" w:rsidRPr="00546952">
        <w:rPr>
          <w:rFonts w:ascii="Palatino Linotype" w:hAnsi="Palatino Linotype" w:cs="Arial"/>
          <w:sz w:val="20"/>
          <w:szCs w:val="20"/>
          <w:lang w:val="en-US"/>
        </w:rPr>
        <w:t>.</w:t>
      </w:r>
    </w:p>
  </w:footnote>
  <w:footnote w:id="147">
    <w:p w14:paraId="5B958ACD"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48">
    <w:p w14:paraId="12FAB19E" w14:textId="77777777"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w:t>
      </w:r>
      <w:r w:rsidRPr="00546952" w:rsidDel="00BB7472">
        <w:rPr>
          <w:rFonts w:ascii="Palatino Linotype" w:hAnsi="Palatino Linotype" w:cs="Arial"/>
          <w:sz w:val="20"/>
          <w:szCs w:val="20"/>
        </w:rPr>
        <w:t xml:space="preserve"> </w:t>
      </w:r>
    </w:p>
  </w:footnote>
  <w:footnote w:id="149">
    <w:p w14:paraId="367CB764" w14:textId="77777777" w:rsidR="00196E23" w:rsidRPr="00546952" w:rsidRDefault="00196E23" w:rsidP="009C79F6">
      <w:pPr>
        <w:pStyle w:val="FootnoteText"/>
        <w:rPr>
          <w:rFonts w:ascii="Palatino Linotype" w:hAnsi="Palatino Linotype"/>
          <w:i/>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sz w:val="20"/>
          <w:szCs w:val="20"/>
          <w:lang w:val="en-US"/>
        </w:rPr>
        <w:t>Julie Macfarlane, ‘Bringing the Clinic into the 21</w:t>
      </w:r>
      <w:r w:rsidRPr="00546952">
        <w:rPr>
          <w:rFonts w:ascii="Palatino Linotype" w:hAnsi="Palatino Linotype"/>
          <w:sz w:val="20"/>
          <w:szCs w:val="20"/>
          <w:vertAlign w:val="superscript"/>
          <w:lang w:val="en-US"/>
        </w:rPr>
        <w:t>st</w:t>
      </w:r>
      <w:r w:rsidRPr="00546952">
        <w:rPr>
          <w:rFonts w:ascii="Palatino Linotype" w:hAnsi="Palatino Linotype"/>
          <w:sz w:val="20"/>
          <w:szCs w:val="20"/>
          <w:lang w:val="en-US"/>
        </w:rPr>
        <w:t xml:space="preserve"> Century’, (2009) 27 </w:t>
      </w:r>
      <w:r w:rsidRPr="00546952">
        <w:rPr>
          <w:rFonts w:ascii="Palatino Linotype" w:hAnsi="Palatino Linotype"/>
          <w:i/>
          <w:sz w:val="20"/>
          <w:szCs w:val="20"/>
          <w:lang w:val="en-US"/>
        </w:rPr>
        <w:t xml:space="preserve">Windsor Yearbook of </w:t>
      </w:r>
    </w:p>
    <w:p w14:paraId="69944B9F" w14:textId="77777777" w:rsidR="00196E23" w:rsidRPr="00546952" w:rsidRDefault="00196E23" w:rsidP="009C79F6">
      <w:pPr>
        <w:pStyle w:val="FootnoteText"/>
        <w:rPr>
          <w:rFonts w:ascii="Palatino Linotype" w:hAnsi="Palatino Linotype"/>
          <w:sz w:val="20"/>
          <w:szCs w:val="20"/>
          <w:lang w:val="en-US"/>
        </w:rPr>
      </w:pPr>
      <w:r w:rsidRPr="00546952">
        <w:rPr>
          <w:rFonts w:ascii="Palatino Linotype" w:hAnsi="Palatino Linotype"/>
          <w:i/>
          <w:sz w:val="20"/>
          <w:szCs w:val="20"/>
          <w:lang w:val="en-US"/>
        </w:rPr>
        <w:t xml:space="preserve">     Access to Justice </w:t>
      </w:r>
      <w:r w:rsidRPr="00546952">
        <w:rPr>
          <w:rFonts w:ascii="Palatino Linotype" w:hAnsi="Palatino Linotype"/>
          <w:sz w:val="20"/>
          <w:szCs w:val="20"/>
          <w:lang w:val="en-US"/>
        </w:rPr>
        <w:t>35</w:t>
      </w:r>
    </w:p>
  </w:footnote>
  <w:footnote w:id="150">
    <w:p w14:paraId="7925F9DC" w14:textId="113EAF61"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 36</w:t>
      </w:r>
      <w:r w:rsidR="00981A21" w:rsidRPr="00546952">
        <w:rPr>
          <w:rFonts w:ascii="Palatino Linotype" w:hAnsi="Palatino Linotype" w:cs="Arial"/>
          <w:sz w:val="20"/>
          <w:szCs w:val="20"/>
          <w:lang w:val="en-US"/>
        </w:rPr>
        <w:t>.</w:t>
      </w:r>
    </w:p>
  </w:footnote>
  <w:footnote w:id="151">
    <w:p w14:paraId="40EF6ABA" w14:textId="77777777" w:rsidR="00196E23" w:rsidRPr="00546952" w:rsidRDefault="00196E23" w:rsidP="009C79F6">
      <w:pPr>
        <w:pStyle w:val="FootnoteText"/>
        <w:rPr>
          <w:rFonts w:ascii="Palatino Linotype" w:hAnsi="Palatino Linotype"/>
          <w:i/>
          <w:sz w:val="20"/>
          <w:szCs w:val="20"/>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Ibid citing Robert </w:t>
      </w:r>
      <w:proofErr w:type="spellStart"/>
      <w:r w:rsidRPr="00546952">
        <w:rPr>
          <w:rFonts w:ascii="Palatino Linotype" w:hAnsi="Palatino Linotype"/>
          <w:sz w:val="20"/>
          <w:szCs w:val="20"/>
        </w:rPr>
        <w:t>McCrate</w:t>
      </w:r>
      <w:proofErr w:type="spellEnd"/>
      <w:r w:rsidRPr="00546952">
        <w:rPr>
          <w:rFonts w:ascii="Palatino Linotype" w:hAnsi="Palatino Linotype"/>
          <w:sz w:val="20"/>
          <w:szCs w:val="20"/>
        </w:rPr>
        <w:t xml:space="preserve">, </w:t>
      </w:r>
      <w:r w:rsidRPr="00546952">
        <w:rPr>
          <w:rFonts w:ascii="Palatino Linotype" w:hAnsi="Palatino Linotype"/>
          <w:i/>
          <w:sz w:val="20"/>
          <w:szCs w:val="20"/>
        </w:rPr>
        <w:t xml:space="preserve">Report of the Task Force on Law Schools and the </w:t>
      </w:r>
    </w:p>
    <w:p w14:paraId="3BDE3A83" w14:textId="77777777" w:rsidR="00196E23" w:rsidRPr="00546952" w:rsidRDefault="00196E23" w:rsidP="009C79F6">
      <w:pPr>
        <w:pStyle w:val="FootnoteText"/>
        <w:rPr>
          <w:rFonts w:ascii="Palatino Linotype" w:hAnsi="Palatino Linotype"/>
          <w:sz w:val="20"/>
          <w:szCs w:val="20"/>
          <w:lang w:val="en-US"/>
        </w:rPr>
      </w:pPr>
      <w:r w:rsidRPr="00546952">
        <w:rPr>
          <w:rFonts w:ascii="Palatino Linotype" w:hAnsi="Palatino Linotype"/>
          <w:i/>
          <w:sz w:val="20"/>
          <w:szCs w:val="20"/>
        </w:rPr>
        <w:t xml:space="preserve">     Profession: Narrowing the Gap</w:t>
      </w:r>
      <w:r w:rsidRPr="00546952">
        <w:rPr>
          <w:rFonts w:ascii="Palatino Linotype" w:hAnsi="Palatino Linotype"/>
          <w:sz w:val="20"/>
          <w:szCs w:val="20"/>
        </w:rPr>
        <w:t xml:space="preserve"> (New York Bar Association, 1992)</w:t>
      </w:r>
    </w:p>
  </w:footnote>
  <w:footnote w:id="152">
    <w:p w14:paraId="57777E5E" w14:textId="77777777" w:rsidR="00196E23" w:rsidRPr="00546952" w:rsidRDefault="00196E23" w:rsidP="009C79F6">
      <w:pPr>
        <w:pStyle w:val="FootnoteText"/>
        <w:rPr>
          <w:rFonts w:ascii="Palatino Linotype" w:hAnsi="Palatino Linotype"/>
          <w:i/>
          <w:sz w:val="20"/>
          <w:szCs w:val="20"/>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ibid citing </w:t>
      </w:r>
      <w:proofErr w:type="spellStart"/>
      <w:r w:rsidRPr="00546952">
        <w:rPr>
          <w:rFonts w:ascii="Palatino Linotype" w:hAnsi="Palatino Linotype"/>
          <w:sz w:val="20"/>
          <w:szCs w:val="20"/>
        </w:rPr>
        <w:t>Marre</w:t>
      </w:r>
      <w:proofErr w:type="spellEnd"/>
      <w:r w:rsidRPr="00546952">
        <w:rPr>
          <w:rFonts w:ascii="Palatino Linotype" w:hAnsi="Palatino Linotype"/>
          <w:sz w:val="20"/>
          <w:szCs w:val="20"/>
        </w:rPr>
        <w:t xml:space="preserve"> Committee, </w:t>
      </w:r>
      <w:r w:rsidRPr="00546952">
        <w:rPr>
          <w:rFonts w:ascii="Palatino Linotype" w:hAnsi="Palatino Linotype"/>
          <w:i/>
          <w:sz w:val="20"/>
          <w:szCs w:val="20"/>
        </w:rPr>
        <w:t xml:space="preserve">A Time for Change: Report of the Committee on the Future of </w:t>
      </w:r>
    </w:p>
    <w:p w14:paraId="1E37C0A1" w14:textId="77777777" w:rsidR="00196E23" w:rsidRPr="00546952" w:rsidRDefault="00196E23" w:rsidP="009C79F6">
      <w:pPr>
        <w:pStyle w:val="FootnoteText"/>
        <w:rPr>
          <w:rFonts w:ascii="Palatino Linotype" w:hAnsi="Palatino Linotype"/>
          <w:sz w:val="20"/>
        </w:rPr>
      </w:pPr>
      <w:r w:rsidRPr="00546952">
        <w:rPr>
          <w:rFonts w:ascii="Palatino Linotype" w:hAnsi="Palatino Linotype"/>
          <w:i/>
          <w:sz w:val="20"/>
          <w:szCs w:val="20"/>
        </w:rPr>
        <w:t xml:space="preserve">     </w:t>
      </w:r>
      <w:proofErr w:type="gramStart"/>
      <w:r w:rsidRPr="00546952">
        <w:rPr>
          <w:rFonts w:ascii="Palatino Linotype" w:hAnsi="Palatino Linotype"/>
          <w:i/>
          <w:sz w:val="20"/>
          <w:szCs w:val="20"/>
        </w:rPr>
        <w:t>the</w:t>
      </w:r>
      <w:proofErr w:type="gramEnd"/>
      <w:r w:rsidRPr="00546952">
        <w:rPr>
          <w:rFonts w:ascii="Palatino Linotype" w:hAnsi="Palatino Linotype"/>
          <w:i/>
          <w:sz w:val="20"/>
          <w:szCs w:val="20"/>
        </w:rPr>
        <w:t xml:space="preserve"> Legal Profession </w:t>
      </w:r>
      <w:r w:rsidRPr="00546952">
        <w:rPr>
          <w:rFonts w:ascii="Palatino Linotype" w:hAnsi="Palatino Linotype"/>
          <w:sz w:val="20"/>
          <w:szCs w:val="20"/>
        </w:rPr>
        <w:t>(London: General Council of the Bar/ The Law Society, 1988).</w:t>
      </w:r>
    </w:p>
  </w:footnote>
  <w:footnote w:id="153">
    <w:p w14:paraId="5BE5AA37" w14:textId="77777777" w:rsidR="00196E23" w:rsidRPr="00546952" w:rsidRDefault="00196E23" w:rsidP="009C79F6">
      <w:pPr>
        <w:pStyle w:val="FootnoteText"/>
        <w:rPr>
          <w:rFonts w:ascii="Palatino Linotype" w:hAnsi="Palatino Linotype"/>
          <w:sz w:val="20"/>
          <w:szCs w:val="20"/>
          <w:lang w:val="en-US"/>
        </w:rPr>
      </w:pPr>
      <w:r w:rsidRPr="00546952">
        <w:rPr>
          <w:rStyle w:val="FootnoteReference"/>
          <w:rFonts w:ascii="Palatino Linotype" w:hAnsi="Palatino Linotype"/>
          <w:sz w:val="20"/>
          <w:szCs w:val="20"/>
        </w:rPr>
        <w:footnoteRef/>
      </w:r>
      <w:r w:rsidRPr="00546952">
        <w:rPr>
          <w:rFonts w:ascii="Palatino Linotype" w:hAnsi="Palatino Linotype"/>
          <w:sz w:val="20"/>
          <w:szCs w:val="20"/>
        </w:rPr>
        <w:t xml:space="preserve"> </w:t>
      </w:r>
      <w:r w:rsidRPr="00546952">
        <w:rPr>
          <w:rFonts w:ascii="Palatino Linotype" w:hAnsi="Palatino Linotype" w:cs="Arial"/>
          <w:sz w:val="20"/>
          <w:szCs w:val="20"/>
          <w:lang w:val="en-US"/>
        </w:rPr>
        <w:t>Ibid.</w:t>
      </w:r>
    </w:p>
  </w:footnote>
  <w:footnote w:id="154">
    <w:p w14:paraId="14BFF5FF"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55">
    <w:p w14:paraId="234CEE56"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56">
    <w:p w14:paraId="596023A5"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57">
    <w:p w14:paraId="584458F1" w14:textId="3B473EF2"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58">
    <w:p w14:paraId="5114F3E3" w14:textId="2CDADAD8"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 46</w:t>
      </w:r>
      <w:r w:rsidR="00981A21" w:rsidRPr="00546952">
        <w:rPr>
          <w:rFonts w:ascii="Palatino Linotype" w:hAnsi="Palatino Linotype" w:cs="Arial"/>
          <w:sz w:val="20"/>
          <w:szCs w:val="20"/>
          <w:lang w:val="en-US"/>
        </w:rPr>
        <w:t>.</w:t>
      </w:r>
    </w:p>
  </w:footnote>
  <w:footnote w:id="159">
    <w:p w14:paraId="2BDD193E" w14:textId="3746985D"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60">
    <w:p w14:paraId="5C1E27D4" w14:textId="2A500872"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61">
    <w:p w14:paraId="0BEAD4B9" w14:textId="1A53C840"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King</w:t>
      </w:r>
      <w:r w:rsidR="00786BE9" w:rsidRPr="00546952">
        <w:rPr>
          <w:rFonts w:ascii="Palatino Linotype" w:hAnsi="Palatino Linotype" w:cs="Arial"/>
          <w:sz w:val="20"/>
          <w:szCs w:val="20"/>
          <w:lang w:val="en-US"/>
        </w:rPr>
        <w:t xml:space="preserve"> et al</w:t>
      </w:r>
      <w:r w:rsidR="00981A21"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above n </w:t>
      </w:r>
      <w:r w:rsidR="00786BE9" w:rsidRPr="00546952">
        <w:rPr>
          <w:rFonts w:ascii="Palatino Linotype" w:hAnsi="Palatino Linotype" w:cs="Arial"/>
          <w:sz w:val="20"/>
          <w:szCs w:val="20"/>
          <w:lang w:val="en-US"/>
        </w:rPr>
        <w:t>102</w:t>
      </w:r>
      <w:r w:rsidR="00981A21" w:rsidRPr="00546952">
        <w:rPr>
          <w:rFonts w:ascii="Palatino Linotype" w:hAnsi="Palatino Linotype" w:cs="Arial"/>
          <w:sz w:val="20"/>
          <w:szCs w:val="20"/>
          <w:lang w:val="en-US"/>
        </w:rPr>
        <w:t>,</w:t>
      </w:r>
      <w:r w:rsidRPr="00546952">
        <w:rPr>
          <w:rFonts w:ascii="Palatino Linotype" w:hAnsi="Palatino Linotype" w:cs="Arial"/>
          <w:sz w:val="20"/>
          <w:szCs w:val="20"/>
          <w:lang w:val="en-US"/>
        </w:rPr>
        <w:t xml:space="preserve"> 248</w:t>
      </w:r>
      <w:r w:rsidR="00981A21" w:rsidRPr="00546952">
        <w:rPr>
          <w:rFonts w:ascii="Palatino Linotype" w:hAnsi="Palatino Linotype" w:cs="Arial"/>
          <w:sz w:val="20"/>
          <w:szCs w:val="20"/>
          <w:lang w:val="en-US"/>
        </w:rPr>
        <w:t>.</w:t>
      </w:r>
    </w:p>
  </w:footnote>
  <w:footnote w:id="162">
    <w:p w14:paraId="4AEF757A"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63">
    <w:p w14:paraId="5F7AB2F8" w14:textId="02094016"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For further reading of this issue see King et al, above n </w:t>
      </w:r>
      <w:r w:rsidR="006D77FD" w:rsidRPr="00546952">
        <w:rPr>
          <w:rFonts w:ascii="Palatino Linotype" w:hAnsi="Palatino Linotype" w:cs="Arial"/>
          <w:sz w:val="20"/>
          <w:szCs w:val="20"/>
        </w:rPr>
        <w:t>102</w:t>
      </w:r>
      <w:r w:rsidR="00981A21" w:rsidRPr="00546952">
        <w:rPr>
          <w:rFonts w:ascii="Palatino Linotype" w:hAnsi="Palatino Linotype" w:cs="Arial"/>
          <w:sz w:val="20"/>
          <w:szCs w:val="20"/>
        </w:rPr>
        <w:t>,</w:t>
      </w:r>
      <w:r w:rsidRPr="00546952">
        <w:rPr>
          <w:rFonts w:ascii="Palatino Linotype" w:hAnsi="Palatino Linotype" w:cs="Arial"/>
          <w:sz w:val="20"/>
          <w:szCs w:val="20"/>
        </w:rPr>
        <w:t xml:space="preserve"> 249</w:t>
      </w:r>
      <w:r w:rsidR="00981A21" w:rsidRPr="00546952">
        <w:rPr>
          <w:rFonts w:ascii="Palatino Linotype" w:hAnsi="Palatino Linotype" w:cs="Arial"/>
          <w:sz w:val="20"/>
          <w:szCs w:val="20"/>
        </w:rPr>
        <w:t>.</w:t>
      </w:r>
      <w:r w:rsidRPr="00546952">
        <w:rPr>
          <w:rFonts w:ascii="Palatino Linotype" w:hAnsi="Palatino Linotype" w:cs="Arial"/>
          <w:sz w:val="20"/>
          <w:szCs w:val="20"/>
        </w:rPr>
        <w:t xml:space="preserve"> </w:t>
      </w:r>
    </w:p>
  </w:footnote>
  <w:footnote w:id="164">
    <w:p w14:paraId="0130B248"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65">
    <w:p w14:paraId="443433FF" w14:textId="77777777" w:rsidR="00196E23" w:rsidRPr="00546952" w:rsidRDefault="00196E23" w:rsidP="009C79F6">
      <w:pPr>
        <w:pStyle w:val="FootnoteText"/>
        <w:rPr>
          <w:rFonts w:ascii="Palatino Linotype" w:hAnsi="Palatino Linotype"/>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66">
    <w:p w14:paraId="21BB8E30"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 xml:space="preserve">Frank S. Bloch, </w:t>
      </w:r>
      <w:r w:rsidRPr="00546952">
        <w:rPr>
          <w:rFonts w:ascii="Palatino Linotype" w:hAnsi="Palatino Linotype" w:cs="Arial"/>
          <w:i/>
          <w:sz w:val="20"/>
          <w:szCs w:val="20"/>
          <w:lang w:val="en-US"/>
        </w:rPr>
        <w:t xml:space="preserve">The Global Clinical Movement </w:t>
      </w:r>
      <w:r w:rsidRPr="00546952">
        <w:rPr>
          <w:rFonts w:ascii="Palatino Linotype" w:hAnsi="Palatino Linotype" w:cs="Arial"/>
          <w:sz w:val="20"/>
          <w:szCs w:val="20"/>
          <w:lang w:val="en-US"/>
        </w:rPr>
        <w:t>(Oxford University Press, 2011) 254</w:t>
      </w:r>
    </w:p>
  </w:footnote>
  <w:footnote w:id="167">
    <w:p w14:paraId="334A907E"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 260.</w:t>
      </w:r>
    </w:p>
  </w:footnote>
  <w:footnote w:id="168">
    <w:p w14:paraId="4E960F6F" w14:textId="58114105"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  </w:t>
      </w:r>
    </w:p>
  </w:footnote>
  <w:footnote w:id="169">
    <w:p w14:paraId="6DDAF11C" w14:textId="28F839E1"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70">
    <w:p w14:paraId="0360AC92" w14:textId="55D13724"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71">
    <w:p w14:paraId="2EC91802" w14:textId="563D4814"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72">
    <w:p w14:paraId="73AADCB1" w14:textId="0803059B"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73">
    <w:p w14:paraId="2D4BC319" w14:textId="53CC06F3" w:rsidR="00196E23" w:rsidRPr="00546952" w:rsidRDefault="00196E23" w:rsidP="002C550A">
      <w:pPr>
        <w:pStyle w:val="FootnoteText"/>
        <w:rPr>
          <w:rFonts w:ascii="Palatino Linotype" w:hAnsi="Palatino Linotype" w:cs="Arial"/>
          <w:sz w:val="20"/>
          <w:szCs w:val="20"/>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szCs w:val="20"/>
          <w:lang w:val="en-US"/>
        </w:rPr>
        <w:t xml:space="preserve">Evans, A, Cody, A, Copeland A, Giddings, J, </w:t>
      </w:r>
      <w:proofErr w:type="spellStart"/>
      <w:r w:rsidRPr="00546952">
        <w:rPr>
          <w:rFonts w:ascii="Palatino Linotype" w:hAnsi="Palatino Linotype" w:cs="Arial"/>
          <w:sz w:val="20"/>
          <w:szCs w:val="20"/>
          <w:lang w:val="en-US"/>
        </w:rPr>
        <w:t>Noone</w:t>
      </w:r>
      <w:proofErr w:type="spellEnd"/>
      <w:r w:rsidRPr="00546952">
        <w:rPr>
          <w:rFonts w:ascii="Palatino Linotype" w:hAnsi="Palatino Linotype" w:cs="Arial"/>
          <w:sz w:val="20"/>
          <w:szCs w:val="20"/>
          <w:lang w:val="en-US"/>
        </w:rPr>
        <w:t xml:space="preserve">, M.A &amp; Rice S above n 128 </w:t>
      </w:r>
    </w:p>
  </w:footnote>
  <w:footnote w:id="174">
    <w:p w14:paraId="4E88504D" w14:textId="61EA1925" w:rsidR="00196E23" w:rsidRPr="00546952" w:rsidRDefault="00196E23" w:rsidP="00456724">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rPr>
        <w:t>Ibid</w:t>
      </w:r>
      <w:r w:rsidR="00E3315F" w:rsidRPr="00546952">
        <w:rPr>
          <w:rFonts w:ascii="Palatino Linotype" w:hAnsi="Palatino Linotype" w:cs="Arial"/>
          <w:sz w:val="20"/>
        </w:rPr>
        <w:t>.</w:t>
      </w:r>
    </w:p>
  </w:footnote>
  <w:footnote w:id="175">
    <w:p w14:paraId="5E7D78FB" w14:textId="0347508E" w:rsidR="00196E23" w:rsidRPr="00546952" w:rsidRDefault="00196E23" w:rsidP="00456724">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rPr>
        <w:t>Ibid</w:t>
      </w:r>
      <w:r w:rsidR="00E3315F" w:rsidRPr="00546952">
        <w:rPr>
          <w:rFonts w:ascii="Palatino Linotype" w:hAnsi="Palatino Linotype" w:cs="Arial"/>
          <w:sz w:val="20"/>
        </w:rPr>
        <w:t>.</w:t>
      </w:r>
    </w:p>
  </w:footnote>
  <w:footnote w:id="176">
    <w:p w14:paraId="0E971B50" w14:textId="77777777" w:rsidR="00196E23" w:rsidRPr="00546952" w:rsidRDefault="00196E23" w:rsidP="00456724">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rPr>
        <w:t xml:space="preserve">Ibid 78 seen effectively as a statement by the law school of why it is offering the course </w:t>
      </w:r>
    </w:p>
  </w:footnote>
  <w:footnote w:id="177">
    <w:p w14:paraId="55FF95A4" w14:textId="77777777" w:rsidR="00196E23" w:rsidRPr="00546952" w:rsidRDefault="00196E23" w:rsidP="00456724">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rPr>
        <w:t xml:space="preserve">Ibid 78 a statement by the law school of what a student will be able to show they have learnt from a course </w:t>
      </w:r>
    </w:p>
  </w:footnote>
  <w:footnote w:id="178">
    <w:p w14:paraId="491C9CA7" w14:textId="5C0D3F6E" w:rsidR="00196E23" w:rsidRPr="00546952" w:rsidRDefault="00196E23" w:rsidP="00456724">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rPr>
        <w:t>Ibid</w:t>
      </w:r>
      <w:r w:rsidR="00E3315F" w:rsidRPr="00546952">
        <w:rPr>
          <w:rFonts w:ascii="Palatino Linotype" w:hAnsi="Palatino Linotype" w:cs="Arial"/>
          <w:sz w:val="20"/>
        </w:rPr>
        <w:t>.</w:t>
      </w:r>
    </w:p>
  </w:footnote>
  <w:footnote w:id="179">
    <w:p w14:paraId="69B297F8" w14:textId="37EC4FF4" w:rsidR="00196E23" w:rsidRPr="00546952" w:rsidRDefault="00196E23" w:rsidP="00456724">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rPr>
        <w:t>Ibid 81</w:t>
      </w:r>
      <w:r w:rsidR="00981A21" w:rsidRPr="00546952">
        <w:rPr>
          <w:rFonts w:ascii="Palatino Linotype" w:hAnsi="Palatino Linotype" w:cs="Arial"/>
          <w:sz w:val="20"/>
        </w:rPr>
        <w:t>.</w:t>
      </w:r>
    </w:p>
  </w:footnote>
  <w:footnote w:id="180">
    <w:p w14:paraId="037CF51E" w14:textId="4F968230" w:rsidR="00196E23" w:rsidRPr="00546952" w:rsidRDefault="00196E23" w:rsidP="00456724">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rPr>
        <w:t>Ibid</w:t>
      </w:r>
      <w:r w:rsidR="00E3315F" w:rsidRPr="00546952">
        <w:rPr>
          <w:rFonts w:ascii="Palatino Linotype" w:hAnsi="Palatino Linotype" w:cs="Arial"/>
          <w:sz w:val="20"/>
        </w:rPr>
        <w:t>.</w:t>
      </w:r>
    </w:p>
  </w:footnote>
  <w:footnote w:id="181">
    <w:p w14:paraId="0955CAF8" w14:textId="77777777" w:rsidR="00196E23" w:rsidRPr="00546952" w:rsidRDefault="00196E23" w:rsidP="009C3B3A">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lang w:val="en-US"/>
        </w:rPr>
        <w:t>Ibid.</w:t>
      </w:r>
    </w:p>
  </w:footnote>
  <w:footnote w:id="182">
    <w:p w14:paraId="41A5A1F6" w14:textId="3A816096" w:rsidR="00196E23" w:rsidRPr="00546952" w:rsidRDefault="00196E23">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lang w:val="en-US"/>
        </w:rPr>
        <w:t>Ibid.</w:t>
      </w:r>
    </w:p>
  </w:footnote>
  <w:footnote w:id="183">
    <w:p w14:paraId="0FE5EEDC" w14:textId="77777777" w:rsidR="00196E23" w:rsidRPr="00546952" w:rsidRDefault="00196E23" w:rsidP="0013073A">
      <w:pPr>
        <w:pStyle w:val="FootnoteText"/>
        <w:rPr>
          <w:rFonts w:ascii="Palatino Linotype" w:hAnsi="Palatino Linotype" w:cs="Arial"/>
          <w:sz w:val="20"/>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lang w:val="en-US"/>
        </w:rPr>
        <w:t xml:space="preserve">Evans et al, </w:t>
      </w:r>
      <w:r w:rsidRPr="00546952">
        <w:rPr>
          <w:rFonts w:ascii="Palatino Linotype" w:hAnsi="Palatino Linotype" w:cs="Arial"/>
          <w:i/>
          <w:sz w:val="20"/>
          <w:lang w:val="en-US"/>
        </w:rPr>
        <w:t>Australian Clinical Legal Education</w:t>
      </w:r>
      <w:r w:rsidRPr="00546952">
        <w:rPr>
          <w:rFonts w:ascii="Palatino Linotype" w:hAnsi="Palatino Linotype" w:cs="Arial"/>
          <w:sz w:val="20"/>
          <w:lang w:val="en-US"/>
        </w:rPr>
        <w:t xml:space="preserve"> (ANU Press, 2017) 97</w:t>
      </w:r>
    </w:p>
  </w:footnote>
  <w:footnote w:id="184">
    <w:p w14:paraId="030937A8" w14:textId="77777777" w:rsidR="00196E23" w:rsidRPr="00546952" w:rsidRDefault="00196E23" w:rsidP="0013073A">
      <w:pPr>
        <w:pStyle w:val="FootnoteText"/>
        <w:rPr>
          <w:rFonts w:ascii="Palatino Linotype" w:hAnsi="Palatino Linotype" w:cs="Arial"/>
          <w:sz w:val="20"/>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lang w:val="en-US"/>
        </w:rPr>
        <w:t xml:space="preserve">Ibid. </w:t>
      </w:r>
    </w:p>
  </w:footnote>
  <w:footnote w:id="185">
    <w:p w14:paraId="43DEB18B" w14:textId="66B0176D" w:rsidR="00D305AC" w:rsidRPr="00546952" w:rsidRDefault="00D305AC">
      <w:pPr>
        <w:pStyle w:val="FootnoteText"/>
        <w:rPr>
          <w:rFonts w:ascii="Palatino Linotype" w:hAnsi="Palatino Linotype"/>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szCs w:val="20"/>
        </w:rPr>
        <w:t xml:space="preserve">Evans, A, Cody, A, Copeland A, Giddings, J, </w:t>
      </w:r>
      <w:proofErr w:type="spellStart"/>
      <w:r w:rsidRPr="00546952">
        <w:rPr>
          <w:rFonts w:ascii="Palatino Linotype" w:hAnsi="Palatino Linotype" w:cs="Arial"/>
          <w:sz w:val="20"/>
          <w:szCs w:val="20"/>
        </w:rPr>
        <w:t>Noone</w:t>
      </w:r>
      <w:proofErr w:type="spellEnd"/>
      <w:r w:rsidRPr="00546952">
        <w:rPr>
          <w:rFonts w:ascii="Palatino Linotype" w:hAnsi="Palatino Linotype" w:cs="Arial"/>
          <w:sz w:val="20"/>
          <w:szCs w:val="20"/>
        </w:rPr>
        <w:t xml:space="preserve"> M.A &amp; Rice S, above n 128 40</w:t>
      </w:r>
    </w:p>
  </w:footnote>
  <w:footnote w:id="186">
    <w:p w14:paraId="13A8D152" w14:textId="77777777" w:rsidR="00196E23" w:rsidRPr="00546952" w:rsidRDefault="00196E23" w:rsidP="0013073A">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lang w:val="en-US"/>
        </w:rPr>
        <w:t>Ibid.</w:t>
      </w:r>
    </w:p>
  </w:footnote>
  <w:footnote w:id="187">
    <w:p w14:paraId="17152EC5" w14:textId="7FC413D0" w:rsidR="00196E23" w:rsidRPr="00546952" w:rsidRDefault="00196E23" w:rsidP="00690934">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lang w:val="en-US"/>
        </w:rPr>
        <w:t>Ibid 116</w:t>
      </w:r>
      <w:r w:rsidR="00981A21" w:rsidRPr="00546952">
        <w:rPr>
          <w:rFonts w:ascii="Palatino Linotype" w:hAnsi="Palatino Linotype" w:cs="Arial"/>
          <w:sz w:val="20"/>
          <w:lang w:val="en-US"/>
        </w:rPr>
        <w:t>.</w:t>
      </w:r>
    </w:p>
  </w:footnote>
  <w:footnote w:id="188">
    <w:p w14:paraId="22AFED52" w14:textId="77777777" w:rsidR="00196E23" w:rsidRPr="00546952" w:rsidRDefault="00196E23" w:rsidP="00690934">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lang w:val="en-US"/>
        </w:rPr>
        <w:t>Ibid.</w:t>
      </w:r>
    </w:p>
  </w:footnote>
  <w:footnote w:id="189">
    <w:p w14:paraId="52302DA4" w14:textId="77777777" w:rsidR="00196E23" w:rsidRPr="00546952" w:rsidRDefault="00196E23" w:rsidP="00690934">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lang w:val="en-US"/>
        </w:rPr>
        <w:t>Ibid.</w:t>
      </w:r>
    </w:p>
  </w:footnote>
  <w:footnote w:id="190">
    <w:p w14:paraId="1D53D807" w14:textId="2039110B" w:rsidR="00196E23" w:rsidRPr="00546952" w:rsidRDefault="00196E23" w:rsidP="00690934">
      <w:pPr>
        <w:pStyle w:val="FootnoteText"/>
        <w:rPr>
          <w:rFonts w:ascii="Palatino Linotype" w:hAnsi="Palatino Linotype"/>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lang w:val="en-US"/>
        </w:rPr>
        <w:t>Ibid 117</w:t>
      </w:r>
      <w:r w:rsidR="00981A21" w:rsidRPr="00546952">
        <w:rPr>
          <w:rFonts w:ascii="Palatino Linotype" w:hAnsi="Palatino Linotype" w:cs="Arial"/>
          <w:sz w:val="20"/>
          <w:lang w:val="en-US"/>
        </w:rPr>
        <w:t>.</w:t>
      </w:r>
    </w:p>
  </w:footnote>
  <w:footnote w:id="191">
    <w:p w14:paraId="069030AB" w14:textId="76FAB2B8" w:rsidR="00196E23" w:rsidRPr="00546952" w:rsidRDefault="00196E23" w:rsidP="00F42E5E">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192">
    <w:p w14:paraId="64A7C4DE" w14:textId="0AA72B84" w:rsidR="00196E23" w:rsidRPr="00546952" w:rsidRDefault="00196E23" w:rsidP="00F42E5E">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Ibid.</w:t>
      </w:r>
    </w:p>
  </w:footnote>
  <w:footnote w:id="193">
    <w:p w14:paraId="7CAA2C75" w14:textId="77777777" w:rsidR="00196E23" w:rsidRPr="00546952" w:rsidRDefault="00196E23" w:rsidP="009C79F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94">
    <w:p w14:paraId="54BE8E0B" w14:textId="31677948" w:rsidR="00196E23" w:rsidRPr="00546952" w:rsidRDefault="00196E23" w:rsidP="007E053B">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Macfarlane, above</w:t>
      </w:r>
      <w:r w:rsidR="00153BE3" w:rsidRPr="00546952">
        <w:rPr>
          <w:rFonts w:ascii="Palatino Linotype" w:hAnsi="Palatino Linotype" w:cs="Arial"/>
          <w:sz w:val="20"/>
          <w:szCs w:val="20"/>
          <w:lang w:val="en-US"/>
        </w:rPr>
        <w:t xml:space="preserve"> n 51</w:t>
      </w:r>
      <w:r w:rsidR="00981A21" w:rsidRPr="00546952">
        <w:rPr>
          <w:rFonts w:ascii="Palatino Linotype" w:hAnsi="Palatino Linotype" w:cs="Arial"/>
          <w:sz w:val="20"/>
          <w:szCs w:val="20"/>
          <w:lang w:val="en-US"/>
        </w:rPr>
        <w:t>,</w:t>
      </w:r>
      <w:r w:rsidR="00153BE3" w:rsidRPr="00546952">
        <w:rPr>
          <w:rFonts w:ascii="Palatino Linotype" w:hAnsi="Palatino Linotype" w:cs="Arial"/>
          <w:sz w:val="20"/>
          <w:szCs w:val="20"/>
          <w:lang w:val="en-US"/>
        </w:rPr>
        <w:t xml:space="preserve"> 243</w:t>
      </w:r>
      <w:r w:rsidR="00981A21" w:rsidRPr="00546952">
        <w:rPr>
          <w:rFonts w:ascii="Palatino Linotype" w:hAnsi="Palatino Linotype" w:cs="Arial"/>
          <w:sz w:val="20"/>
          <w:szCs w:val="20"/>
          <w:lang w:val="en-US"/>
        </w:rPr>
        <w:t>.</w:t>
      </w:r>
    </w:p>
  </w:footnote>
  <w:footnote w:id="195">
    <w:p w14:paraId="02D076F6" w14:textId="67862339" w:rsidR="00196E23" w:rsidRPr="00546952" w:rsidRDefault="00196E23" w:rsidP="009647D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proofErr w:type="spellStart"/>
      <w:r w:rsidR="00104169" w:rsidRPr="00546952">
        <w:rPr>
          <w:rFonts w:ascii="Palatino Linotype" w:hAnsi="Palatino Linotype" w:cs="Arial"/>
          <w:sz w:val="20"/>
          <w:szCs w:val="20"/>
          <w:lang w:val="en-US"/>
        </w:rPr>
        <w:t>Sourdin</w:t>
      </w:r>
      <w:proofErr w:type="spellEnd"/>
      <w:r w:rsidR="00104169" w:rsidRPr="00546952">
        <w:rPr>
          <w:rFonts w:ascii="Palatino Linotype" w:hAnsi="Palatino Linotype" w:cs="Arial"/>
          <w:sz w:val="20"/>
          <w:szCs w:val="20"/>
          <w:lang w:val="en-US"/>
        </w:rPr>
        <w:t>, above 1</w:t>
      </w:r>
      <w:r w:rsidR="00981A21" w:rsidRPr="00546952">
        <w:rPr>
          <w:rFonts w:ascii="Palatino Linotype" w:hAnsi="Palatino Linotype" w:cs="Arial"/>
          <w:sz w:val="20"/>
          <w:szCs w:val="20"/>
          <w:lang w:val="en-US"/>
        </w:rPr>
        <w:t>,</w:t>
      </w:r>
      <w:r w:rsidR="00104169" w:rsidRPr="00546952">
        <w:rPr>
          <w:rFonts w:ascii="Palatino Linotype" w:hAnsi="Palatino Linotype" w:cs="Arial"/>
          <w:sz w:val="20"/>
          <w:szCs w:val="20"/>
          <w:lang w:val="en-US"/>
        </w:rPr>
        <w:t xml:space="preserve"> 5</w:t>
      </w:r>
      <w:r w:rsidR="00981A21" w:rsidRPr="00546952">
        <w:rPr>
          <w:rFonts w:ascii="Palatino Linotype" w:hAnsi="Palatino Linotype" w:cs="Arial"/>
          <w:sz w:val="20"/>
          <w:szCs w:val="20"/>
          <w:lang w:val="en-US"/>
        </w:rPr>
        <w:t>.</w:t>
      </w:r>
    </w:p>
  </w:footnote>
  <w:footnote w:id="196">
    <w:p w14:paraId="12705D8A" w14:textId="77777777" w:rsidR="00196E23" w:rsidRPr="00546952" w:rsidRDefault="00196E23" w:rsidP="009647D6">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w:t>
      </w:r>
      <w:r w:rsidRPr="00546952">
        <w:rPr>
          <w:rFonts w:ascii="Palatino Linotype" w:hAnsi="Palatino Linotype" w:cs="Arial"/>
          <w:sz w:val="20"/>
          <w:szCs w:val="20"/>
          <w:lang w:val="en-US"/>
        </w:rPr>
        <w:t>Ibid.</w:t>
      </w:r>
    </w:p>
  </w:footnote>
  <w:footnote w:id="197">
    <w:p w14:paraId="52B2FBE8" w14:textId="77777777" w:rsidR="00196E23" w:rsidRPr="00546952" w:rsidRDefault="00196E23" w:rsidP="00AE4758">
      <w:pPr>
        <w:pStyle w:val="FootnoteText"/>
        <w:rPr>
          <w:rFonts w:ascii="Palatino Linotype" w:hAnsi="Palatino Linotype" w:cs="Arial"/>
          <w:sz w:val="20"/>
          <w:szCs w:val="20"/>
          <w:lang w:val="en-US"/>
        </w:rPr>
      </w:pPr>
      <w:r w:rsidRPr="00546952">
        <w:rPr>
          <w:rStyle w:val="FootnoteReference"/>
          <w:rFonts w:ascii="Palatino Linotype" w:hAnsi="Palatino Linotype"/>
        </w:rPr>
        <w:footnoteRef/>
      </w:r>
      <w:r w:rsidRPr="00546952">
        <w:rPr>
          <w:rFonts w:ascii="Palatino Linotype" w:hAnsi="Palatino Linotype"/>
        </w:rPr>
        <w:t xml:space="preserve"> </w:t>
      </w:r>
      <w:r w:rsidRPr="00546952">
        <w:rPr>
          <w:rFonts w:ascii="Palatino Linotype" w:hAnsi="Palatino Linotype" w:cs="Arial"/>
          <w:sz w:val="20"/>
          <w:szCs w:val="20"/>
        </w:rPr>
        <w:t>I</w:t>
      </w:r>
      <w:r w:rsidRPr="00546952">
        <w:rPr>
          <w:rFonts w:ascii="Palatino Linotype" w:hAnsi="Palatino Linotype" w:cs="Arial"/>
          <w:sz w:val="20"/>
          <w:szCs w:val="20"/>
          <w:lang w:val="en-US"/>
        </w:rPr>
        <w:t>bid.</w:t>
      </w:r>
    </w:p>
  </w:footnote>
  <w:footnote w:id="198">
    <w:p w14:paraId="3776D331" w14:textId="7A7CC02B" w:rsidR="00196E23" w:rsidRPr="00546952" w:rsidRDefault="00196E23" w:rsidP="00AE4758">
      <w:pPr>
        <w:pStyle w:val="FootnoteText"/>
        <w:rPr>
          <w:rFonts w:ascii="Palatino Linotype" w:hAnsi="Palatino Linotype" w:cs="Arial"/>
          <w:sz w:val="20"/>
          <w:szCs w:val="20"/>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Evans, A, Cody, A, Copeland A, Giddings, J, </w:t>
      </w:r>
      <w:proofErr w:type="spellStart"/>
      <w:r w:rsidRPr="00546952">
        <w:rPr>
          <w:rFonts w:ascii="Palatino Linotype" w:hAnsi="Palatino Linotype" w:cs="Arial"/>
          <w:sz w:val="20"/>
          <w:szCs w:val="20"/>
        </w:rPr>
        <w:t>Noone</w:t>
      </w:r>
      <w:proofErr w:type="spellEnd"/>
      <w:r w:rsidRPr="00546952">
        <w:rPr>
          <w:rFonts w:ascii="Palatino Linotype" w:hAnsi="Palatino Linotype" w:cs="Arial"/>
          <w:sz w:val="20"/>
          <w:szCs w:val="20"/>
        </w:rPr>
        <w:t xml:space="preserve"> M.A &amp; Rice S, above n 128 40</w:t>
      </w:r>
    </w:p>
  </w:footnote>
  <w:footnote w:id="199">
    <w:p w14:paraId="6490C575" w14:textId="2002419D" w:rsidR="00196E23" w:rsidRPr="00546952" w:rsidRDefault="00196E23" w:rsidP="00AE4758">
      <w:pPr>
        <w:pStyle w:val="FootnoteText"/>
        <w:rPr>
          <w:rFonts w:ascii="Palatino Linotype" w:hAnsi="Palatino Linotype"/>
          <w:lang w:val="en-US"/>
        </w:rPr>
      </w:pPr>
      <w:r w:rsidRPr="00546952">
        <w:rPr>
          <w:rStyle w:val="FootnoteReference"/>
          <w:rFonts w:ascii="Palatino Linotype" w:hAnsi="Palatino Linotype" w:cs="Arial"/>
          <w:sz w:val="20"/>
          <w:szCs w:val="20"/>
        </w:rPr>
        <w:footnoteRef/>
      </w:r>
      <w:r w:rsidRPr="00546952">
        <w:rPr>
          <w:rFonts w:ascii="Palatino Linotype" w:hAnsi="Palatino Linotype" w:cs="Arial"/>
          <w:sz w:val="20"/>
          <w:szCs w:val="20"/>
        </w:rPr>
        <w:t xml:space="preserve"> I</w:t>
      </w:r>
      <w:r w:rsidRPr="00546952">
        <w:rPr>
          <w:rFonts w:ascii="Palatino Linotype" w:hAnsi="Palatino Linotype" w:cs="Arial"/>
          <w:sz w:val="20"/>
          <w:szCs w:val="20"/>
          <w:lang w:val="en-US"/>
        </w:rPr>
        <w:t>bid 41</w:t>
      </w:r>
      <w:r w:rsidR="00981A21" w:rsidRPr="00546952">
        <w:rPr>
          <w:rFonts w:ascii="Palatino Linotype" w:hAnsi="Palatino Linotype" w:cs="Arial"/>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4CEF4" w14:textId="794289F2" w:rsidR="00097DE3" w:rsidRPr="00914411" w:rsidRDefault="00097DE3" w:rsidP="00097DE3">
    <w:pPr>
      <w:pStyle w:val="Header"/>
      <w:rPr>
        <w:rFonts w:ascii="Palatino Linotype" w:hAnsi="Palatino Linotype"/>
      </w:rPr>
    </w:pPr>
    <w:r w:rsidRPr="00914411">
      <w:rPr>
        <w:rFonts w:ascii="Palatino Linotype" w:hAnsi="Palatino Linotype"/>
        <w:i/>
      </w:rPr>
      <w:t>Reviewed Article – Teaching and Learning in Clinic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E7"/>
    <w:rsid w:val="000101BC"/>
    <w:rsid w:val="000159BD"/>
    <w:rsid w:val="000167DF"/>
    <w:rsid w:val="000171EC"/>
    <w:rsid w:val="00020B21"/>
    <w:rsid w:val="00023132"/>
    <w:rsid w:val="00023B79"/>
    <w:rsid w:val="00024536"/>
    <w:rsid w:val="00027960"/>
    <w:rsid w:val="00040866"/>
    <w:rsid w:val="000437BE"/>
    <w:rsid w:val="00044E82"/>
    <w:rsid w:val="00046485"/>
    <w:rsid w:val="00046E24"/>
    <w:rsid w:val="0004706F"/>
    <w:rsid w:val="00047C9B"/>
    <w:rsid w:val="0005652E"/>
    <w:rsid w:val="000643E6"/>
    <w:rsid w:val="000646C6"/>
    <w:rsid w:val="000659BF"/>
    <w:rsid w:val="0007619E"/>
    <w:rsid w:val="00076B35"/>
    <w:rsid w:val="000816C6"/>
    <w:rsid w:val="00083E2C"/>
    <w:rsid w:val="0008608B"/>
    <w:rsid w:val="000936D8"/>
    <w:rsid w:val="00095ECA"/>
    <w:rsid w:val="00097DE3"/>
    <w:rsid w:val="000A3947"/>
    <w:rsid w:val="000B1EAA"/>
    <w:rsid w:val="000B2DD2"/>
    <w:rsid w:val="000B4958"/>
    <w:rsid w:val="000B5A5A"/>
    <w:rsid w:val="000B5D0E"/>
    <w:rsid w:val="000B6A05"/>
    <w:rsid w:val="000B73EA"/>
    <w:rsid w:val="000C2765"/>
    <w:rsid w:val="000C53A0"/>
    <w:rsid w:val="000D1841"/>
    <w:rsid w:val="000D2737"/>
    <w:rsid w:val="000D3008"/>
    <w:rsid w:val="000D5DA8"/>
    <w:rsid w:val="000D5FC9"/>
    <w:rsid w:val="000E0658"/>
    <w:rsid w:val="000E078C"/>
    <w:rsid w:val="000E0E49"/>
    <w:rsid w:val="000E7F4F"/>
    <w:rsid w:val="000F1C3C"/>
    <w:rsid w:val="000F429A"/>
    <w:rsid w:val="000F4EF0"/>
    <w:rsid w:val="00104169"/>
    <w:rsid w:val="00104CEA"/>
    <w:rsid w:val="00116469"/>
    <w:rsid w:val="0011712B"/>
    <w:rsid w:val="00125AD1"/>
    <w:rsid w:val="001273A2"/>
    <w:rsid w:val="0013073A"/>
    <w:rsid w:val="0013240B"/>
    <w:rsid w:val="00132CDD"/>
    <w:rsid w:val="00134610"/>
    <w:rsid w:val="001353D8"/>
    <w:rsid w:val="0013737B"/>
    <w:rsid w:val="00140177"/>
    <w:rsid w:val="00145787"/>
    <w:rsid w:val="00145D90"/>
    <w:rsid w:val="0014700D"/>
    <w:rsid w:val="00153BE3"/>
    <w:rsid w:val="00156D20"/>
    <w:rsid w:val="00160AE6"/>
    <w:rsid w:val="00162D7E"/>
    <w:rsid w:val="00165067"/>
    <w:rsid w:val="00165131"/>
    <w:rsid w:val="00167BD7"/>
    <w:rsid w:val="001705FE"/>
    <w:rsid w:val="00172517"/>
    <w:rsid w:val="00172946"/>
    <w:rsid w:val="00172BCC"/>
    <w:rsid w:val="0017526B"/>
    <w:rsid w:val="00177056"/>
    <w:rsid w:val="00190C87"/>
    <w:rsid w:val="00192E9D"/>
    <w:rsid w:val="00196E23"/>
    <w:rsid w:val="001A3F17"/>
    <w:rsid w:val="001A4487"/>
    <w:rsid w:val="001A463E"/>
    <w:rsid w:val="001B5C87"/>
    <w:rsid w:val="001C2767"/>
    <w:rsid w:val="001C60DF"/>
    <w:rsid w:val="001C6150"/>
    <w:rsid w:val="001D2A15"/>
    <w:rsid w:val="001D67CF"/>
    <w:rsid w:val="001D6B2E"/>
    <w:rsid w:val="001D7D40"/>
    <w:rsid w:val="001E0DD7"/>
    <w:rsid w:val="001E3573"/>
    <w:rsid w:val="001E6AB3"/>
    <w:rsid w:val="001F1A8C"/>
    <w:rsid w:val="001F7C43"/>
    <w:rsid w:val="00203FBB"/>
    <w:rsid w:val="00212B8B"/>
    <w:rsid w:val="00215FF5"/>
    <w:rsid w:val="0022296B"/>
    <w:rsid w:val="002263AE"/>
    <w:rsid w:val="00230F5D"/>
    <w:rsid w:val="00232612"/>
    <w:rsid w:val="00236F09"/>
    <w:rsid w:val="0024126A"/>
    <w:rsid w:val="00241493"/>
    <w:rsid w:val="00245D96"/>
    <w:rsid w:val="00251F15"/>
    <w:rsid w:val="00253027"/>
    <w:rsid w:val="00254652"/>
    <w:rsid w:val="00255A7D"/>
    <w:rsid w:val="002601FB"/>
    <w:rsid w:val="00262B1F"/>
    <w:rsid w:val="00263FA5"/>
    <w:rsid w:val="00266151"/>
    <w:rsid w:val="00270BFE"/>
    <w:rsid w:val="00273E53"/>
    <w:rsid w:val="002861C8"/>
    <w:rsid w:val="0029297C"/>
    <w:rsid w:val="002A6C14"/>
    <w:rsid w:val="002A70D7"/>
    <w:rsid w:val="002B02A4"/>
    <w:rsid w:val="002B073B"/>
    <w:rsid w:val="002B08F8"/>
    <w:rsid w:val="002B2409"/>
    <w:rsid w:val="002B5014"/>
    <w:rsid w:val="002C1A3C"/>
    <w:rsid w:val="002C2D90"/>
    <w:rsid w:val="002C550A"/>
    <w:rsid w:val="002D012E"/>
    <w:rsid w:val="002D12C6"/>
    <w:rsid w:val="002D61B0"/>
    <w:rsid w:val="002D6B92"/>
    <w:rsid w:val="002D72EF"/>
    <w:rsid w:val="002E2014"/>
    <w:rsid w:val="002E299B"/>
    <w:rsid w:val="002E4BAF"/>
    <w:rsid w:val="002E573D"/>
    <w:rsid w:val="002E66CD"/>
    <w:rsid w:val="002E6CFA"/>
    <w:rsid w:val="002F4559"/>
    <w:rsid w:val="00313B6C"/>
    <w:rsid w:val="00315E64"/>
    <w:rsid w:val="00322956"/>
    <w:rsid w:val="00323CF4"/>
    <w:rsid w:val="0032431F"/>
    <w:rsid w:val="00325598"/>
    <w:rsid w:val="00326A54"/>
    <w:rsid w:val="0033047A"/>
    <w:rsid w:val="00332785"/>
    <w:rsid w:val="003412A6"/>
    <w:rsid w:val="00352454"/>
    <w:rsid w:val="003578C4"/>
    <w:rsid w:val="00362803"/>
    <w:rsid w:val="00366A9E"/>
    <w:rsid w:val="00374833"/>
    <w:rsid w:val="00385E54"/>
    <w:rsid w:val="00385F4C"/>
    <w:rsid w:val="003876FD"/>
    <w:rsid w:val="003A717B"/>
    <w:rsid w:val="003B4CAC"/>
    <w:rsid w:val="003B529B"/>
    <w:rsid w:val="003D6317"/>
    <w:rsid w:val="003D633A"/>
    <w:rsid w:val="003E021F"/>
    <w:rsid w:val="003E30DB"/>
    <w:rsid w:val="004010EC"/>
    <w:rsid w:val="00401585"/>
    <w:rsid w:val="00405146"/>
    <w:rsid w:val="0040714B"/>
    <w:rsid w:val="00412E90"/>
    <w:rsid w:val="00413566"/>
    <w:rsid w:val="004156E3"/>
    <w:rsid w:val="0041711C"/>
    <w:rsid w:val="00420CCD"/>
    <w:rsid w:val="0042614D"/>
    <w:rsid w:val="00426F1A"/>
    <w:rsid w:val="00433E12"/>
    <w:rsid w:val="00435A09"/>
    <w:rsid w:val="004367DE"/>
    <w:rsid w:val="00445EA3"/>
    <w:rsid w:val="0045154A"/>
    <w:rsid w:val="00456724"/>
    <w:rsid w:val="004569B4"/>
    <w:rsid w:val="004609E8"/>
    <w:rsid w:val="004649A7"/>
    <w:rsid w:val="00470F91"/>
    <w:rsid w:val="00471A0F"/>
    <w:rsid w:val="004756E9"/>
    <w:rsid w:val="00475934"/>
    <w:rsid w:val="00491352"/>
    <w:rsid w:val="004A04AE"/>
    <w:rsid w:val="004A08C2"/>
    <w:rsid w:val="004A17CB"/>
    <w:rsid w:val="004A4252"/>
    <w:rsid w:val="004A4AAB"/>
    <w:rsid w:val="004A4ADD"/>
    <w:rsid w:val="004A4CA2"/>
    <w:rsid w:val="004B0FB6"/>
    <w:rsid w:val="004B25E7"/>
    <w:rsid w:val="004B3D7F"/>
    <w:rsid w:val="004B51DB"/>
    <w:rsid w:val="004B7F50"/>
    <w:rsid w:val="004C04FF"/>
    <w:rsid w:val="004C2630"/>
    <w:rsid w:val="004C26AB"/>
    <w:rsid w:val="004E0062"/>
    <w:rsid w:val="004F0CF2"/>
    <w:rsid w:val="004F2141"/>
    <w:rsid w:val="004F2A92"/>
    <w:rsid w:val="00500F91"/>
    <w:rsid w:val="00503394"/>
    <w:rsid w:val="00503408"/>
    <w:rsid w:val="00506EAD"/>
    <w:rsid w:val="00511731"/>
    <w:rsid w:val="00513D22"/>
    <w:rsid w:val="0051519C"/>
    <w:rsid w:val="00522E88"/>
    <w:rsid w:val="00523DE9"/>
    <w:rsid w:val="00527377"/>
    <w:rsid w:val="00527C37"/>
    <w:rsid w:val="00534A62"/>
    <w:rsid w:val="00540267"/>
    <w:rsid w:val="005425A3"/>
    <w:rsid w:val="00546952"/>
    <w:rsid w:val="005479D6"/>
    <w:rsid w:val="00550D34"/>
    <w:rsid w:val="005631C9"/>
    <w:rsid w:val="00572A64"/>
    <w:rsid w:val="00574AAD"/>
    <w:rsid w:val="005759BA"/>
    <w:rsid w:val="00576EAF"/>
    <w:rsid w:val="00580809"/>
    <w:rsid w:val="00582286"/>
    <w:rsid w:val="00584F7F"/>
    <w:rsid w:val="005A21FE"/>
    <w:rsid w:val="005A2FB8"/>
    <w:rsid w:val="005A5E7E"/>
    <w:rsid w:val="005C017A"/>
    <w:rsid w:val="005C227D"/>
    <w:rsid w:val="005C2B36"/>
    <w:rsid w:val="005C49E3"/>
    <w:rsid w:val="005D0F39"/>
    <w:rsid w:val="005D390D"/>
    <w:rsid w:val="005D4068"/>
    <w:rsid w:val="005D5953"/>
    <w:rsid w:val="005D76D9"/>
    <w:rsid w:val="005E3C5C"/>
    <w:rsid w:val="005E41A0"/>
    <w:rsid w:val="005E4721"/>
    <w:rsid w:val="005E591C"/>
    <w:rsid w:val="005F0E5D"/>
    <w:rsid w:val="005F23D9"/>
    <w:rsid w:val="005F2DB7"/>
    <w:rsid w:val="005F398C"/>
    <w:rsid w:val="005F3ACE"/>
    <w:rsid w:val="00604D14"/>
    <w:rsid w:val="0060613B"/>
    <w:rsid w:val="00606181"/>
    <w:rsid w:val="0060634B"/>
    <w:rsid w:val="006101C5"/>
    <w:rsid w:val="006115B9"/>
    <w:rsid w:val="006148A1"/>
    <w:rsid w:val="0062472B"/>
    <w:rsid w:val="00630CA3"/>
    <w:rsid w:val="006340CE"/>
    <w:rsid w:val="006352E7"/>
    <w:rsid w:val="00644EFC"/>
    <w:rsid w:val="00650276"/>
    <w:rsid w:val="0065077A"/>
    <w:rsid w:val="006542C2"/>
    <w:rsid w:val="00656D98"/>
    <w:rsid w:val="00675C8D"/>
    <w:rsid w:val="00676358"/>
    <w:rsid w:val="00677D05"/>
    <w:rsid w:val="00677D3A"/>
    <w:rsid w:val="00680763"/>
    <w:rsid w:val="006839C7"/>
    <w:rsid w:val="00690934"/>
    <w:rsid w:val="00690F13"/>
    <w:rsid w:val="006916A4"/>
    <w:rsid w:val="0069197A"/>
    <w:rsid w:val="00691A65"/>
    <w:rsid w:val="00696645"/>
    <w:rsid w:val="006A1B84"/>
    <w:rsid w:val="006A295A"/>
    <w:rsid w:val="006A3402"/>
    <w:rsid w:val="006B4B8D"/>
    <w:rsid w:val="006B75DD"/>
    <w:rsid w:val="006C451E"/>
    <w:rsid w:val="006C5296"/>
    <w:rsid w:val="006C58F4"/>
    <w:rsid w:val="006D0873"/>
    <w:rsid w:val="006D77FD"/>
    <w:rsid w:val="006E0873"/>
    <w:rsid w:val="006E0D1F"/>
    <w:rsid w:val="006E0EA7"/>
    <w:rsid w:val="006E1B1C"/>
    <w:rsid w:val="006E41AF"/>
    <w:rsid w:val="006E46C3"/>
    <w:rsid w:val="006E5D9F"/>
    <w:rsid w:val="006F186A"/>
    <w:rsid w:val="006F6271"/>
    <w:rsid w:val="00701616"/>
    <w:rsid w:val="007017AB"/>
    <w:rsid w:val="00701F68"/>
    <w:rsid w:val="00704C12"/>
    <w:rsid w:val="0071084B"/>
    <w:rsid w:val="00712981"/>
    <w:rsid w:val="0071374F"/>
    <w:rsid w:val="00715CF2"/>
    <w:rsid w:val="00721D74"/>
    <w:rsid w:val="00722DE4"/>
    <w:rsid w:val="00724C87"/>
    <w:rsid w:val="007309A8"/>
    <w:rsid w:val="00734807"/>
    <w:rsid w:val="00741507"/>
    <w:rsid w:val="00741F8E"/>
    <w:rsid w:val="007476A5"/>
    <w:rsid w:val="00747C12"/>
    <w:rsid w:val="00751AB6"/>
    <w:rsid w:val="00752221"/>
    <w:rsid w:val="00761DBF"/>
    <w:rsid w:val="0076489B"/>
    <w:rsid w:val="00771756"/>
    <w:rsid w:val="00771CD8"/>
    <w:rsid w:val="00773082"/>
    <w:rsid w:val="0078059B"/>
    <w:rsid w:val="00781084"/>
    <w:rsid w:val="00783371"/>
    <w:rsid w:val="007852D2"/>
    <w:rsid w:val="00785BD6"/>
    <w:rsid w:val="007863F7"/>
    <w:rsid w:val="00786BE9"/>
    <w:rsid w:val="00792E3F"/>
    <w:rsid w:val="00793993"/>
    <w:rsid w:val="007949D4"/>
    <w:rsid w:val="007A16EA"/>
    <w:rsid w:val="007A2F25"/>
    <w:rsid w:val="007B1272"/>
    <w:rsid w:val="007B4956"/>
    <w:rsid w:val="007B6C44"/>
    <w:rsid w:val="007B6DD5"/>
    <w:rsid w:val="007B77DE"/>
    <w:rsid w:val="007C6ABD"/>
    <w:rsid w:val="007D08E9"/>
    <w:rsid w:val="007E053B"/>
    <w:rsid w:val="007E1A8A"/>
    <w:rsid w:val="007E2060"/>
    <w:rsid w:val="007E2AB4"/>
    <w:rsid w:val="007E6D71"/>
    <w:rsid w:val="007E73F4"/>
    <w:rsid w:val="007E7EDE"/>
    <w:rsid w:val="007F350A"/>
    <w:rsid w:val="007F5B30"/>
    <w:rsid w:val="00811481"/>
    <w:rsid w:val="00812A6A"/>
    <w:rsid w:val="00816166"/>
    <w:rsid w:val="008235C0"/>
    <w:rsid w:val="0082662A"/>
    <w:rsid w:val="00826F81"/>
    <w:rsid w:val="008334D7"/>
    <w:rsid w:val="00836568"/>
    <w:rsid w:val="00846DE8"/>
    <w:rsid w:val="00854A7E"/>
    <w:rsid w:val="0085698F"/>
    <w:rsid w:val="00856DCD"/>
    <w:rsid w:val="008616E8"/>
    <w:rsid w:val="00865B3F"/>
    <w:rsid w:val="00867201"/>
    <w:rsid w:val="00873000"/>
    <w:rsid w:val="0087401D"/>
    <w:rsid w:val="00874EBB"/>
    <w:rsid w:val="00883D87"/>
    <w:rsid w:val="00884033"/>
    <w:rsid w:val="008874F1"/>
    <w:rsid w:val="00894685"/>
    <w:rsid w:val="008A18B4"/>
    <w:rsid w:val="008A5833"/>
    <w:rsid w:val="008A5C65"/>
    <w:rsid w:val="008A6568"/>
    <w:rsid w:val="008A67B1"/>
    <w:rsid w:val="008A7294"/>
    <w:rsid w:val="008B1CC5"/>
    <w:rsid w:val="008B1F08"/>
    <w:rsid w:val="008B3AB1"/>
    <w:rsid w:val="008B4398"/>
    <w:rsid w:val="008B4A5A"/>
    <w:rsid w:val="008B4D43"/>
    <w:rsid w:val="008C05E7"/>
    <w:rsid w:val="008D3ED5"/>
    <w:rsid w:val="008D4714"/>
    <w:rsid w:val="008D6A95"/>
    <w:rsid w:val="008D6CB5"/>
    <w:rsid w:val="008E157F"/>
    <w:rsid w:val="008E2DB7"/>
    <w:rsid w:val="008E64D7"/>
    <w:rsid w:val="008E6784"/>
    <w:rsid w:val="008F19CD"/>
    <w:rsid w:val="008F1F44"/>
    <w:rsid w:val="008F2FAD"/>
    <w:rsid w:val="008F5823"/>
    <w:rsid w:val="008F5F3C"/>
    <w:rsid w:val="009034F6"/>
    <w:rsid w:val="00903BE7"/>
    <w:rsid w:val="009046C8"/>
    <w:rsid w:val="0090572F"/>
    <w:rsid w:val="0090750D"/>
    <w:rsid w:val="00922C5B"/>
    <w:rsid w:val="00924249"/>
    <w:rsid w:val="00930C1D"/>
    <w:rsid w:val="009429E4"/>
    <w:rsid w:val="00944A9E"/>
    <w:rsid w:val="00944C8E"/>
    <w:rsid w:val="00956640"/>
    <w:rsid w:val="00962D95"/>
    <w:rsid w:val="009647D6"/>
    <w:rsid w:val="0096633A"/>
    <w:rsid w:val="00974E23"/>
    <w:rsid w:val="00981A21"/>
    <w:rsid w:val="0098474A"/>
    <w:rsid w:val="00984896"/>
    <w:rsid w:val="009854C0"/>
    <w:rsid w:val="009919C4"/>
    <w:rsid w:val="009931B8"/>
    <w:rsid w:val="00995D1F"/>
    <w:rsid w:val="009967E3"/>
    <w:rsid w:val="009A04AB"/>
    <w:rsid w:val="009A19A4"/>
    <w:rsid w:val="009A2AB9"/>
    <w:rsid w:val="009A38A8"/>
    <w:rsid w:val="009A3C1C"/>
    <w:rsid w:val="009A4DF2"/>
    <w:rsid w:val="009A4FB8"/>
    <w:rsid w:val="009A68FF"/>
    <w:rsid w:val="009A7191"/>
    <w:rsid w:val="009B36FE"/>
    <w:rsid w:val="009B4B07"/>
    <w:rsid w:val="009C2E25"/>
    <w:rsid w:val="009C3359"/>
    <w:rsid w:val="009C3B3A"/>
    <w:rsid w:val="009C4DBE"/>
    <w:rsid w:val="009C5E86"/>
    <w:rsid w:val="009C6AA2"/>
    <w:rsid w:val="009C79F6"/>
    <w:rsid w:val="009D5EE2"/>
    <w:rsid w:val="009D624B"/>
    <w:rsid w:val="009E1E6A"/>
    <w:rsid w:val="009E38A1"/>
    <w:rsid w:val="009E3A7A"/>
    <w:rsid w:val="009F1834"/>
    <w:rsid w:val="009F24AD"/>
    <w:rsid w:val="009F56FB"/>
    <w:rsid w:val="00A05561"/>
    <w:rsid w:val="00A059CB"/>
    <w:rsid w:val="00A10E56"/>
    <w:rsid w:val="00A11800"/>
    <w:rsid w:val="00A14BE8"/>
    <w:rsid w:val="00A21BFF"/>
    <w:rsid w:val="00A310BF"/>
    <w:rsid w:val="00A3371B"/>
    <w:rsid w:val="00A35098"/>
    <w:rsid w:val="00A375D8"/>
    <w:rsid w:val="00A40B19"/>
    <w:rsid w:val="00A4491E"/>
    <w:rsid w:val="00A45F1D"/>
    <w:rsid w:val="00A461AB"/>
    <w:rsid w:val="00A472FA"/>
    <w:rsid w:val="00A54EF7"/>
    <w:rsid w:val="00A56BCA"/>
    <w:rsid w:val="00A57340"/>
    <w:rsid w:val="00A6266C"/>
    <w:rsid w:val="00A62B4B"/>
    <w:rsid w:val="00A71BD8"/>
    <w:rsid w:val="00A80C3F"/>
    <w:rsid w:val="00A828D2"/>
    <w:rsid w:val="00A83ACB"/>
    <w:rsid w:val="00A85EF7"/>
    <w:rsid w:val="00A8780A"/>
    <w:rsid w:val="00A96372"/>
    <w:rsid w:val="00AB0165"/>
    <w:rsid w:val="00AB4A70"/>
    <w:rsid w:val="00AC7BC0"/>
    <w:rsid w:val="00AD0AD1"/>
    <w:rsid w:val="00AD2437"/>
    <w:rsid w:val="00AD3037"/>
    <w:rsid w:val="00AE1C8C"/>
    <w:rsid w:val="00AE222F"/>
    <w:rsid w:val="00AE36FF"/>
    <w:rsid w:val="00AE4758"/>
    <w:rsid w:val="00AF40CD"/>
    <w:rsid w:val="00AF5F27"/>
    <w:rsid w:val="00B0370D"/>
    <w:rsid w:val="00B04E15"/>
    <w:rsid w:val="00B05620"/>
    <w:rsid w:val="00B06325"/>
    <w:rsid w:val="00B12018"/>
    <w:rsid w:val="00B12072"/>
    <w:rsid w:val="00B16D10"/>
    <w:rsid w:val="00B20ACE"/>
    <w:rsid w:val="00B23034"/>
    <w:rsid w:val="00B24829"/>
    <w:rsid w:val="00B31A2A"/>
    <w:rsid w:val="00B45A3D"/>
    <w:rsid w:val="00B532BF"/>
    <w:rsid w:val="00B60631"/>
    <w:rsid w:val="00B63736"/>
    <w:rsid w:val="00B66CB4"/>
    <w:rsid w:val="00B704D6"/>
    <w:rsid w:val="00B76D28"/>
    <w:rsid w:val="00B808B2"/>
    <w:rsid w:val="00B81560"/>
    <w:rsid w:val="00B82605"/>
    <w:rsid w:val="00B87CC4"/>
    <w:rsid w:val="00B93824"/>
    <w:rsid w:val="00B93A44"/>
    <w:rsid w:val="00B960A9"/>
    <w:rsid w:val="00BA0026"/>
    <w:rsid w:val="00BA3FC1"/>
    <w:rsid w:val="00BB44C7"/>
    <w:rsid w:val="00BB48E3"/>
    <w:rsid w:val="00BC08CF"/>
    <w:rsid w:val="00BC1CFE"/>
    <w:rsid w:val="00BC5BA5"/>
    <w:rsid w:val="00BC5CA3"/>
    <w:rsid w:val="00BD24FC"/>
    <w:rsid w:val="00BD79CA"/>
    <w:rsid w:val="00BE56C2"/>
    <w:rsid w:val="00BF37D3"/>
    <w:rsid w:val="00BF4621"/>
    <w:rsid w:val="00C00B23"/>
    <w:rsid w:val="00C01A09"/>
    <w:rsid w:val="00C11E59"/>
    <w:rsid w:val="00C1378F"/>
    <w:rsid w:val="00C256C8"/>
    <w:rsid w:val="00C25975"/>
    <w:rsid w:val="00C319C2"/>
    <w:rsid w:val="00C331E2"/>
    <w:rsid w:val="00C349DF"/>
    <w:rsid w:val="00C35D12"/>
    <w:rsid w:val="00C372AA"/>
    <w:rsid w:val="00C37528"/>
    <w:rsid w:val="00C40457"/>
    <w:rsid w:val="00C4067F"/>
    <w:rsid w:val="00C41977"/>
    <w:rsid w:val="00C42E92"/>
    <w:rsid w:val="00C45500"/>
    <w:rsid w:val="00C560B4"/>
    <w:rsid w:val="00C6297E"/>
    <w:rsid w:val="00C62F2A"/>
    <w:rsid w:val="00C725B8"/>
    <w:rsid w:val="00C80321"/>
    <w:rsid w:val="00C81321"/>
    <w:rsid w:val="00C828F1"/>
    <w:rsid w:val="00C92301"/>
    <w:rsid w:val="00C95C15"/>
    <w:rsid w:val="00CA0D5B"/>
    <w:rsid w:val="00CA12C2"/>
    <w:rsid w:val="00CA40D6"/>
    <w:rsid w:val="00CA4744"/>
    <w:rsid w:val="00CA4DCF"/>
    <w:rsid w:val="00CA5E2D"/>
    <w:rsid w:val="00CB2464"/>
    <w:rsid w:val="00CB55CB"/>
    <w:rsid w:val="00CC286C"/>
    <w:rsid w:val="00CC2D90"/>
    <w:rsid w:val="00CC382C"/>
    <w:rsid w:val="00CC4506"/>
    <w:rsid w:val="00CD0D89"/>
    <w:rsid w:val="00CD22FD"/>
    <w:rsid w:val="00CD3D20"/>
    <w:rsid w:val="00CE4DB7"/>
    <w:rsid w:val="00CE6219"/>
    <w:rsid w:val="00CE748A"/>
    <w:rsid w:val="00CF2AB6"/>
    <w:rsid w:val="00CF43EA"/>
    <w:rsid w:val="00CF6ACD"/>
    <w:rsid w:val="00D029F3"/>
    <w:rsid w:val="00D11FB7"/>
    <w:rsid w:val="00D13C49"/>
    <w:rsid w:val="00D13D6D"/>
    <w:rsid w:val="00D24F7B"/>
    <w:rsid w:val="00D27E0C"/>
    <w:rsid w:val="00D305AC"/>
    <w:rsid w:val="00D4770C"/>
    <w:rsid w:val="00D50DE3"/>
    <w:rsid w:val="00D5387D"/>
    <w:rsid w:val="00D544A2"/>
    <w:rsid w:val="00D608BE"/>
    <w:rsid w:val="00D636CD"/>
    <w:rsid w:val="00D641F3"/>
    <w:rsid w:val="00D660FB"/>
    <w:rsid w:val="00D66BF2"/>
    <w:rsid w:val="00D76BC3"/>
    <w:rsid w:val="00D81470"/>
    <w:rsid w:val="00D849B7"/>
    <w:rsid w:val="00D929D0"/>
    <w:rsid w:val="00D92A43"/>
    <w:rsid w:val="00D94C02"/>
    <w:rsid w:val="00DA0ADE"/>
    <w:rsid w:val="00DA2E12"/>
    <w:rsid w:val="00DA52D6"/>
    <w:rsid w:val="00DB004B"/>
    <w:rsid w:val="00DB066B"/>
    <w:rsid w:val="00DB5A79"/>
    <w:rsid w:val="00DB5E28"/>
    <w:rsid w:val="00DC0106"/>
    <w:rsid w:val="00DC2D4E"/>
    <w:rsid w:val="00DC2FB0"/>
    <w:rsid w:val="00DC5E1C"/>
    <w:rsid w:val="00DC67D3"/>
    <w:rsid w:val="00DD10FA"/>
    <w:rsid w:val="00DD1AA4"/>
    <w:rsid w:val="00DE36DC"/>
    <w:rsid w:val="00DE57DE"/>
    <w:rsid w:val="00DF1B58"/>
    <w:rsid w:val="00DF2649"/>
    <w:rsid w:val="00DF30CA"/>
    <w:rsid w:val="00DF63C5"/>
    <w:rsid w:val="00DF695A"/>
    <w:rsid w:val="00E03453"/>
    <w:rsid w:val="00E11619"/>
    <w:rsid w:val="00E155B5"/>
    <w:rsid w:val="00E24672"/>
    <w:rsid w:val="00E3315F"/>
    <w:rsid w:val="00E341CE"/>
    <w:rsid w:val="00E3696B"/>
    <w:rsid w:val="00E406CA"/>
    <w:rsid w:val="00E41551"/>
    <w:rsid w:val="00E4177D"/>
    <w:rsid w:val="00E41E41"/>
    <w:rsid w:val="00E43C14"/>
    <w:rsid w:val="00E44C9D"/>
    <w:rsid w:val="00E4597D"/>
    <w:rsid w:val="00E51AFB"/>
    <w:rsid w:val="00E55940"/>
    <w:rsid w:val="00E5692D"/>
    <w:rsid w:val="00E57993"/>
    <w:rsid w:val="00E622EE"/>
    <w:rsid w:val="00E6435F"/>
    <w:rsid w:val="00E65427"/>
    <w:rsid w:val="00E721F4"/>
    <w:rsid w:val="00E77D30"/>
    <w:rsid w:val="00E8102A"/>
    <w:rsid w:val="00E9133B"/>
    <w:rsid w:val="00E92C34"/>
    <w:rsid w:val="00E9739E"/>
    <w:rsid w:val="00EA4721"/>
    <w:rsid w:val="00EA5D1C"/>
    <w:rsid w:val="00EA5EA9"/>
    <w:rsid w:val="00EA6999"/>
    <w:rsid w:val="00EB13A1"/>
    <w:rsid w:val="00EB50A2"/>
    <w:rsid w:val="00EB6497"/>
    <w:rsid w:val="00EB7CDA"/>
    <w:rsid w:val="00EC4177"/>
    <w:rsid w:val="00EC7DC2"/>
    <w:rsid w:val="00ED7EE7"/>
    <w:rsid w:val="00EE07A7"/>
    <w:rsid w:val="00EE5916"/>
    <w:rsid w:val="00EF1982"/>
    <w:rsid w:val="00EF4431"/>
    <w:rsid w:val="00EF5BDC"/>
    <w:rsid w:val="00EF6486"/>
    <w:rsid w:val="00F0081C"/>
    <w:rsid w:val="00F02E61"/>
    <w:rsid w:val="00F12E17"/>
    <w:rsid w:val="00F156E9"/>
    <w:rsid w:val="00F17179"/>
    <w:rsid w:val="00F21FB6"/>
    <w:rsid w:val="00F27CD3"/>
    <w:rsid w:val="00F312CA"/>
    <w:rsid w:val="00F33D8D"/>
    <w:rsid w:val="00F340D5"/>
    <w:rsid w:val="00F35374"/>
    <w:rsid w:val="00F35B8D"/>
    <w:rsid w:val="00F36CF7"/>
    <w:rsid w:val="00F411B6"/>
    <w:rsid w:val="00F416F4"/>
    <w:rsid w:val="00F42CCA"/>
    <w:rsid w:val="00F42E5E"/>
    <w:rsid w:val="00F43F30"/>
    <w:rsid w:val="00F456A4"/>
    <w:rsid w:val="00F51E53"/>
    <w:rsid w:val="00F52B3B"/>
    <w:rsid w:val="00F530E9"/>
    <w:rsid w:val="00F563B8"/>
    <w:rsid w:val="00F61B07"/>
    <w:rsid w:val="00F62131"/>
    <w:rsid w:val="00F67DAE"/>
    <w:rsid w:val="00F72174"/>
    <w:rsid w:val="00F776DE"/>
    <w:rsid w:val="00F81E3E"/>
    <w:rsid w:val="00F8603F"/>
    <w:rsid w:val="00F86CB2"/>
    <w:rsid w:val="00F953C1"/>
    <w:rsid w:val="00F973DD"/>
    <w:rsid w:val="00FA1517"/>
    <w:rsid w:val="00FA241C"/>
    <w:rsid w:val="00FA6172"/>
    <w:rsid w:val="00FB292C"/>
    <w:rsid w:val="00FC0C91"/>
    <w:rsid w:val="00FC4B31"/>
    <w:rsid w:val="00FC6904"/>
    <w:rsid w:val="00FD3CA9"/>
    <w:rsid w:val="00FD4273"/>
    <w:rsid w:val="00FD6B41"/>
    <w:rsid w:val="00FE340B"/>
    <w:rsid w:val="00FE4FEB"/>
    <w:rsid w:val="00FE5A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EBD8A"/>
  <w14:defaultImageDpi w14:val="300"/>
  <w15:docId w15:val="{6C3D4C0C-E626-4C1A-B477-E6D283D7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79F6"/>
    <w:rPr>
      <w:rFonts w:ascii="Cambria" w:eastAsia="MS Mincho" w:hAnsi="Cambria" w:cs="Times New Roman"/>
    </w:rPr>
  </w:style>
  <w:style w:type="character" w:customStyle="1" w:styleId="FootnoteTextChar">
    <w:name w:val="Footnote Text Char"/>
    <w:basedOn w:val="DefaultParagraphFont"/>
    <w:link w:val="FootnoteText"/>
    <w:uiPriority w:val="99"/>
    <w:rsid w:val="009C79F6"/>
    <w:rPr>
      <w:rFonts w:ascii="Cambria" w:eastAsia="MS Mincho" w:hAnsi="Cambria" w:cs="Times New Roman"/>
      <w:lang w:val="en-AU"/>
    </w:rPr>
  </w:style>
  <w:style w:type="character" w:styleId="FootnoteReference">
    <w:name w:val="footnote reference"/>
    <w:uiPriority w:val="99"/>
    <w:unhideWhenUsed/>
    <w:rsid w:val="009C79F6"/>
    <w:rPr>
      <w:vertAlign w:val="superscript"/>
    </w:rPr>
  </w:style>
  <w:style w:type="character" w:styleId="CommentReference">
    <w:name w:val="annotation reference"/>
    <w:basedOn w:val="DefaultParagraphFont"/>
    <w:uiPriority w:val="99"/>
    <w:semiHidden/>
    <w:unhideWhenUsed/>
    <w:rsid w:val="009C79F6"/>
    <w:rPr>
      <w:sz w:val="16"/>
      <w:szCs w:val="16"/>
    </w:rPr>
  </w:style>
  <w:style w:type="paragraph" w:styleId="CommentText">
    <w:name w:val="annotation text"/>
    <w:basedOn w:val="Normal"/>
    <w:link w:val="CommentTextChar"/>
    <w:uiPriority w:val="99"/>
    <w:unhideWhenUsed/>
    <w:rsid w:val="009C79F6"/>
    <w:rPr>
      <w:rFonts w:ascii="Cambria" w:eastAsia="MS Mincho" w:hAnsi="Cambria" w:cs="Times New Roman"/>
      <w:sz w:val="20"/>
      <w:szCs w:val="20"/>
    </w:rPr>
  </w:style>
  <w:style w:type="character" w:customStyle="1" w:styleId="CommentTextChar">
    <w:name w:val="Comment Text Char"/>
    <w:basedOn w:val="DefaultParagraphFont"/>
    <w:link w:val="CommentText"/>
    <w:uiPriority w:val="99"/>
    <w:rsid w:val="009C79F6"/>
    <w:rPr>
      <w:rFonts w:ascii="Cambria" w:eastAsia="MS Mincho" w:hAnsi="Cambria" w:cs="Times New Roman"/>
      <w:sz w:val="20"/>
      <w:szCs w:val="20"/>
      <w:lang w:val="en-AU"/>
    </w:rPr>
  </w:style>
  <w:style w:type="paragraph" w:styleId="BalloonText">
    <w:name w:val="Balloon Text"/>
    <w:basedOn w:val="Normal"/>
    <w:link w:val="BalloonTextChar"/>
    <w:uiPriority w:val="99"/>
    <w:semiHidden/>
    <w:unhideWhenUsed/>
    <w:rsid w:val="009C79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79F6"/>
    <w:rPr>
      <w:rFonts w:ascii="Lucida Grande" w:hAnsi="Lucida Grande" w:cs="Lucida Grande"/>
      <w:sz w:val="18"/>
      <w:szCs w:val="18"/>
      <w:lang w:val="en-AU"/>
    </w:rPr>
  </w:style>
  <w:style w:type="paragraph" w:styleId="CommentSubject">
    <w:name w:val="annotation subject"/>
    <w:basedOn w:val="CommentText"/>
    <w:next w:val="CommentText"/>
    <w:link w:val="CommentSubjectChar"/>
    <w:uiPriority w:val="99"/>
    <w:semiHidden/>
    <w:unhideWhenUsed/>
    <w:rsid w:val="001C60DF"/>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C60DF"/>
    <w:rPr>
      <w:rFonts w:ascii="Cambria" w:eastAsia="MS Mincho" w:hAnsi="Cambria" w:cs="Times New Roman"/>
      <w:b/>
      <w:bCs/>
      <w:sz w:val="20"/>
      <w:szCs w:val="20"/>
      <w:lang w:val="en-AU"/>
    </w:rPr>
  </w:style>
  <w:style w:type="paragraph" w:styleId="Footer">
    <w:name w:val="footer"/>
    <w:basedOn w:val="Normal"/>
    <w:link w:val="FooterChar"/>
    <w:uiPriority w:val="99"/>
    <w:unhideWhenUsed/>
    <w:rsid w:val="001273A2"/>
    <w:pPr>
      <w:tabs>
        <w:tab w:val="center" w:pos="4320"/>
        <w:tab w:val="right" w:pos="8640"/>
      </w:tabs>
    </w:pPr>
  </w:style>
  <w:style w:type="character" w:customStyle="1" w:styleId="FooterChar">
    <w:name w:val="Footer Char"/>
    <w:basedOn w:val="DefaultParagraphFont"/>
    <w:link w:val="Footer"/>
    <w:uiPriority w:val="99"/>
    <w:rsid w:val="001273A2"/>
    <w:rPr>
      <w:lang w:val="en-AU"/>
    </w:rPr>
  </w:style>
  <w:style w:type="character" w:styleId="PageNumber">
    <w:name w:val="page number"/>
    <w:basedOn w:val="DefaultParagraphFont"/>
    <w:uiPriority w:val="99"/>
    <w:semiHidden/>
    <w:unhideWhenUsed/>
    <w:rsid w:val="001273A2"/>
  </w:style>
  <w:style w:type="paragraph" w:styleId="Revision">
    <w:name w:val="Revision"/>
    <w:hidden/>
    <w:uiPriority w:val="99"/>
    <w:semiHidden/>
    <w:rsid w:val="00352454"/>
    <w:rPr>
      <w:lang w:val="en-AU"/>
    </w:rPr>
  </w:style>
  <w:style w:type="paragraph" w:styleId="Header">
    <w:name w:val="header"/>
    <w:basedOn w:val="Normal"/>
    <w:link w:val="HeaderChar"/>
    <w:uiPriority w:val="99"/>
    <w:unhideWhenUsed/>
    <w:rsid w:val="00097DE3"/>
    <w:pPr>
      <w:tabs>
        <w:tab w:val="center" w:pos="4513"/>
        <w:tab w:val="right" w:pos="9026"/>
      </w:tabs>
    </w:pPr>
  </w:style>
  <w:style w:type="character" w:customStyle="1" w:styleId="HeaderChar">
    <w:name w:val="Header Char"/>
    <w:basedOn w:val="DefaultParagraphFont"/>
    <w:link w:val="Header"/>
    <w:uiPriority w:val="99"/>
    <w:rsid w:val="00097DE3"/>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73185">
      <w:bodyDiv w:val="1"/>
      <w:marLeft w:val="0"/>
      <w:marRight w:val="0"/>
      <w:marTop w:val="0"/>
      <w:marBottom w:val="0"/>
      <w:divBdr>
        <w:top w:val="none" w:sz="0" w:space="0" w:color="auto"/>
        <w:left w:val="none" w:sz="0" w:space="0" w:color="auto"/>
        <w:bottom w:val="none" w:sz="0" w:space="0" w:color="auto"/>
        <w:right w:val="none" w:sz="0" w:space="0" w:color="auto"/>
      </w:divBdr>
      <w:divsChild>
        <w:div w:id="191652091">
          <w:marLeft w:val="0"/>
          <w:marRight w:val="0"/>
          <w:marTop w:val="0"/>
          <w:marBottom w:val="0"/>
          <w:divBdr>
            <w:top w:val="none" w:sz="0" w:space="0" w:color="auto"/>
            <w:left w:val="none" w:sz="0" w:space="0" w:color="auto"/>
            <w:bottom w:val="none" w:sz="0" w:space="0" w:color="auto"/>
            <w:right w:val="none" w:sz="0" w:space="0" w:color="auto"/>
          </w:divBdr>
          <w:divsChild>
            <w:div w:id="1639262341">
              <w:marLeft w:val="0"/>
              <w:marRight w:val="0"/>
              <w:marTop w:val="0"/>
              <w:marBottom w:val="0"/>
              <w:divBdr>
                <w:top w:val="none" w:sz="0" w:space="0" w:color="auto"/>
                <w:left w:val="none" w:sz="0" w:space="0" w:color="auto"/>
                <w:bottom w:val="none" w:sz="0" w:space="0" w:color="auto"/>
                <w:right w:val="none" w:sz="0" w:space="0" w:color="auto"/>
              </w:divBdr>
              <w:divsChild>
                <w:div w:id="82072668">
                  <w:marLeft w:val="0"/>
                  <w:marRight w:val="0"/>
                  <w:marTop w:val="0"/>
                  <w:marBottom w:val="0"/>
                  <w:divBdr>
                    <w:top w:val="none" w:sz="0" w:space="0" w:color="auto"/>
                    <w:left w:val="none" w:sz="0" w:space="0" w:color="auto"/>
                    <w:bottom w:val="none" w:sz="0" w:space="0" w:color="auto"/>
                    <w:right w:val="none" w:sz="0" w:space="0" w:color="auto"/>
                  </w:divBdr>
                  <w:divsChild>
                    <w:div w:id="1019039076">
                      <w:marLeft w:val="0"/>
                      <w:marRight w:val="0"/>
                      <w:marTop w:val="0"/>
                      <w:marBottom w:val="0"/>
                      <w:divBdr>
                        <w:top w:val="none" w:sz="0" w:space="0" w:color="auto"/>
                        <w:left w:val="none" w:sz="0" w:space="0" w:color="auto"/>
                        <w:bottom w:val="none" w:sz="0" w:space="0" w:color="auto"/>
                        <w:right w:val="none" w:sz="0" w:space="0" w:color="auto"/>
                      </w:divBdr>
                      <w:divsChild>
                        <w:div w:id="1883520116">
                          <w:marLeft w:val="0"/>
                          <w:marRight w:val="0"/>
                          <w:marTop w:val="0"/>
                          <w:marBottom w:val="0"/>
                          <w:divBdr>
                            <w:top w:val="none" w:sz="0" w:space="0" w:color="auto"/>
                            <w:left w:val="none" w:sz="0" w:space="0" w:color="auto"/>
                            <w:bottom w:val="none" w:sz="0" w:space="0" w:color="auto"/>
                            <w:right w:val="none" w:sz="0" w:space="0" w:color="auto"/>
                          </w:divBdr>
                          <w:divsChild>
                            <w:div w:id="746616386">
                              <w:marLeft w:val="0"/>
                              <w:marRight w:val="0"/>
                              <w:marTop w:val="0"/>
                              <w:marBottom w:val="0"/>
                              <w:divBdr>
                                <w:top w:val="none" w:sz="0" w:space="0" w:color="auto"/>
                                <w:left w:val="none" w:sz="0" w:space="0" w:color="auto"/>
                                <w:bottom w:val="none" w:sz="0" w:space="0" w:color="auto"/>
                                <w:right w:val="none" w:sz="0" w:space="0" w:color="auto"/>
                              </w:divBdr>
                              <w:divsChild>
                                <w:div w:id="971255205">
                                  <w:marLeft w:val="0"/>
                                  <w:marRight w:val="0"/>
                                  <w:marTop w:val="0"/>
                                  <w:marBottom w:val="0"/>
                                  <w:divBdr>
                                    <w:top w:val="none" w:sz="0" w:space="0" w:color="auto"/>
                                    <w:left w:val="none" w:sz="0" w:space="0" w:color="auto"/>
                                    <w:bottom w:val="none" w:sz="0" w:space="0" w:color="auto"/>
                                    <w:right w:val="none" w:sz="0" w:space="0" w:color="auto"/>
                                  </w:divBdr>
                                  <w:divsChild>
                                    <w:div w:id="750078966">
                                      <w:marLeft w:val="0"/>
                                      <w:marRight w:val="0"/>
                                      <w:marTop w:val="0"/>
                                      <w:marBottom w:val="0"/>
                                      <w:divBdr>
                                        <w:top w:val="none" w:sz="0" w:space="0" w:color="auto"/>
                                        <w:left w:val="none" w:sz="0" w:space="0" w:color="auto"/>
                                        <w:bottom w:val="none" w:sz="0" w:space="0" w:color="auto"/>
                                        <w:right w:val="none" w:sz="0" w:space="0" w:color="auto"/>
                                      </w:divBdr>
                                      <w:divsChild>
                                        <w:div w:id="466625980">
                                          <w:marLeft w:val="0"/>
                                          <w:marRight w:val="0"/>
                                          <w:marTop w:val="0"/>
                                          <w:marBottom w:val="0"/>
                                          <w:divBdr>
                                            <w:top w:val="none" w:sz="0" w:space="0" w:color="auto"/>
                                            <w:left w:val="none" w:sz="0" w:space="0" w:color="auto"/>
                                            <w:bottom w:val="none" w:sz="0" w:space="0" w:color="auto"/>
                                            <w:right w:val="none" w:sz="0" w:space="0" w:color="auto"/>
                                          </w:divBdr>
                                          <w:divsChild>
                                            <w:div w:id="16319112">
                                              <w:marLeft w:val="0"/>
                                              <w:marRight w:val="0"/>
                                              <w:marTop w:val="0"/>
                                              <w:marBottom w:val="0"/>
                                              <w:divBdr>
                                                <w:top w:val="none" w:sz="0" w:space="0" w:color="auto"/>
                                                <w:left w:val="none" w:sz="0" w:space="0" w:color="auto"/>
                                                <w:bottom w:val="none" w:sz="0" w:space="0" w:color="auto"/>
                                                <w:right w:val="none" w:sz="0" w:space="0" w:color="auto"/>
                                              </w:divBdr>
                                              <w:divsChild>
                                                <w:div w:id="1496651564">
                                                  <w:marLeft w:val="0"/>
                                                  <w:marRight w:val="0"/>
                                                  <w:marTop w:val="0"/>
                                                  <w:marBottom w:val="0"/>
                                                  <w:divBdr>
                                                    <w:top w:val="none" w:sz="0" w:space="0" w:color="auto"/>
                                                    <w:left w:val="none" w:sz="0" w:space="0" w:color="auto"/>
                                                    <w:bottom w:val="none" w:sz="0" w:space="0" w:color="auto"/>
                                                    <w:right w:val="none" w:sz="0" w:space="0" w:color="auto"/>
                                                  </w:divBdr>
                                                  <w:divsChild>
                                                    <w:div w:id="868688630">
                                                      <w:marLeft w:val="0"/>
                                                      <w:marRight w:val="0"/>
                                                      <w:marTop w:val="0"/>
                                                      <w:marBottom w:val="0"/>
                                                      <w:divBdr>
                                                        <w:top w:val="none" w:sz="0" w:space="0" w:color="auto"/>
                                                        <w:left w:val="none" w:sz="0" w:space="0" w:color="auto"/>
                                                        <w:bottom w:val="none" w:sz="0" w:space="0" w:color="auto"/>
                                                        <w:right w:val="none" w:sz="0" w:space="0" w:color="auto"/>
                                                      </w:divBdr>
                                                      <w:divsChild>
                                                        <w:div w:id="2043164006">
                                                          <w:marLeft w:val="0"/>
                                                          <w:marRight w:val="0"/>
                                                          <w:marTop w:val="0"/>
                                                          <w:marBottom w:val="0"/>
                                                          <w:divBdr>
                                                            <w:top w:val="none" w:sz="0" w:space="0" w:color="auto"/>
                                                            <w:left w:val="none" w:sz="0" w:space="0" w:color="auto"/>
                                                            <w:bottom w:val="none" w:sz="0" w:space="0" w:color="auto"/>
                                                            <w:right w:val="none" w:sz="0" w:space="0" w:color="auto"/>
                                                          </w:divBdr>
                                                          <w:divsChild>
                                                            <w:div w:id="848374106">
                                                              <w:marLeft w:val="0"/>
                                                              <w:marRight w:val="0"/>
                                                              <w:marTop w:val="0"/>
                                                              <w:marBottom w:val="0"/>
                                                              <w:divBdr>
                                                                <w:top w:val="none" w:sz="0" w:space="0" w:color="auto"/>
                                                                <w:left w:val="none" w:sz="0" w:space="0" w:color="auto"/>
                                                                <w:bottom w:val="none" w:sz="0" w:space="0" w:color="auto"/>
                                                                <w:right w:val="none" w:sz="0" w:space="0" w:color="auto"/>
                                                              </w:divBdr>
                                                              <w:divsChild>
                                                                <w:div w:id="4984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259258">
      <w:bodyDiv w:val="1"/>
      <w:marLeft w:val="0"/>
      <w:marRight w:val="0"/>
      <w:marTop w:val="0"/>
      <w:marBottom w:val="0"/>
      <w:divBdr>
        <w:top w:val="none" w:sz="0" w:space="0" w:color="auto"/>
        <w:left w:val="none" w:sz="0" w:space="0" w:color="auto"/>
        <w:bottom w:val="none" w:sz="0" w:space="0" w:color="auto"/>
        <w:right w:val="none" w:sz="0" w:space="0" w:color="auto"/>
      </w:divBdr>
      <w:divsChild>
        <w:div w:id="67268083">
          <w:marLeft w:val="0"/>
          <w:marRight w:val="0"/>
          <w:marTop w:val="0"/>
          <w:marBottom w:val="0"/>
          <w:divBdr>
            <w:top w:val="none" w:sz="0" w:space="0" w:color="auto"/>
            <w:left w:val="none" w:sz="0" w:space="0" w:color="auto"/>
            <w:bottom w:val="none" w:sz="0" w:space="0" w:color="auto"/>
            <w:right w:val="none" w:sz="0" w:space="0" w:color="auto"/>
          </w:divBdr>
          <w:divsChild>
            <w:div w:id="393621654">
              <w:marLeft w:val="0"/>
              <w:marRight w:val="0"/>
              <w:marTop w:val="0"/>
              <w:marBottom w:val="0"/>
              <w:divBdr>
                <w:top w:val="none" w:sz="0" w:space="0" w:color="auto"/>
                <w:left w:val="none" w:sz="0" w:space="0" w:color="auto"/>
                <w:bottom w:val="none" w:sz="0" w:space="0" w:color="auto"/>
                <w:right w:val="none" w:sz="0" w:space="0" w:color="auto"/>
              </w:divBdr>
              <w:divsChild>
                <w:div w:id="343016032">
                  <w:marLeft w:val="0"/>
                  <w:marRight w:val="0"/>
                  <w:marTop w:val="0"/>
                  <w:marBottom w:val="0"/>
                  <w:divBdr>
                    <w:top w:val="none" w:sz="0" w:space="0" w:color="auto"/>
                    <w:left w:val="none" w:sz="0" w:space="0" w:color="auto"/>
                    <w:bottom w:val="none" w:sz="0" w:space="0" w:color="auto"/>
                    <w:right w:val="none" w:sz="0" w:space="0" w:color="auto"/>
                  </w:divBdr>
                  <w:divsChild>
                    <w:div w:id="1723362062">
                      <w:marLeft w:val="0"/>
                      <w:marRight w:val="0"/>
                      <w:marTop w:val="0"/>
                      <w:marBottom w:val="0"/>
                      <w:divBdr>
                        <w:top w:val="none" w:sz="0" w:space="0" w:color="auto"/>
                        <w:left w:val="none" w:sz="0" w:space="0" w:color="auto"/>
                        <w:bottom w:val="none" w:sz="0" w:space="0" w:color="auto"/>
                        <w:right w:val="none" w:sz="0" w:space="0" w:color="auto"/>
                      </w:divBdr>
                      <w:divsChild>
                        <w:div w:id="746002776">
                          <w:marLeft w:val="0"/>
                          <w:marRight w:val="0"/>
                          <w:marTop w:val="0"/>
                          <w:marBottom w:val="0"/>
                          <w:divBdr>
                            <w:top w:val="none" w:sz="0" w:space="0" w:color="auto"/>
                            <w:left w:val="none" w:sz="0" w:space="0" w:color="auto"/>
                            <w:bottom w:val="none" w:sz="0" w:space="0" w:color="auto"/>
                            <w:right w:val="none" w:sz="0" w:space="0" w:color="auto"/>
                          </w:divBdr>
                          <w:divsChild>
                            <w:div w:id="1258712186">
                              <w:marLeft w:val="0"/>
                              <w:marRight w:val="0"/>
                              <w:marTop w:val="0"/>
                              <w:marBottom w:val="0"/>
                              <w:divBdr>
                                <w:top w:val="none" w:sz="0" w:space="0" w:color="auto"/>
                                <w:left w:val="none" w:sz="0" w:space="0" w:color="auto"/>
                                <w:bottom w:val="none" w:sz="0" w:space="0" w:color="auto"/>
                                <w:right w:val="none" w:sz="0" w:space="0" w:color="auto"/>
                              </w:divBdr>
                              <w:divsChild>
                                <w:div w:id="1232302617">
                                  <w:marLeft w:val="0"/>
                                  <w:marRight w:val="0"/>
                                  <w:marTop w:val="0"/>
                                  <w:marBottom w:val="0"/>
                                  <w:divBdr>
                                    <w:top w:val="none" w:sz="0" w:space="0" w:color="auto"/>
                                    <w:left w:val="none" w:sz="0" w:space="0" w:color="auto"/>
                                    <w:bottom w:val="none" w:sz="0" w:space="0" w:color="auto"/>
                                    <w:right w:val="none" w:sz="0" w:space="0" w:color="auto"/>
                                  </w:divBdr>
                                  <w:divsChild>
                                    <w:div w:id="1496722540">
                                      <w:marLeft w:val="0"/>
                                      <w:marRight w:val="0"/>
                                      <w:marTop w:val="0"/>
                                      <w:marBottom w:val="0"/>
                                      <w:divBdr>
                                        <w:top w:val="none" w:sz="0" w:space="0" w:color="auto"/>
                                        <w:left w:val="none" w:sz="0" w:space="0" w:color="auto"/>
                                        <w:bottom w:val="none" w:sz="0" w:space="0" w:color="auto"/>
                                        <w:right w:val="none" w:sz="0" w:space="0" w:color="auto"/>
                                      </w:divBdr>
                                      <w:divsChild>
                                        <w:div w:id="502552474">
                                          <w:marLeft w:val="0"/>
                                          <w:marRight w:val="0"/>
                                          <w:marTop w:val="0"/>
                                          <w:marBottom w:val="0"/>
                                          <w:divBdr>
                                            <w:top w:val="none" w:sz="0" w:space="0" w:color="auto"/>
                                            <w:left w:val="none" w:sz="0" w:space="0" w:color="auto"/>
                                            <w:bottom w:val="none" w:sz="0" w:space="0" w:color="auto"/>
                                            <w:right w:val="none" w:sz="0" w:space="0" w:color="auto"/>
                                          </w:divBdr>
                                          <w:divsChild>
                                            <w:div w:id="1206259467">
                                              <w:marLeft w:val="0"/>
                                              <w:marRight w:val="0"/>
                                              <w:marTop w:val="0"/>
                                              <w:marBottom w:val="0"/>
                                              <w:divBdr>
                                                <w:top w:val="none" w:sz="0" w:space="0" w:color="auto"/>
                                                <w:left w:val="none" w:sz="0" w:space="0" w:color="auto"/>
                                                <w:bottom w:val="none" w:sz="0" w:space="0" w:color="auto"/>
                                                <w:right w:val="none" w:sz="0" w:space="0" w:color="auto"/>
                                              </w:divBdr>
                                              <w:divsChild>
                                                <w:div w:id="1290166144">
                                                  <w:marLeft w:val="0"/>
                                                  <w:marRight w:val="0"/>
                                                  <w:marTop w:val="0"/>
                                                  <w:marBottom w:val="0"/>
                                                  <w:divBdr>
                                                    <w:top w:val="none" w:sz="0" w:space="0" w:color="auto"/>
                                                    <w:left w:val="none" w:sz="0" w:space="0" w:color="auto"/>
                                                    <w:bottom w:val="none" w:sz="0" w:space="0" w:color="auto"/>
                                                    <w:right w:val="none" w:sz="0" w:space="0" w:color="auto"/>
                                                  </w:divBdr>
                                                  <w:divsChild>
                                                    <w:div w:id="759716782">
                                                      <w:marLeft w:val="0"/>
                                                      <w:marRight w:val="0"/>
                                                      <w:marTop w:val="0"/>
                                                      <w:marBottom w:val="0"/>
                                                      <w:divBdr>
                                                        <w:top w:val="none" w:sz="0" w:space="0" w:color="auto"/>
                                                        <w:left w:val="none" w:sz="0" w:space="0" w:color="auto"/>
                                                        <w:bottom w:val="none" w:sz="0" w:space="0" w:color="auto"/>
                                                        <w:right w:val="none" w:sz="0" w:space="0" w:color="auto"/>
                                                      </w:divBdr>
                                                      <w:divsChild>
                                                        <w:div w:id="1019741662">
                                                          <w:marLeft w:val="0"/>
                                                          <w:marRight w:val="0"/>
                                                          <w:marTop w:val="0"/>
                                                          <w:marBottom w:val="0"/>
                                                          <w:divBdr>
                                                            <w:top w:val="none" w:sz="0" w:space="0" w:color="auto"/>
                                                            <w:left w:val="none" w:sz="0" w:space="0" w:color="auto"/>
                                                            <w:bottom w:val="none" w:sz="0" w:space="0" w:color="auto"/>
                                                            <w:right w:val="none" w:sz="0" w:space="0" w:color="auto"/>
                                                          </w:divBdr>
                                                          <w:divsChild>
                                                            <w:div w:id="399449215">
                                                              <w:marLeft w:val="0"/>
                                                              <w:marRight w:val="0"/>
                                                              <w:marTop w:val="0"/>
                                                              <w:marBottom w:val="0"/>
                                                              <w:divBdr>
                                                                <w:top w:val="none" w:sz="0" w:space="0" w:color="auto"/>
                                                                <w:left w:val="none" w:sz="0" w:space="0" w:color="auto"/>
                                                                <w:bottom w:val="none" w:sz="0" w:space="0" w:color="auto"/>
                                                                <w:right w:val="none" w:sz="0" w:space="0" w:color="auto"/>
                                                              </w:divBdr>
                                                              <w:divsChild>
                                                                <w:div w:id="4045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1951552">
      <w:bodyDiv w:val="1"/>
      <w:marLeft w:val="0"/>
      <w:marRight w:val="0"/>
      <w:marTop w:val="0"/>
      <w:marBottom w:val="0"/>
      <w:divBdr>
        <w:top w:val="none" w:sz="0" w:space="0" w:color="auto"/>
        <w:left w:val="none" w:sz="0" w:space="0" w:color="auto"/>
        <w:bottom w:val="none" w:sz="0" w:space="0" w:color="auto"/>
        <w:right w:val="none" w:sz="0" w:space="0" w:color="auto"/>
      </w:divBdr>
      <w:divsChild>
        <w:div w:id="1943952950">
          <w:marLeft w:val="0"/>
          <w:marRight w:val="0"/>
          <w:marTop w:val="0"/>
          <w:marBottom w:val="0"/>
          <w:divBdr>
            <w:top w:val="none" w:sz="0" w:space="0" w:color="auto"/>
            <w:left w:val="none" w:sz="0" w:space="0" w:color="auto"/>
            <w:bottom w:val="none" w:sz="0" w:space="0" w:color="auto"/>
            <w:right w:val="none" w:sz="0" w:space="0" w:color="auto"/>
          </w:divBdr>
          <w:divsChild>
            <w:div w:id="541554392">
              <w:marLeft w:val="0"/>
              <w:marRight w:val="0"/>
              <w:marTop w:val="0"/>
              <w:marBottom w:val="0"/>
              <w:divBdr>
                <w:top w:val="none" w:sz="0" w:space="0" w:color="auto"/>
                <w:left w:val="none" w:sz="0" w:space="0" w:color="auto"/>
                <w:bottom w:val="none" w:sz="0" w:space="0" w:color="auto"/>
                <w:right w:val="none" w:sz="0" w:space="0" w:color="auto"/>
              </w:divBdr>
              <w:divsChild>
                <w:div w:id="1028988644">
                  <w:marLeft w:val="0"/>
                  <w:marRight w:val="0"/>
                  <w:marTop w:val="0"/>
                  <w:marBottom w:val="0"/>
                  <w:divBdr>
                    <w:top w:val="none" w:sz="0" w:space="0" w:color="auto"/>
                    <w:left w:val="none" w:sz="0" w:space="0" w:color="auto"/>
                    <w:bottom w:val="none" w:sz="0" w:space="0" w:color="auto"/>
                    <w:right w:val="none" w:sz="0" w:space="0" w:color="auto"/>
                  </w:divBdr>
                  <w:divsChild>
                    <w:div w:id="927422889">
                      <w:marLeft w:val="0"/>
                      <w:marRight w:val="0"/>
                      <w:marTop w:val="0"/>
                      <w:marBottom w:val="0"/>
                      <w:divBdr>
                        <w:top w:val="none" w:sz="0" w:space="0" w:color="auto"/>
                        <w:left w:val="none" w:sz="0" w:space="0" w:color="auto"/>
                        <w:bottom w:val="none" w:sz="0" w:space="0" w:color="auto"/>
                        <w:right w:val="none" w:sz="0" w:space="0" w:color="auto"/>
                      </w:divBdr>
                      <w:divsChild>
                        <w:div w:id="1072696282">
                          <w:marLeft w:val="0"/>
                          <w:marRight w:val="0"/>
                          <w:marTop w:val="0"/>
                          <w:marBottom w:val="0"/>
                          <w:divBdr>
                            <w:top w:val="none" w:sz="0" w:space="0" w:color="auto"/>
                            <w:left w:val="none" w:sz="0" w:space="0" w:color="auto"/>
                            <w:bottom w:val="none" w:sz="0" w:space="0" w:color="auto"/>
                            <w:right w:val="none" w:sz="0" w:space="0" w:color="auto"/>
                          </w:divBdr>
                          <w:divsChild>
                            <w:div w:id="1140731322">
                              <w:marLeft w:val="0"/>
                              <w:marRight w:val="0"/>
                              <w:marTop w:val="0"/>
                              <w:marBottom w:val="0"/>
                              <w:divBdr>
                                <w:top w:val="none" w:sz="0" w:space="0" w:color="auto"/>
                                <w:left w:val="none" w:sz="0" w:space="0" w:color="auto"/>
                                <w:bottom w:val="none" w:sz="0" w:space="0" w:color="auto"/>
                                <w:right w:val="none" w:sz="0" w:space="0" w:color="auto"/>
                              </w:divBdr>
                              <w:divsChild>
                                <w:div w:id="2134248460">
                                  <w:marLeft w:val="0"/>
                                  <w:marRight w:val="0"/>
                                  <w:marTop w:val="0"/>
                                  <w:marBottom w:val="0"/>
                                  <w:divBdr>
                                    <w:top w:val="none" w:sz="0" w:space="0" w:color="auto"/>
                                    <w:left w:val="none" w:sz="0" w:space="0" w:color="auto"/>
                                    <w:bottom w:val="none" w:sz="0" w:space="0" w:color="auto"/>
                                    <w:right w:val="none" w:sz="0" w:space="0" w:color="auto"/>
                                  </w:divBdr>
                                  <w:divsChild>
                                    <w:div w:id="1652365147">
                                      <w:marLeft w:val="0"/>
                                      <w:marRight w:val="0"/>
                                      <w:marTop w:val="0"/>
                                      <w:marBottom w:val="0"/>
                                      <w:divBdr>
                                        <w:top w:val="none" w:sz="0" w:space="0" w:color="auto"/>
                                        <w:left w:val="none" w:sz="0" w:space="0" w:color="auto"/>
                                        <w:bottom w:val="none" w:sz="0" w:space="0" w:color="auto"/>
                                        <w:right w:val="none" w:sz="0" w:space="0" w:color="auto"/>
                                      </w:divBdr>
                                      <w:divsChild>
                                        <w:div w:id="1541429720">
                                          <w:marLeft w:val="0"/>
                                          <w:marRight w:val="0"/>
                                          <w:marTop w:val="0"/>
                                          <w:marBottom w:val="0"/>
                                          <w:divBdr>
                                            <w:top w:val="none" w:sz="0" w:space="0" w:color="auto"/>
                                            <w:left w:val="none" w:sz="0" w:space="0" w:color="auto"/>
                                            <w:bottom w:val="none" w:sz="0" w:space="0" w:color="auto"/>
                                            <w:right w:val="none" w:sz="0" w:space="0" w:color="auto"/>
                                          </w:divBdr>
                                          <w:divsChild>
                                            <w:div w:id="991256872">
                                              <w:marLeft w:val="0"/>
                                              <w:marRight w:val="0"/>
                                              <w:marTop w:val="0"/>
                                              <w:marBottom w:val="0"/>
                                              <w:divBdr>
                                                <w:top w:val="none" w:sz="0" w:space="0" w:color="auto"/>
                                                <w:left w:val="none" w:sz="0" w:space="0" w:color="auto"/>
                                                <w:bottom w:val="none" w:sz="0" w:space="0" w:color="auto"/>
                                                <w:right w:val="none" w:sz="0" w:space="0" w:color="auto"/>
                                              </w:divBdr>
                                              <w:divsChild>
                                                <w:div w:id="1693921939">
                                                  <w:marLeft w:val="0"/>
                                                  <w:marRight w:val="0"/>
                                                  <w:marTop w:val="0"/>
                                                  <w:marBottom w:val="0"/>
                                                  <w:divBdr>
                                                    <w:top w:val="none" w:sz="0" w:space="0" w:color="auto"/>
                                                    <w:left w:val="none" w:sz="0" w:space="0" w:color="auto"/>
                                                    <w:bottom w:val="none" w:sz="0" w:space="0" w:color="auto"/>
                                                    <w:right w:val="none" w:sz="0" w:space="0" w:color="auto"/>
                                                  </w:divBdr>
                                                  <w:divsChild>
                                                    <w:div w:id="2013798118">
                                                      <w:marLeft w:val="0"/>
                                                      <w:marRight w:val="0"/>
                                                      <w:marTop w:val="0"/>
                                                      <w:marBottom w:val="0"/>
                                                      <w:divBdr>
                                                        <w:top w:val="none" w:sz="0" w:space="0" w:color="auto"/>
                                                        <w:left w:val="none" w:sz="0" w:space="0" w:color="auto"/>
                                                        <w:bottom w:val="none" w:sz="0" w:space="0" w:color="auto"/>
                                                        <w:right w:val="none" w:sz="0" w:space="0" w:color="auto"/>
                                                      </w:divBdr>
                                                      <w:divsChild>
                                                        <w:div w:id="338123428">
                                                          <w:marLeft w:val="0"/>
                                                          <w:marRight w:val="0"/>
                                                          <w:marTop w:val="0"/>
                                                          <w:marBottom w:val="0"/>
                                                          <w:divBdr>
                                                            <w:top w:val="none" w:sz="0" w:space="0" w:color="auto"/>
                                                            <w:left w:val="none" w:sz="0" w:space="0" w:color="auto"/>
                                                            <w:bottom w:val="none" w:sz="0" w:space="0" w:color="auto"/>
                                                            <w:right w:val="none" w:sz="0" w:space="0" w:color="auto"/>
                                                          </w:divBdr>
                                                          <w:divsChild>
                                                            <w:div w:id="692071337">
                                                              <w:marLeft w:val="0"/>
                                                              <w:marRight w:val="0"/>
                                                              <w:marTop w:val="0"/>
                                                              <w:marBottom w:val="0"/>
                                                              <w:divBdr>
                                                                <w:top w:val="none" w:sz="0" w:space="0" w:color="auto"/>
                                                                <w:left w:val="none" w:sz="0" w:space="0" w:color="auto"/>
                                                                <w:bottom w:val="none" w:sz="0" w:space="0" w:color="auto"/>
                                                                <w:right w:val="none" w:sz="0" w:space="0" w:color="auto"/>
                                                              </w:divBdr>
                                                              <w:divsChild>
                                                                <w:div w:id="15871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5860-F6F1-46E8-9A7C-8DEF9556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9100</Words>
  <Characters>50120</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Weinberg</dc:creator>
  <cp:keywords/>
  <dc:description/>
  <cp:lastModifiedBy>Paul Burns</cp:lastModifiedBy>
  <cp:revision>5</cp:revision>
  <cp:lastPrinted>2017-10-09T02:16:00Z</cp:lastPrinted>
  <dcterms:created xsi:type="dcterms:W3CDTF">2018-03-29T09:23:00Z</dcterms:created>
  <dcterms:modified xsi:type="dcterms:W3CDTF">2018-04-04T12:45:00Z</dcterms:modified>
</cp:coreProperties>
</file>