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845" w:rsidRPr="00A9563F" w:rsidRDefault="00F34232" w:rsidP="00A9563F">
      <w:pPr>
        <w:autoSpaceDE w:val="0"/>
        <w:autoSpaceDN w:val="0"/>
        <w:adjustRightInd w:val="0"/>
        <w:spacing w:line="480" w:lineRule="auto"/>
        <w:rPr>
          <w:rFonts w:ascii="Palatino Linotype" w:hAnsi="Palatino Linotype"/>
          <w:b/>
          <w:sz w:val="28"/>
          <w:szCs w:val="28"/>
          <w:lang w:val="en-GB"/>
        </w:rPr>
      </w:pPr>
      <w:r w:rsidRPr="00A9563F">
        <w:rPr>
          <w:rFonts w:ascii="Palatino Linotype" w:hAnsi="Palatino Linotype"/>
          <w:b/>
          <w:sz w:val="28"/>
          <w:szCs w:val="28"/>
          <w:lang w:val="en-GB"/>
        </w:rPr>
        <w:t>Legal Education in the Next Future</w:t>
      </w:r>
    </w:p>
    <w:p w:rsidR="0071567C" w:rsidRPr="0071567C" w:rsidRDefault="0071567C" w:rsidP="00CC1A4E">
      <w:pPr>
        <w:autoSpaceDE w:val="0"/>
        <w:autoSpaceDN w:val="0"/>
        <w:adjustRightInd w:val="0"/>
        <w:spacing w:line="480" w:lineRule="auto"/>
        <w:jc w:val="center"/>
        <w:rPr>
          <w:rFonts w:ascii="Palatino Linotype" w:hAnsi="Palatino Linotype"/>
          <w:b/>
          <w:lang w:val="en-GB"/>
        </w:rPr>
      </w:pPr>
    </w:p>
    <w:p w:rsidR="006C15BC" w:rsidRPr="00A9563F" w:rsidRDefault="006C15BC" w:rsidP="0071567C">
      <w:pPr>
        <w:autoSpaceDE w:val="0"/>
        <w:autoSpaceDN w:val="0"/>
        <w:adjustRightInd w:val="0"/>
        <w:spacing w:line="480" w:lineRule="auto"/>
        <w:rPr>
          <w:rFonts w:ascii="Palatino Linotype" w:hAnsi="Palatino Linotype"/>
          <w:b/>
          <w:lang w:val="en-GB"/>
        </w:rPr>
      </w:pPr>
      <w:r w:rsidRPr="00A9563F">
        <w:rPr>
          <w:rFonts w:ascii="Palatino Linotype" w:hAnsi="Palatino Linotype"/>
          <w:b/>
          <w:lang w:val="en-GB"/>
        </w:rPr>
        <w:t>Laura Bugatti</w:t>
      </w:r>
      <w:r w:rsidRPr="00A9563F">
        <w:rPr>
          <w:rStyle w:val="FootnoteReference"/>
          <w:rFonts w:ascii="Palatino Linotype" w:hAnsi="Palatino Linotype"/>
          <w:b/>
          <w:lang w:val="en-GB"/>
        </w:rPr>
        <w:footnoteReference w:id="1"/>
      </w:r>
      <w:r w:rsidR="0071567C" w:rsidRPr="00A9563F">
        <w:rPr>
          <w:rFonts w:ascii="Palatino Linotype" w:hAnsi="Palatino Linotype"/>
          <w:b/>
          <w:lang w:val="en-GB"/>
        </w:rPr>
        <w:t>, University of Brescia</w:t>
      </w:r>
      <w:r w:rsidR="00A9563F">
        <w:rPr>
          <w:rFonts w:ascii="Palatino Linotype" w:hAnsi="Palatino Linotype"/>
          <w:b/>
          <w:lang w:val="en-GB"/>
        </w:rPr>
        <w:t>,</w:t>
      </w:r>
      <w:r w:rsidR="0071567C" w:rsidRPr="00A9563F">
        <w:rPr>
          <w:rFonts w:ascii="Palatino Linotype" w:hAnsi="Palatino Linotype"/>
          <w:b/>
          <w:lang w:val="en-GB"/>
        </w:rPr>
        <w:t xml:space="preserve"> </w:t>
      </w:r>
      <w:r w:rsidR="00A9563F">
        <w:rPr>
          <w:rFonts w:ascii="Palatino Linotype" w:hAnsi="Palatino Linotype"/>
          <w:b/>
          <w:lang w:val="en-GB"/>
        </w:rPr>
        <w:t>Italy</w:t>
      </w:r>
    </w:p>
    <w:p w:rsidR="0071567C" w:rsidRPr="0071567C" w:rsidRDefault="0071567C" w:rsidP="00E67C64">
      <w:pPr>
        <w:spacing w:line="480" w:lineRule="auto"/>
        <w:jc w:val="both"/>
        <w:rPr>
          <w:rFonts w:ascii="Palatino Linotype" w:hAnsi="Palatino Linotype"/>
          <w:b/>
          <w:i/>
          <w:color w:val="000000" w:themeColor="text1"/>
          <w:lang w:val="en-GB"/>
        </w:rPr>
      </w:pPr>
    </w:p>
    <w:p w:rsidR="00CB4B1C" w:rsidRPr="0071567C" w:rsidRDefault="00CB4B1C" w:rsidP="00E67C64">
      <w:pPr>
        <w:spacing w:line="480" w:lineRule="auto"/>
        <w:jc w:val="both"/>
        <w:rPr>
          <w:rFonts w:ascii="Palatino Linotype" w:hAnsi="Palatino Linotype"/>
          <w:b/>
          <w:i/>
          <w:color w:val="000000" w:themeColor="text1"/>
          <w:lang w:val="en-GB"/>
        </w:rPr>
      </w:pPr>
      <w:r w:rsidRPr="0071567C">
        <w:rPr>
          <w:rFonts w:ascii="Palatino Linotype" w:hAnsi="Palatino Linotype"/>
          <w:b/>
          <w:i/>
          <w:color w:val="000000" w:themeColor="text1"/>
          <w:lang w:val="en-GB"/>
        </w:rPr>
        <w:t>A</w:t>
      </w:r>
      <w:r w:rsidR="00A53F3B" w:rsidRPr="0071567C">
        <w:rPr>
          <w:rFonts w:ascii="Palatino Linotype" w:hAnsi="Palatino Linotype"/>
          <w:b/>
          <w:i/>
          <w:color w:val="000000" w:themeColor="text1"/>
          <w:lang w:val="en-GB"/>
        </w:rPr>
        <w:t>bstract</w:t>
      </w:r>
    </w:p>
    <w:p w:rsidR="00CB4B1C" w:rsidRPr="0071567C" w:rsidRDefault="00CB4B1C" w:rsidP="00E67C64">
      <w:pPr>
        <w:widowControl w:val="0"/>
        <w:suppressAutoHyphens/>
        <w:spacing w:line="480" w:lineRule="auto"/>
        <w:jc w:val="both"/>
        <w:rPr>
          <w:rFonts w:ascii="Palatino Linotype" w:eastAsia="SimSun" w:hAnsi="Palatino Linotype"/>
          <w:i/>
          <w:color w:val="000000" w:themeColor="text1"/>
          <w:kern w:val="1"/>
          <w:lang w:val="en-GB" w:eastAsia="zh-CN" w:bidi="hi-IN"/>
        </w:rPr>
      </w:pPr>
      <w:r w:rsidRPr="0071567C">
        <w:rPr>
          <w:rFonts w:ascii="Palatino Linotype" w:eastAsia="SimSun" w:hAnsi="Palatino Linotype"/>
          <w:i/>
          <w:color w:val="000000" w:themeColor="text1"/>
          <w:kern w:val="1"/>
          <w:lang w:val="en-GB" w:eastAsia="zh-CN" w:bidi="hi-IN"/>
        </w:rPr>
        <w:t>The legal profession is facing a new working environment marked by increasing globalisation, competition, technological advances and deregulation. Furthermore, the economic perspective imposed by the European Union – which leads us to consider lawyers as business as well as professionals – is having a profound impact on national regulations. Nobody would doubt that</w:t>
      </w:r>
      <w:r w:rsidR="00EC398B" w:rsidRPr="0071567C">
        <w:rPr>
          <w:rFonts w:ascii="Palatino Linotype" w:eastAsia="SimSun" w:hAnsi="Palatino Linotype"/>
          <w:i/>
          <w:color w:val="000000" w:themeColor="text1"/>
          <w:kern w:val="1"/>
          <w:lang w:val="en-GB" w:eastAsia="zh-CN" w:bidi="hi-IN"/>
        </w:rPr>
        <w:t xml:space="preserve"> the</w:t>
      </w:r>
      <w:r w:rsidRPr="0071567C">
        <w:rPr>
          <w:rFonts w:ascii="Palatino Linotype" w:eastAsia="SimSun" w:hAnsi="Palatino Linotype"/>
          <w:i/>
          <w:color w:val="000000" w:themeColor="text1"/>
          <w:kern w:val="1"/>
          <w:lang w:val="en-GB" w:eastAsia="zh-CN" w:bidi="hi-IN"/>
        </w:rPr>
        <w:t xml:space="preserve"> intellectual professions have experienced a deep transformation whereas competition rules </w:t>
      </w:r>
      <w:r w:rsidR="006728CC" w:rsidRPr="0071567C">
        <w:rPr>
          <w:rFonts w:ascii="Palatino Linotype" w:eastAsia="SimSun" w:hAnsi="Palatino Linotype"/>
          <w:i/>
          <w:color w:val="000000" w:themeColor="text1"/>
          <w:kern w:val="1"/>
          <w:lang w:val="en-GB" w:eastAsia="zh-CN" w:bidi="hi-IN"/>
        </w:rPr>
        <w:t>–</w:t>
      </w:r>
      <w:r w:rsidRPr="0071567C">
        <w:rPr>
          <w:rFonts w:ascii="Palatino Linotype" w:eastAsia="SimSun" w:hAnsi="Palatino Linotype"/>
          <w:i/>
          <w:color w:val="000000" w:themeColor="text1"/>
          <w:kern w:val="1"/>
          <w:lang w:val="en-GB" w:eastAsia="zh-CN" w:bidi="hi-IN"/>
        </w:rPr>
        <w:t xml:space="preserve"> originally addressing </w:t>
      </w:r>
      <w:r w:rsidR="00EC398B" w:rsidRPr="0071567C">
        <w:rPr>
          <w:rFonts w:ascii="Palatino Linotype" w:eastAsia="SimSun" w:hAnsi="Palatino Linotype"/>
          <w:i/>
          <w:color w:val="000000" w:themeColor="text1"/>
          <w:kern w:val="1"/>
          <w:lang w:val="en-GB" w:eastAsia="zh-CN" w:bidi="hi-IN"/>
        </w:rPr>
        <w:t>more traditionally commercial ventures</w:t>
      </w:r>
      <w:r w:rsidRPr="0071567C">
        <w:rPr>
          <w:rFonts w:ascii="Palatino Linotype" w:eastAsia="SimSun" w:hAnsi="Palatino Linotype"/>
          <w:i/>
          <w:color w:val="000000" w:themeColor="text1"/>
          <w:kern w:val="1"/>
          <w:lang w:val="en-GB" w:eastAsia="zh-CN" w:bidi="hi-IN"/>
        </w:rPr>
        <w:t xml:space="preserve"> </w:t>
      </w:r>
      <w:r w:rsidR="006728CC" w:rsidRPr="0071567C">
        <w:rPr>
          <w:rFonts w:ascii="Palatino Linotype" w:eastAsia="SimSun" w:hAnsi="Palatino Linotype"/>
          <w:i/>
          <w:color w:val="000000" w:themeColor="text1"/>
          <w:kern w:val="1"/>
          <w:lang w:val="en-GB" w:eastAsia="zh-CN" w:bidi="hi-IN"/>
        </w:rPr>
        <w:t>–</w:t>
      </w:r>
      <w:r w:rsidRPr="0071567C">
        <w:rPr>
          <w:rFonts w:ascii="Palatino Linotype" w:eastAsia="SimSun" w:hAnsi="Palatino Linotype"/>
          <w:i/>
          <w:color w:val="000000" w:themeColor="text1"/>
          <w:kern w:val="1"/>
          <w:lang w:val="en-GB" w:eastAsia="zh-CN" w:bidi="hi-IN"/>
        </w:rPr>
        <w:t xml:space="preserve"> have begun to penetrate in this different area. In this time of changes, the </w:t>
      </w:r>
      <w:r w:rsidR="00D738B9" w:rsidRPr="0071567C">
        <w:rPr>
          <w:rFonts w:ascii="Palatino Linotype" w:eastAsia="SimSun" w:hAnsi="Palatino Linotype"/>
          <w:i/>
          <w:color w:val="000000" w:themeColor="text1"/>
          <w:kern w:val="1"/>
          <w:lang w:val="en-GB" w:eastAsia="zh-CN" w:bidi="hi-IN"/>
        </w:rPr>
        <w:t>‘</w:t>
      </w:r>
      <w:r w:rsidRPr="0071567C">
        <w:rPr>
          <w:rFonts w:ascii="Palatino Linotype" w:eastAsia="SimSun" w:hAnsi="Palatino Linotype"/>
          <w:i/>
          <w:color w:val="000000" w:themeColor="text1"/>
          <w:kern w:val="1"/>
          <w:lang w:val="en-GB" w:eastAsia="zh-CN" w:bidi="hi-IN"/>
        </w:rPr>
        <w:t>qualitative entry restrictions</w:t>
      </w:r>
      <w:r w:rsidR="00D738B9" w:rsidRPr="0071567C">
        <w:rPr>
          <w:rFonts w:ascii="Palatino Linotype" w:eastAsia="SimSun" w:hAnsi="Palatino Linotype"/>
          <w:i/>
          <w:color w:val="000000" w:themeColor="text1"/>
          <w:kern w:val="1"/>
          <w:lang w:val="en-GB" w:eastAsia="zh-CN" w:bidi="hi-IN"/>
        </w:rPr>
        <w:t>’</w:t>
      </w:r>
      <w:r w:rsidRPr="0071567C">
        <w:rPr>
          <w:rFonts w:ascii="Palatino Linotype" w:eastAsia="SimSun" w:hAnsi="Palatino Linotype"/>
          <w:i/>
          <w:color w:val="000000" w:themeColor="text1"/>
          <w:kern w:val="1"/>
          <w:lang w:val="en-GB" w:eastAsia="zh-CN" w:bidi="hi-IN"/>
        </w:rPr>
        <w:t xml:space="preserve"> – </w:t>
      </w:r>
      <w:r w:rsidR="00EC398B" w:rsidRPr="0071567C">
        <w:rPr>
          <w:rFonts w:ascii="Palatino Linotype" w:eastAsia="SimSun" w:hAnsi="Palatino Linotype"/>
          <w:i/>
          <w:color w:val="000000" w:themeColor="text1"/>
          <w:kern w:val="1"/>
          <w:lang w:val="en-GB" w:eastAsia="zh-CN" w:bidi="hi-IN"/>
        </w:rPr>
        <w:t xml:space="preserve">taking </w:t>
      </w:r>
      <w:r w:rsidRPr="0071567C">
        <w:rPr>
          <w:rFonts w:ascii="Palatino Linotype" w:eastAsia="SimSun" w:hAnsi="Palatino Linotype"/>
          <w:i/>
          <w:color w:val="000000" w:themeColor="text1"/>
          <w:kern w:val="1"/>
          <w:lang w:val="en-GB" w:eastAsia="zh-CN" w:bidi="hi-IN"/>
        </w:rPr>
        <w:t>the form of minimum periods of education (and related educational standards), post-university vocational training and professional examinations – are maintaining a key role: ensuring that only practitioners with appropriate qualifications and competence can supply their legal service</w:t>
      </w:r>
      <w:r w:rsidR="00EC398B" w:rsidRPr="0071567C">
        <w:rPr>
          <w:rFonts w:ascii="Palatino Linotype" w:eastAsia="SimSun" w:hAnsi="Palatino Linotype"/>
          <w:i/>
          <w:color w:val="000000" w:themeColor="text1"/>
          <w:kern w:val="1"/>
          <w:lang w:val="en-GB" w:eastAsia="zh-CN" w:bidi="hi-IN"/>
        </w:rPr>
        <w:t>s</w:t>
      </w:r>
      <w:r w:rsidRPr="0071567C">
        <w:rPr>
          <w:rFonts w:ascii="Palatino Linotype" w:eastAsia="SimSun" w:hAnsi="Palatino Linotype"/>
          <w:i/>
          <w:color w:val="000000" w:themeColor="text1"/>
          <w:kern w:val="1"/>
          <w:lang w:val="en-GB" w:eastAsia="zh-CN" w:bidi="hi-IN"/>
        </w:rPr>
        <w:t xml:space="preserve"> in the </w:t>
      </w:r>
      <w:r w:rsidR="00EC398B" w:rsidRPr="0071567C">
        <w:rPr>
          <w:rFonts w:ascii="Palatino Linotype" w:eastAsia="SimSun" w:hAnsi="Palatino Linotype"/>
          <w:i/>
          <w:color w:val="000000" w:themeColor="text1"/>
          <w:kern w:val="1"/>
          <w:lang w:val="en-GB" w:eastAsia="zh-CN" w:bidi="hi-IN"/>
        </w:rPr>
        <w:t>internal market</w:t>
      </w:r>
      <w:r w:rsidRPr="0071567C">
        <w:rPr>
          <w:rFonts w:ascii="Palatino Linotype" w:eastAsia="SimSun" w:hAnsi="Palatino Linotype"/>
          <w:i/>
          <w:color w:val="000000" w:themeColor="text1"/>
          <w:kern w:val="1"/>
          <w:lang w:val="en-GB" w:eastAsia="zh-CN" w:bidi="hi-IN"/>
        </w:rPr>
        <w:t xml:space="preserve">. </w:t>
      </w:r>
    </w:p>
    <w:p w:rsidR="00CB4B1C" w:rsidRPr="0071567C" w:rsidRDefault="00CB4B1C" w:rsidP="00E67C64">
      <w:pPr>
        <w:widowControl w:val="0"/>
        <w:suppressAutoHyphens/>
        <w:spacing w:line="480" w:lineRule="auto"/>
        <w:jc w:val="both"/>
        <w:rPr>
          <w:rFonts w:ascii="Palatino Linotype" w:eastAsia="SimSun" w:hAnsi="Palatino Linotype"/>
          <w:i/>
          <w:color w:val="000000" w:themeColor="text1"/>
          <w:kern w:val="1"/>
          <w:lang w:val="en-GB" w:eastAsia="zh-CN" w:bidi="hi-IN"/>
        </w:rPr>
      </w:pPr>
      <w:r w:rsidRPr="0071567C">
        <w:rPr>
          <w:rFonts w:ascii="Palatino Linotype" w:eastAsia="SimSun" w:hAnsi="Palatino Linotype"/>
          <w:i/>
          <w:color w:val="000000" w:themeColor="text1"/>
          <w:kern w:val="1"/>
          <w:lang w:val="en-GB" w:eastAsia="zh-CN" w:bidi="hi-IN"/>
        </w:rPr>
        <w:t xml:space="preserve">The first part of this </w:t>
      </w:r>
      <w:r w:rsidR="006728CC" w:rsidRPr="0071567C">
        <w:rPr>
          <w:rFonts w:ascii="Palatino Linotype" w:eastAsia="SimSun" w:hAnsi="Palatino Linotype"/>
          <w:i/>
          <w:color w:val="000000" w:themeColor="text1"/>
          <w:kern w:val="1"/>
          <w:lang w:val="en-GB" w:eastAsia="zh-CN" w:bidi="hi-IN"/>
        </w:rPr>
        <w:t xml:space="preserve">paper </w:t>
      </w:r>
      <w:r w:rsidRPr="0071567C">
        <w:rPr>
          <w:rFonts w:ascii="Palatino Linotype" w:eastAsia="SimSun" w:hAnsi="Palatino Linotype"/>
          <w:i/>
          <w:color w:val="000000" w:themeColor="text1"/>
          <w:kern w:val="1"/>
          <w:lang w:val="en-GB" w:eastAsia="zh-CN" w:bidi="hi-IN"/>
        </w:rPr>
        <w:t xml:space="preserve">is devoted to analysis of the evolution and changes involving legal education in </w:t>
      </w:r>
      <w:r w:rsidR="00EA4336" w:rsidRPr="0071567C">
        <w:rPr>
          <w:rFonts w:ascii="Palatino Linotype" w:eastAsia="SimSun" w:hAnsi="Palatino Linotype"/>
          <w:i/>
          <w:color w:val="000000" w:themeColor="text1"/>
          <w:kern w:val="1"/>
          <w:lang w:val="en-GB" w:eastAsia="zh-CN" w:bidi="hi-IN"/>
        </w:rPr>
        <w:t>E</w:t>
      </w:r>
      <w:r w:rsidR="00F92770" w:rsidRPr="0071567C">
        <w:rPr>
          <w:rFonts w:ascii="Palatino Linotype" w:eastAsia="SimSun" w:hAnsi="Palatino Linotype"/>
          <w:i/>
          <w:color w:val="000000" w:themeColor="text1"/>
          <w:kern w:val="1"/>
          <w:lang w:val="en-GB" w:eastAsia="zh-CN" w:bidi="hi-IN"/>
        </w:rPr>
        <w:t>uropean</w:t>
      </w:r>
      <w:r w:rsidRPr="0071567C">
        <w:rPr>
          <w:rFonts w:ascii="Palatino Linotype" w:eastAsia="SimSun" w:hAnsi="Palatino Linotype"/>
          <w:i/>
          <w:color w:val="000000" w:themeColor="text1"/>
          <w:kern w:val="1"/>
          <w:lang w:val="en-GB" w:eastAsia="zh-CN" w:bidi="hi-IN"/>
        </w:rPr>
        <w:t xml:space="preserve"> countries, adopting a comparative and historical p</w:t>
      </w:r>
      <w:r w:rsidR="007D3476" w:rsidRPr="0071567C">
        <w:rPr>
          <w:rFonts w:ascii="Palatino Linotype" w:eastAsia="SimSun" w:hAnsi="Palatino Linotype"/>
          <w:i/>
          <w:color w:val="000000" w:themeColor="text1"/>
          <w:kern w:val="1"/>
          <w:lang w:val="en-GB" w:eastAsia="zh-CN" w:bidi="hi-IN"/>
        </w:rPr>
        <w:t>er</w:t>
      </w:r>
      <w:r w:rsidRPr="0071567C">
        <w:rPr>
          <w:rFonts w:ascii="Palatino Linotype" w:eastAsia="SimSun" w:hAnsi="Palatino Linotype"/>
          <w:i/>
          <w:color w:val="000000" w:themeColor="text1"/>
          <w:kern w:val="1"/>
          <w:lang w:val="en-GB" w:eastAsia="zh-CN" w:bidi="hi-IN"/>
        </w:rPr>
        <w:t xml:space="preserve">spective. Member </w:t>
      </w:r>
      <w:r w:rsidR="00EC398B" w:rsidRPr="0071567C">
        <w:rPr>
          <w:rFonts w:ascii="Palatino Linotype" w:eastAsia="SimSun" w:hAnsi="Palatino Linotype"/>
          <w:i/>
          <w:color w:val="000000" w:themeColor="text1"/>
          <w:kern w:val="1"/>
          <w:lang w:val="en-GB" w:eastAsia="zh-CN" w:bidi="hi-IN"/>
        </w:rPr>
        <w:t xml:space="preserve">states </w:t>
      </w:r>
      <w:r w:rsidRPr="0071567C">
        <w:rPr>
          <w:rFonts w:ascii="Palatino Linotype" w:eastAsia="SimSun" w:hAnsi="Palatino Linotype"/>
          <w:i/>
          <w:color w:val="000000" w:themeColor="text1"/>
          <w:kern w:val="1"/>
          <w:lang w:val="en-GB" w:eastAsia="zh-CN" w:bidi="hi-IN"/>
        </w:rPr>
        <w:t>have the right to regulate professional services</w:t>
      </w:r>
      <w:r w:rsidR="00EC398B" w:rsidRPr="0071567C">
        <w:rPr>
          <w:rFonts w:ascii="Palatino Linotype" w:eastAsia="SimSun" w:hAnsi="Palatino Linotype"/>
          <w:i/>
          <w:color w:val="000000" w:themeColor="text1"/>
          <w:kern w:val="1"/>
          <w:lang w:val="en-GB" w:eastAsia="zh-CN" w:bidi="hi-IN"/>
        </w:rPr>
        <w:t>,</w:t>
      </w:r>
      <w:r w:rsidRPr="0071567C">
        <w:rPr>
          <w:rFonts w:ascii="Palatino Linotype" w:eastAsia="SimSun" w:hAnsi="Palatino Linotype"/>
          <w:i/>
          <w:color w:val="000000" w:themeColor="text1"/>
          <w:kern w:val="1"/>
          <w:lang w:val="en-GB" w:eastAsia="zh-CN" w:bidi="hi-IN"/>
        </w:rPr>
        <w:t xml:space="preserve"> and they have the primary responsibility of defining the framework in which professionals operate; therefore,</w:t>
      </w:r>
      <w:r w:rsidR="00EC398B" w:rsidRPr="0071567C">
        <w:rPr>
          <w:rFonts w:ascii="Palatino Linotype" w:eastAsia="SimSun" w:hAnsi="Palatino Linotype"/>
          <w:i/>
          <w:color w:val="000000" w:themeColor="text1"/>
          <w:kern w:val="1"/>
          <w:lang w:val="en-GB" w:eastAsia="zh-CN" w:bidi="hi-IN"/>
        </w:rPr>
        <w:t xml:space="preserve"> regulation of</w:t>
      </w:r>
      <w:r w:rsidRPr="0071567C">
        <w:rPr>
          <w:rFonts w:ascii="Palatino Linotype" w:eastAsia="SimSun" w:hAnsi="Palatino Linotype"/>
          <w:i/>
          <w:color w:val="000000" w:themeColor="text1"/>
          <w:kern w:val="1"/>
          <w:lang w:val="en-GB" w:eastAsia="zh-CN" w:bidi="hi-IN"/>
        </w:rPr>
        <w:t xml:space="preserve"> legal education</w:t>
      </w:r>
      <w:r w:rsidR="00EC398B" w:rsidRPr="0071567C">
        <w:rPr>
          <w:rFonts w:ascii="Palatino Linotype" w:eastAsia="SimSun" w:hAnsi="Palatino Linotype"/>
          <w:i/>
          <w:color w:val="000000" w:themeColor="text1"/>
          <w:kern w:val="1"/>
          <w:lang w:val="en-GB" w:eastAsia="zh-CN" w:bidi="hi-IN"/>
        </w:rPr>
        <w:t xml:space="preserve"> is</w:t>
      </w:r>
      <w:r w:rsidRPr="0071567C">
        <w:rPr>
          <w:rFonts w:ascii="Palatino Linotype" w:eastAsia="SimSun" w:hAnsi="Palatino Linotype"/>
          <w:i/>
          <w:color w:val="000000" w:themeColor="text1"/>
          <w:kern w:val="1"/>
          <w:lang w:val="en-GB" w:eastAsia="zh-CN" w:bidi="hi-IN"/>
        </w:rPr>
        <w:t xml:space="preserve">, first </w:t>
      </w:r>
      <w:r w:rsidR="00EC398B" w:rsidRPr="0071567C">
        <w:rPr>
          <w:rFonts w:ascii="Palatino Linotype" w:eastAsia="SimSun" w:hAnsi="Palatino Linotype"/>
          <w:i/>
          <w:color w:val="000000" w:themeColor="text1"/>
          <w:kern w:val="1"/>
          <w:lang w:val="en-GB" w:eastAsia="zh-CN" w:bidi="hi-IN"/>
        </w:rPr>
        <w:t>and foremost</w:t>
      </w:r>
      <w:r w:rsidRPr="0071567C">
        <w:rPr>
          <w:rFonts w:ascii="Palatino Linotype" w:eastAsia="SimSun" w:hAnsi="Palatino Linotype"/>
          <w:i/>
          <w:color w:val="000000" w:themeColor="text1"/>
          <w:kern w:val="1"/>
          <w:lang w:val="en-GB" w:eastAsia="zh-CN" w:bidi="hi-IN"/>
        </w:rPr>
        <w:t xml:space="preserve">, a national matter. Nevertheless, a historical overview </w:t>
      </w:r>
      <w:r w:rsidR="00EC398B" w:rsidRPr="0071567C">
        <w:rPr>
          <w:rFonts w:ascii="Palatino Linotype" w:eastAsia="SimSun" w:hAnsi="Palatino Linotype"/>
          <w:i/>
          <w:color w:val="000000" w:themeColor="text1"/>
          <w:kern w:val="1"/>
          <w:lang w:val="en-GB" w:eastAsia="zh-CN" w:bidi="hi-IN"/>
        </w:rPr>
        <w:t xml:space="preserve">of </w:t>
      </w:r>
      <w:r w:rsidRPr="0071567C">
        <w:rPr>
          <w:rFonts w:ascii="Palatino Linotype" w:eastAsia="SimSun" w:hAnsi="Palatino Linotype"/>
          <w:i/>
          <w:color w:val="000000" w:themeColor="text1"/>
          <w:kern w:val="1"/>
          <w:lang w:val="en-GB" w:eastAsia="zh-CN" w:bidi="hi-IN"/>
        </w:rPr>
        <w:t>the different system</w:t>
      </w:r>
      <w:r w:rsidR="00EC398B" w:rsidRPr="0071567C">
        <w:rPr>
          <w:rFonts w:ascii="Palatino Linotype" w:eastAsia="SimSun" w:hAnsi="Palatino Linotype"/>
          <w:i/>
          <w:color w:val="000000" w:themeColor="text1"/>
          <w:kern w:val="1"/>
          <w:lang w:val="en-GB" w:eastAsia="zh-CN" w:bidi="hi-IN"/>
        </w:rPr>
        <w:t>s</w:t>
      </w:r>
      <w:r w:rsidRPr="0071567C">
        <w:rPr>
          <w:rFonts w:ascii="Palatino Linotype" w:eastAsia="SimSun" w:hAnsi="Palatino Linotype"/>
          <w:i/>
          <w:color w:val="000000" w:themeColor="text1"/>
          <w:kern w:val="1"/>
          <w:lang w:val="en-GB" w:eastAsia="zh-CN" w:bidi="hi-IN"/>
        </w:rPr>
        <w:t xml:space="preserve"> shows that </w:t>
      </w:r>
      <w:r w:rsidRPr="0071567C">
        <w:rPr>
          <w:rFonts w:ascii="Palatino Linotype" w:eastAsia="SimSun" w:hAnsi="Palatino Linotype"/>
          <w:i/>
          <w:color w:val="000000" w:themeColor="text1"/>
          <w:kern w:val="1"/>
          <w:lang w:val="en-GB" w:eastAsia="zh-CN" w:bidi="hi-IN"/>
        </w:rPr>
        <w:lastRenderedPageBreak/>
        <w:t xml:space="preserve">even if the starting points of the different traditions are very distant, sometimes even opposite, there are some common trends in the evolution that are going to create a harmonization in the field of legal education. In particular, every system is going to create a pathway to enter in the legal profession that ensures both academic studies and professional training, combining the theoretical knowledge with practical aspects. </w:t>
      </w:r>
    </w:p>
    <w:p w:rsidR="00CB4B1C" w:rsidRPr="0071567C" w:rsidRDefault="00CB4B1C" w:rsidP="00E67C64">
      <w:pPr>
        <w:spacing w:line="480" w:lineRule="auto"/>
        <w:jc w:val="both"/>
        <w:rPr>
          <w:rFonts w:ascii="Palatino Linotype" w:eastAsia="SimSun" w:hAnsi="Palatino Linotype"/>
          <w:i/>
          <w:color w:val="000000" w:themeColor="text1"/>
          <w:kern w:val="1"/>
          <w:lang w:val="en-GB" w:eastAsia="zh-CN" w:bidi="hi-IN"/>
        </w:rPr>
      </w:pPr>
      <w:r w:rsidRPr="0071567C">
        <w:rPr>
          <w:rFonts w:ascii="Palatino Linotype" w:eastAsia="SimSun" w:hAnsi="Palatino Linotype"/>
          <w:i/>
          <w:color w:val="000000" w:themeColor="text1"/>
          <w:kern w:val="1"/>
          <w:lang w:val="en-GB" w:eastAsia="zh-CN" w:bidi="hi-IN"/>
        </w:rPr>
        <w:t xml:space="preserve">The second part of the </w:t>
      </w:r>
      <w:r w:rsidR="006728CC" w:rsidRPr="0071567C">
        <w:rPr>
          <w:rFonts w:ascii="Palatino Linotype" w:eastAsia="SimSun" w:hAnsi="Palatino Linotype"/>
          <w:i/>
          <w:color w:val="000000" w:themeColor="text1"/>
          <w:kern w:val="1"/>
          <w:lang w:val="en-GB" w:eastAsia="zh-CN" w:bidi="hi-IN"/>
        </w:rPr>
        <w:t xml:space="preserve">paper </w:t>
      </w:r>
      <w:r w:rsidRPr="0071567C">
        <w:rPr>
          <w:rFonts w:ascii="Palatino Linotype" w:eastAsia="SimSun" w:hAnsi="Palatino Linotype"/>
          <w:i/>
          <w:color w:val="000000" w:themeColor="text1"/>
          <w:kern w:val="1"/>
          <w:lang w:val="en-GB" w:eastAsia="zh-CN" w:bidi="hi-IN"/>
        </w:rPr>
        <w:t xml:space="preserve">focuses on the new role </w:t>
      </w:r>
      <w:r w:rsidR="00B63012" w:rsidRPr="0071567C">
        <w:rPr>
          <w:rFonts w:ascii="Palatino Linotype" w:eastAsia="SimSun" w:hAnsi="Palatino Linotype"/>
          <w:i/>
          <w:color w:val="000000" w:themeColor="text1"/>
          <w:kern w:val="1"/>
          <w:lang w:val="en-GB" w:eastAsia="zh-CN" w:bidi="hi-IN"/>
        </w:rPr>
        <w:t xml:space="preserve">embraced </w:t>
      </w:r>
      <w:r w:rsidRPr="0071567C">
        <w:rPr>
          <w:rFonts w:ascii="Palatino Linotype" w:eastAsia="SimSun" w:hAnsi="Palatino Linotype"/>
          <w:i/>
          <w:color w:val="000000" w:themeColor="text1"/>
          <w:kern w:val="1"/>
          <w:lang w:val="en-GB" w:eastAsia="zh-CN" w:bidi="hi-IN"/>
        </w:rPr>
        <w:t xml:space="preserve">by the </w:t>
      </w:r>
      <w:r w:rsidR="00EC398B" w:rsidRPr="0071567C">
        <w:rPr>
          <w:rFonts w:ascii="Palatino Linotype" w:eastAsia="SimSun" w:hAnsi="Palatino Linotype"/>
          <w:i/>
          <w:color w:val="000000" w:themeColor="text1"/>
          <w:kern w:val="1"/>
          <w:lang w:val="en-GB" w:eastAsia="zh-CN" w:bidi="hi-IN"/>
        </w:rPr>
        <w:t>l</w:t>
      </w:r>
      <w:r w:rsidRPr="0071567C">
        <w:rPr>
          <w:rFonts w:ascii="Palatino Linotype" w:eastAsia="SimSun" w:hAnsi="Palatino Linotype"/>
          <w:i/>
          <w:color w:val="000000" w:themeColor="text1"/>
          <w:kern w:val="1"/>
          <w:lang w:val="en-GB" w:eastAsia="zh-CN" w:bidi="hi-IN"/>
        </w:rPr>
        <w:t xml:space="preserve">aw </w:t>
      </w:r>
      <w:r w:rsidR="00EC398B" w:rsidRPr="0071567C">
        <w:rPr>
          <w:rFonts w:ascii="Palatino Linotype" w:eastAsia="SimSun" w:hAnsi="Palatino Linotype"/>
          <w:i/>
          <w:color w:val="000000" w:themeColor="text1"/>
          <w:kern w:val="1"/>
          <w:lang w:val="en-GB" w:eastAsia="zh-CN" w:bidi="hi-IN"/>
        </w:rPr>
        <w:t>schools</w:t>
      </w:r>
      <w:r w:rsidRPr="0071567C">
        <w:rPr>
          <w:rFonts w:ascii="Palatino Linotype" w:eastAsia="SimSun" w:hAnsi="Palatino Linotype"/>
          <w:i/>
          <w:color w:val="000000" w:themeColor="text1"/>
          <w:kern w:val="1"/>
          <w:lang w:val="en-GB" w:eastAsia="zh-CN" w:bidi="hi-IN"/>
        </w:rPr>
        <w:t>, arguing that</w:t>
      </w:r>
      <w:r w:rsidR="00EC398B" w:rsidRPr="0071567C">
        <w:rPr>
          <w:rFonts w:ascii="Palatino Linotype" w:eastAsia="SimSun" w:hAnsi="Palatino Linotype"/>
          <w:i/>
          <w:color w:val="000000" w:themeColor="text1"/>
          <w:kern w:val="1"/>
          <w:lang w:val="en-GB" w:eastAsia="zh-CN" w:bidi="hi-IN"/>
        </w:rPr>
        <w:t xml:space="preserve"> the</w:t>
      </w:r>
      <w:r w:rsidRPr="0071567C">
        <w:rPr>
          <w:rFonts w:ascii="Palatino Linotype" w:eastAsia="SimSun" w:hAnsi="Palatino Linotype"/>
          <w:i/>
          <w:color w:val="000000" w:themeColor="text1"/>
          <w:kern w:val="1"/>
          <w:lang w:val="en-GB" w:eastAsia="zh-CN" w:bidi="hi-IN"/>
        </w:rPr>
        <w:t xml:space="preserve"> new mission of law schools is, at least in part, to contribute to the creation of legal practitioners. In fact, it seems that the division between exclusively academic theoretical study and post-university vocational training is today unsustainable. Considering the </w:t>
      </w:r>
      <w:r w:rsidR="00EC398B" w:rsidRPr="0071567C">
        <w:rPr>
          <w:rFonts w:ascii="Palatino Linotype" w:eastAsia="SimSun" w:hAnsi="Palatino Linotype"/>
          <w:i/>
          <w:color w:val="000000" w:themeColor="text1"/>
          <w:kern w:val="1"/>
          <w:lang w:val="en-GB" w:eastAsia="zh-CN" w:bidi="hi-IN"/>
        </w:rPr>
        <w:t xml:space="preserve">law schools’ </w:t>
      </w:r>
      <w:r w:rsidR="007D3476" w:rsidRPr="0071567C">
        <w:rPr>
          <w:rFonts w:ascii="Palatino Linotype" w:eastAsia="SimSun" w:hAnsi="Palatino Linotype"/>
          <w:i/>
          <w:color w:val="000000" w:themeColor="text1"/>
          <w:kern w:val="1"/>
          <w:lang w:val="en-GB" w:eastAsia="zh-CN" w:bidi="hi-IN"/>
        </w:rPr>
        <w:t xml:space="preserve">new </w:t>
      </w:r>
      <w:r w:rsidRPr="0071567C">
        <w:rPr>
          <w:rFonts w:ascii="Palatino Linotype" w:eastAsia="SimSun" w:hAnsi="Palatino Linotype"/>
          <w:i/>
          <w:color w:val="000000" w:themeColor="text1"/>
          <w:kern w:val="1"/>
          <w:lang w:val="en-GB" w:eastAsia="zh-CN" w:bidi="hi-IN"/>
        </w:rPr>
        <w:t>obligation to cr</w:t>
      </w:r>
      <w:r w:rsidR="00EC398B" w:rsidRPr="0071567C">
        <w:rPr>
          <w:rFonts w:ascii="Palatino Linotype" w:eastAsia="SimSun" w:hAnsi="Palatino Linotype"/>
          <w:i/>
          <w:color w:val="000000" w:themeColor="text1"/>
          <w:kern w:val="1"/>
          <w:lang w:val="en-GB" w:eastAsia="zh-CN" w:bidi="hi-IN"/>
        </w:rPr>
        <w:t>e</w:t>
      </w:r>
      <w:r w:rsidRPr="0071567C">
        <w:rPr>
          <w:rFonts w:ascii="Palatino Linotype" w:eastAsia="SimSun" w:hAnsi="Palatino Linotype"/>
          <w:i/>
          <w:color w:val="000000" w:themeColor="text1"/>
          <w:kern w:val="1"/>
          <w:lang w:val="en-GB" w:eastAsia="zh-CN" w:bidi="hi-IN"/>
        </w:rPr>
        <w:t xml:space="preserve">ate both </w:t>
      </w:r>
      <w:r w:rsidR="00612B69" w:rsidRPr="0071567C">
        <w:rPr>
          <w:rFonts w:ascii="Palatino Linotype" w:eastAsia="SimSun" w:hAnsi="Palatino Linotype"/>
          <w:i/>
          <w:color w:val="000000" w:themeColor="text1"/>
          <w:kern w:val="1"/>
          <w:lang w:val="en-GB" w:eastAsia="zh-CN" w:bidi="hi-IN"/>
        </w:rPr>
        <w:t>‘</w:t>
      </w:r>
      <w:r w:rsidRPr="0071567C">
        <w:rPr>
          <w:rFonts w:ascii="Palatino Linotype" w:eastAsia="SimSun" w:hAnsi="Palatino Linotype"/>
          <w:i/>
          <w:color w:val="000000" w:themeColor="text1"/>
          <w:kern w:val="1"/>
          <w:lang w:val="en-GB" w:eastAsia="zh-CN" w:bidi="hi-IN"/>
        </w:rPr>
        <w:t>theoretic and practical</w:t>
      </w:r>
      <w:r w:rsidR="00612B69" w:rsidRPr="0071567C">
        <w:rPr>
          <w:rFonts w:ascii="Palatino Linotype" w:eastAsia="SimSun" w:hAnsi="Palatino Linotype"/>
          <w:i/>
          <w:color w:val="000000" w:themeColor="text1"/>
          <w:kern w:val="1"/>
          <w:lang w:val="en-GB" w:eastAsia="zh-CN" w:bidi="hi-IN"/>
        </w:rPr>
        <w:t>’</w:t>
      </w:r>
      <w:r w:rsidRPr="0071567C">
        <w:rPr>
          <w:rFonts w:ascii="Palatino Linotype" w:eastAsia="SimSun" w:hAnsi="Palatino Linotype"/>
          <w:i/>
          <w:color w:val="000000" w:themeColor="text1"/>
          <w:kern w:val="1"/>
          <w:lang w:val="en-GB" w:eastAsia="zh-CN" w:bidi="hi-IN"/>
        </w:rPr>
        <w:t xml:space="preserve"> scholarship and the consequent shift towards more skills-based legal education, the second part of the </w:t>
      </w:r>
      <w:r w:rsidR="00EC398B" w:rsidRPr="0071567C">
        <w:rPr>
          <w:rFonts w:ascii="Palatino Linotype" w:eastAsia="SimSun" w:hAnsi="Palatino Linotype"/>
          <w:i/>
          <w:color w:val="000000" w:themeColor="text1"/>
          <w:kern w:val="1"/>
          <w:lang w:val="en-GB" w:eastAsia="zh-CN" w:bidi="hi-IN"/>
        </w:rPr>
        <w:t>p</w:t>
      </w:r>
      <w:r w:rsidRPr="0071567C">
        <w:rPr>
          <w:rFonts w:ascii="Palatino Linotype" w:eastAsia="SimSun" w:hAnsi="Palatino Linotype"/>
          <w:i/>
          <w:color w:val="000000" w:themeColor="text1"/>
          <w:kern w:val="1"/>
          <w:lang w:val="en-GB" w:eastAsia="zh-CN" w:bidi="hi-IN"/>
        </w:rPr>
        <w:t xml:space="preserve">aper will be devoted, in particular, to the analysis of the fundamental role that </w:t>
      </w:r>
      <w:r w:rsidR="008673D6" w:rsidRPr="0071567C">
        <w:rPr>
          <w:rFonts w:ascii="Palatino Linotype" w:eastAsia="SimSun" w:hAnsi="Palatino Linotype"/>
          <w:i/>
          <w:color w:val="000000" w:themeColor="text1"/>
          <w:kern w:val="1"/>
          <w:lang w:val="en-GB" w:eastAsia="zh-CN" w:bidi="hi-IN"/>
        </w:rPr>
        <w:t xml:space="preserve">clinical legal </w:t>
      </w:r>
      <w:r w:rsidRPr="0071567C">
        <w:rPr>
          <w:rFonts w:ascii="Palatino Linotype" w:eastAsia="SimSun" w:hAnsi="Palatino Linotype"/>
          <w:i/>
          <w:color w:val="000000" w:themeColor="text1"/>
          <w:kern w:val="1"/>
          <w:lang w:val="en-GB" w:eastAsia="zh-CN" w:bidi="hi-IN"/>
        </w:rPr>
        <w:t>education should play in this process of reform</w:t>
      </w:r>
      <w:r w:rsidR="00A53F3B" w:rsidRPr="0071567C">
        <w:rPr>
          <w:rFonts w:ascii="Palatino Linotype" w:hAnsi="Palatino Linotype"/>
          <w:i/>
          <w:color w:val="000000" w:themeColor="text1"/>
          <w:lang w:val="en-GB"/>
        </w:rPr>
        <w:t>.</w:t>
      </w:r>
    </w:p>
    <w:p w:rsidR="00CB4B1C" w:rsidRPr="0071567C" w:rsidRDefault="00CB4B1C" w:rsidP="00E67C64">
      <w:pPr>
        <w:spacing w:line="480" w:lineRule="auto"/>
        <w:jc w:val="both"/>
        <w:rPr>
          <w:rFonts w:ascii="Palatino Linotype" w:hAnsi="Palatino Linotype"/>
          <w:b/>
          <w:i/>
          <w:color w:val="000000" w:themeColor="text1"/>
          <w:lang w:val="en-GB"/>
        </w:rPr>
      </w:pPr>
    </w:p>
    <w:p w:rsidR="00F34232" w:rsidRPr="0071567C" w:rsidRDefault="00F34232" w:rsidP="00E67C64">
      <w:pPr>
        <w:autoSpaceDE w:val="0"/>
        <w:autoSpaceDN w:val="0"/>
        <w:adjustRightInd w:val="0"/>
        <w:spacing w:line="480" w:lineRule="auto"/>
        <w:jc w:val="both"/>
        <w:rPr>
          <w:rFonts w:ascii="Palatino Linotype" w:hAnsi="Palatino Linotype"/>
          <w:b/>
          <w:color w:val="000000"/>
          <w:lang w:val="en-GB"/>
        </w:rPr>
      </w:pPr>
      <w:r w:rsidRPr="0071567C">
        <w:rPr>
          <w:rFonts w:ascii="Palatino Linotype" w:hAnsi="Palatino Linotype"/>
          <w:b/>
          <w:i/>
          <w:color w:val="000000" w:themeColor="text1"/>
          <w:lang w:val="en-GB"/>
        </w:rPr>
        <w:t xml:space="preserve">Summary: </w:t>
      </w:r>
      <w:r w:rsidRPr="0071567C">
        <w:rPr>
          <w:rFonts w:ascii="Palatino Linotype" w:hAnsi="Palatino Linotype"/>
          <w:i/>
          <w:color w:val="000000" w:themeColor="text1"/>
          <w:lang w:val="en-GB"/>
        </w:rPr>
        <w:t xml:space="preserve">1. European approach towards professionals: competition and better regulation; 2. Entry </w:t>
      </w:r>
      <w:r w:rsidR="00523ABA" w:rsidRPr="0071567C">
        <w:rPr>
          <w:rFonts w:ascii="Palatino Linotype" w:hAnsi="Palatino Linotype"/>
          <w:i/>
          <w:color w:val="000000" w:themeColor="text1"/>
          <w:lang w:val="en-GB"/>
        </w:rPr>
        <w:t xml:space="preserve">restrictions </w:t>
      </w:r>
      <w:r w:rsidRPr="0071567C">
        <w:rPr>
          <w:rFonts w:ascii="Palatino Linotype" w:hAnsi="Palatino Linotype"/>
          <w:i/>
          <w:color w:val="000000" w:themeColor="text1"/>
          <w:lang w:val="en-GB"/>
        </w:rPr>
        <w:t>and their justification: ensuring</w:t>
      </w:r>
      <w:r w:rsidR="00523ABA" w:rsidRPr="0071567C">
        <w:rPr>
          <w:rFonts w:ascii="Palatino Linotype" w:hAnsi="Palatino Linotype"/>
          <w:i/>
          <w:color w:val="000000" w:themeColor="text1"/>
          <w:lang w:val="en-GB"/>
        </w:rPr>
        <w:t xml:space="preserve"> the quality of</w:t>
      </w:r>
      <w:r w:rsidRPr="0071567C">
        <w:rPr>
          <w:rFonts w:ascii="Palatino Linotype" w:hAnsi="Palatino Linotype"/>
          <w:i/>
          <w:color w:val="000000" w:themeColor="text1"/>
          <w:lang w:val="en-GB"/>
        </w:rPr>
        <w:t xml:space="preserve"> </w:t>
      </w:r>
      <w:r w:rsidR="00523ABA" w:rsidRPr="0071567C">
        <w:rPr>
          <w:rFonts w:ascii="Palatino Linotype" w:hAnsi="Palatino Linotype"/>
          <w:i/>
          <w:color w:val="000000" w:themeColor="text1"/>
          <w:lang w:val="en-GB"/>
        </w:rPr>
        <w:t>legal services</w:t>
      </w:r>
      <w:r w:rsidRPr="0071567C">
        <w:rPr>
          <w:rFonts w:ascii="Palatino Linotype" w:hAnsi="Palatino Linotype"/>
          <w:i/>
          <w:color w:val="000000" w:themeColor="text1"/>
          <w:lang w:val="en-GB"/>
        </w:rPr>
        <w:t xml:space="preserve">; </w:t>
      </w:r>
      <w:r w:rsidR="00AF61B3" w:rsidRPr="0071567C">
        <w:rPr>
          <w:rFonts w:ascii="Palatino Linotype" w:hAnsi="Palatino Linotype"/>
          <w:i/>
          <w:color w:val="000000" w:themeColor="text1"/>
          <w:lang w:val="en-GB"/>
        </w:rPr>
        <w:t xml:space="preserve">3. </w:t>
      </w:r>
      <w:r w:rsidRPr="0071567C">
        <w:rPr>
          <w:rFonts w:ascii="Palatino Linotype" w:hAnsi="Palatino Linotype"/>
          <w:i/>
          <w:color w:val="000000"/>
          <w:lang w:val="en-GB"/>
        </w:rPr>
        <w:t xml:space="preserve">National </w:t>
      </w:r>
      <w:r w:rsidR="00523ABA" w:rsidRPr="0071567C">
        <w:rPr>
          <w:rFonts w:ascii="Palatino Linotype" w:hAnsi="Palatino Linotype"/>
          <w:i/>
          <w:color w:val="000000"/>
          <w:lang w:val="en-GB"/>
        </w:rPr>
        <w:t>legal educational models</w:t>
      </w:r>
      <w:r w:rsidRPr="0071567C">
        <w:rPr>
          <w:rFonts w:ascii="Palatino Linotype" w:hAnsi="Palatino Linotype"/>
          <w:i/>
          <w:color w:val="000000"/>
          <w:lang w:val="en-GB"/>
        </w:rPr>
        <w:t xml:space="preserve">: a case of fragmentation?; </w:t>
      </w:r>
      <w:r w:rsidR="00AF61B3" w:rsidRPr="0071567C">
        <w:rPr>
          <w:rFonts w:ascii="Palatino Linotype" w:hAnsi="Palatino Linotype"/>
          <w:i/>
          <w:color w:val="000000"/>
          <w:lang w:val="en-GB"/>
        </w:rPr>
        <w:t>4</w:t>
      </w:r>
      <w:r w:rsidRPr="0071567C">
        <w:rPr>
          <w:rFonts w:ascii="Palatino Linotype" w:hAnsi="Palatino Linotype"/>
          <w:i/>
          <w:color w:val="000000"/>
          <w:lang w:val="en-GB"/>
        </w:rPr>
        <w:t xml:space="preserve">. A </w:t>
      </w:r>
      <w:r w:rsidR="00523ABA" w:rsidRPr="0071567C">
        <w:rPr>
          <w:rFonts w:ascii="Palatino Linotype" w:hAnsi="Palatino Linotype"/>
          <w:i/>
          <w:color w:val="000000"/>
          <w:lang w:val="en-GB"/>
        </w:rPr>
        <w:t>comparative analysis</w:t>
      </w:r>
      <w:r w:rsidRPr="0071567C">
        <w:rPr>
          <w:rFonts w:ascii="Palatino Linotype" w:hAnsi="Palatino Linotype"/>
          <w:i/>
          <w:color w:val="000000"/>
          <w:lang w:val="en-GB"/>
        </w:rPr>
        <w:t xml:space="preserve">: there is </w:t>
      </w:r>
      <w:r w:rsidR="00523ABA" w:rsidRPr="0071567C">
        <w:rPr>
          <w:rFonts w:ascii="Palatino Linotype" w:hAnsi="Palatino Linotype"/>
          <w:i/>
          <w:color w:val="000000"/>
          <w:lang w:val="en-GB"/>
        </w:rPr>
        <w:t xml:space="preserve">room </w:t>
      </w:r>
      <w:r w:rsidRPr="0071567C">
        <w:rPr>
          <w:rFonts w:ascii="Palatino Linotype" w:hAnsi="Palatino Linotype"/>
          <w:i/>
          <w:color w:val="000000"/>
          <w:lang w:val="en-GB"/>
        </w:rPr>
        <w:t xml:space="preserve">for </w:t>
      </w:r>
      <w:r w:rsidR="00523ABA" w:rsidRPr="0071567C">
        <w:rPr>
          <w:rFonts w:ascii="Palatino Linotype" w:hAnsi="Palatino Linotype"/>
          <w:i/>
          <w:color w:val="000000"/>
          <w:lang w:val="en-GB"/>
        </w:rPr>
        <w:t>harmonization</w:t>
      </w:r>
      <w:r w:rsidRPr="0071567C">
        <w:rPr>
          <w:rFonts w:ascii="Palatino Linotype" w:hAnsi="Palatino Linotype"/>
          <w:i/>
          <w:color w:val="000000"/>
          <w:lang w:val="en-GB"/>
        </w:rPr>
        <w:t xml:space="preserve">?; </w:t>
      </w:r>
      <w:r w:rsidR="00AF61B3" w:rsidRPr="0071567C">
        <w:rPr>
          <w:rFonts w:ascii="Palatino Linotype" w:hAnsi="Palatino Linotype"/>
          <w:i/>
          <w:lang w:val="en-GB"/>
        </w:rPr>
        <w:t>5</w:t>
      </w:r>
      <w:r w:rsidR="008C1EAF" w:rsidRPr="0071567C">
        <w:rPr>
          <w:rFonts w:ascii="Palatino Linotype" w:hAnsi="Palatino Linotype"/>
          <w:i/>
          <w:lang w:val="en-GB"/>
        </w:rPr>
        <w:t xml:space="preserve">. </w:t>
      </w:r>
      <w:r w:rsidR="008C1EAF" w:rsidRPr="0071567C">
        <w:rPr>
          <w:rFonts w:ascii="Palatino Linotype" w:hAnsi="Palatino Linotype"/>
          <w:i/>
          <w:color w:val="000000"/>
          <w:lang w:val="en-GB"/>
        </w:rPr>
        <w:t>Current crit</w:t>
      </w:r>
      <w:r w:rsidR="00C5583D" w:rsidRPr="0071567C">
        <w:rPr>
          <w:rFonts w:ascii="Palatino Linotype" w:hAnsi="Palatino Linotype"/>
          <w:i/>
          <w:color w:val="000000"/>
          <w:lang w:val="en-GB"/>
        </w:rPr>
        <w:t>icism</w:t>
      </w:r>
      <w:r w:rsidR="008C1EAF" w:rsidRPr="0071567C">
        <w:rPr>
          <w:rFonts w:ascii="Palatino Linotype" w:hAnsi="Palatino Linotype"/>
          <w:i/>
          <w:color w:val="000000"/>
          <w:lang w:val="en-GB"/>
        </w:rPr>
        <w:t xml:space="preserve">s </w:t>
      </w:r>
      <w:r w:rsidR="008C1EAF" w:rsidRPr="0071567C">
        <w:rPr>
          <w:rFonts w:ascii="Palatino Linotype" w:hAnsi="Palatino Linotype"/>
          <w:i/>
          <w:lang w:val="en-GB"/>
        </w:rPr>
        <w:t>and progressive trends in legal education</w:t>
      </w:r>
      <w:r w:rsidR="008C1EAF" w:rsidRPr="0071567C">
        <w:rPr>
          <w:rFonts w:ascii="Palatino Linotype" w:hAnsi="Palatino Linotype"/>
          <w:b/>
          <w:color w:val="000000"/>
          <w:lang w:val="en-GB"/>
        </w:rPr>
        <w:t xml:space="preserve">; </w:t>
      </w:r>
      <w:r w:rsidR="00AF61B3" w:rsidRPr="0071567C">
        <w:rPr>
          <w:rFonts w:ascii="Palatino Linotype" w:hAnsi="Palatino Linotype"/>
          <w:i/>
          <w:color w:val="000000"/>
          <w:lang w:val="en-GB"/>
        </w:rPr>
        <w:t xml:space="preserve">6. </w:t>
      </w:r>
      <w:r w:rsidRPr="0071567C">
        <w:rPr>
          <w:rFonts w:ascii="Palatino Linotype" w:hAnsi="Palatino Linotype"/>
          <w:i/>
          <w:color w:val="000000"/>
          <w:lang w:val="en-GB"/>
        </w:rPr>
        <w:t xml:space="preserve">The role of </w:t>
      </w:r>
      <w:r w:rsidR="00523ABA" w:rsidRPr="0071567C">
        <w:rPr>
          <w:rFonts w:ascii="Palatino Linotype" w:hAnsi="Palatino Linotype"/>
          <w:i/>
          <w:color w:val="000000"/>
          <w:lang w:val="en-GB"/>
        </w:rPr>
        <w:t xml:space="preserve">legal clinics </w:t>
      </w:r>
      <w:r w:rsidRPr="0071567C">
        <w:rPr>
          <w:rFonts w:ascii="Palatino Linotype" w:hAnsi="Palatino Linotype"/>
          <w:i/>
          <w:color w:val="000000"/>
          <w:lang w:val="en-GB"/>
        </w:rPr>
        <w:t>in the present and future educational system</w:t>
      </w:r>
    </w:p>
    <w:p w:rsidR="00F34232" w:rsidRPr="0071567C" w:rsidRDefault="00F34232" w:rsidP="00E67C64">
      <w:pPr>
        <w:spacing w:line="480" w:lineRule="auto"/>
        <w:jc w:val="both"/>
        <w:rPr>
          <w:rFonts w:ascii="Palatino Linotype" w:hAnsi="Palatino Linotype"/>
          <w:b/>
          <w:color w:val="000000" w:themeColor="text1"/>
          <w:lang w:val="en-GB"/>
        </w:rPr>
      </w:pPr>
    </w:p>
    <w:p w:rsidR="00DF22E0" w:rsidRPr="0071567C" w:rsidRDefault="00DF22E0" w:rsidP="00E67C64">
      <w:pPr>
        <w:pStyle w:val="ListParagraph"/>
        <w:numPr>
          <w:ilvl w:val="0"/>
          <w:numId w:val="8"/>
        </w:numPr>
        <w:spacing w:line="480" w:lineRule="auto"/>
        <w:jc w:val="both"/>
        <w:rPr>
          <w:rFonts w:ascii="Palatino Linotype" w:hAnsi="Palatino Linotype"/>
          <w:b/>
          <w:color w:val="000000" w:themeColor="text1"/>
          <w:szCs w:val="24"/>
          <w:lang w:val="en-GB"/>
        </w:rPr>
      </w:pPr>
      <w:r w:rsidRPr="0071567C">
        <w:rPr>
          <w:rFonts w:ascii="Palatino Linotype" w:hAnsi="Palatino Linotype"/>
          <w:b/>
          <w:color w:val="000000" w:themeColor="text1"/>
          <w:szCs w:val="24"/>
          <w:lang w:val="en-GB"/>
        </w:rPr>
        <w:t>European approach towards profession</w:t>
      </w:r>
      <w:r w:rsidR="001073DE" w:rsidRPr="0071567C">
        <w:rPr>
          <w:rFonts w:ascii="Palatino Linotype" w:hAnsi="Palatino Linotype"/>
          <w:b/>
          <w:color w:val="000000" w:themeColor="text1"/>
          <w:szCs w:val="24"/>
          <w:lang w:val="en-GB"/>
        </w:rPr>
        <w:t>al</w:t>
      </w:r>
      <w:r w:rsidRPr="0071567C">
        <w:rPr>
          <w:rFonts w:ascii="Palatino Linotype" w:hAnsi="Palatino Linotype"/>
          <w:b/>
          <w:color w:val="000000" w:themeColor="text1"/>
          <w:szCs w:val="24"/>
          <w:lang w:val="en-GB"/>
        </w:rPr>
        <w:t>s: competition and better regulation</w:t>
      </w:r>
    </w:p>
    <w:p w:rsidR="00C73149" w:rsidRPr="0071567C" w:rsidRDefault="000150A2" w:rsidP="00E67C64">
      <w:pPr>
        <w:autoSpaceDE w:val="0"/>
        <w:autoSpaceDN w:val="0"/>
        <w:adjustRightInd w:val="0"/>
        <w:spacing w:line="480" w:lineRule="auto"/>
        <w:jc w:val="both"/>
        <w:rPr>
          <w:rFonts w:ascii="Palatino Linotype" w:hAnsi="Palatino Linotype"/>
          <w:color w:val="000000" w:themeColor="text1"/>
          <w:lang w:val="en-GB"/>
        </w:rPr>
      </w:pPr>
      <w:r w:rsidRPr="0071567C">
        <w:rPr>
          <w:rFonts w:ascii="Palatino Linotype" w:eastAsia="SimSun" w:hAnsi="Palatino Linotype"/>
          <w:color w:val="000000" w:themeColor="text1"/>
          <w:kern w:val="1"/>
          <w:lang w:val="en-GB" w:eastAsia="zh-CN" w:bidi="hi-IN"/>
        </w:rPr>
        <w:lastRenderedPageBreak/>
        <w:t xml:space="preserve">The legal profession is facing a new working environment marked by increasing </w:t>
      </w:r>
      <w:r w:rsidR="008673D6" w:rsidRPr="0071567C">
        <w:rPr>
          <w:rFonts w:ascii="Palatino Linotype" w:eastAsia="SimSun" w:hAnsi="Palatino Linotype"/>
          <w:color w:val="000000" w:themeColor="text1"/>
          <w:kern w:val="1"/>
          <w:lang w:val="en-GB" w:eastAsia="zh-CN" w:bidi="hi-IN"/>
        </w:rPr>
        <w:t>globali</w:t>
      </w:r>
      <w:r w:rsidR="008673D6" w:rsidRPr="0071567C">
        <w:rPr>
          <w:rFonts w:ascii="Palatino Linotype" w:hAnsi="Palatino Linotype"/>
          <w:color w:val="000000" w:themeColor="text1"/>
          <w:lang w:val="en-GB"/>
        </w:rPr>
        <w:t>s</w:t>
      </w:r>
      <w:r w:rsidR="008673D6" w:rsidRPr="0071567C">
        <w:rPr>
          <w:rFonts w:ascii="Palatino Linotype" w:eastAsia="SimSun" w:hAnsi="Palatino Linotype"/>
          <w:color w:val="000000" w:themeColor="text1"/>
          <w:kern w:val="1"/>
          <w:lang w:val="en-GB" w:eastAsia="zh-CN" w:bidi="hi-IN"/>
        </w:rPr>
        <w:t>ation</w:t>
      </w:r>
      <w:r w:rsidRPr="0071567C">
        <w:rPr>
          <w:rFonts w:ascii="Palatino Linotype" w:eastAsia="SimSun" w:hAnsi="Palatino Linotype"/>
          <w:color w:val="000000" w:themeColor="text1"/>
          <w:kern w:val="1"/>
          <w:lang w:val="en-GB" w:eastAsia="zh-CN" w:bidi="hi-IN"/>
        </w:rPr>
        <w:t>, technological advances, competition and deregulation</w:t>
      </w:r>
      <w:r w:rsidR="006728CC" w:rsidRPr="0071567C">
        <w:rPr>
          <w:rFonts w:ascii="Palatino Linotype" w:eastAsia="SimSun" w:hAnsi="Palatino Linotype"/>
          <w:color w:val="000000" w:themeColor="text1"/>
          <w:kern w:val="1"/>
          <w:lang w:val="en-GB" w:eastAsia="zh-CN" w:bidi="hi-IN"/>
        </w:rPr>
        <w:t>.</w:t>
      </w:r>
      <w:r w:rsidR="004F5190" w:rsidRPr="0071567C">
        <w:rPr>
          <w:rStyle w:val="FootnoteReference"/>
          <w:rFonts w:ascii="Palatino Linotype" w:eastAsia="SimSun" w:hAnsi="Palatino Linotype"/>
          <w:color w:val="000000" w:themeColor="text1"/>
          <w:kern w:val="1"/>
          <w:lang w:val="en-GB" w:eastAsia="zh-CN" w:bidi="hi-IN"/>
        </w:rPr>
        <w:footnoteReference w:id="2"/>
      </w:r>
      <w:r w:rsidRPr="0071567C">
        <w:rPr>
          <w:rFonts w:ascii="Palatino Linotype" w:hAnsi="Palatino Linotype"/>
          <w:color w:val="000000" w:themeColor="text1"/>
          <w:lang w:val="en-GB"/>
        </w:rPr>
        <w:t xml:space="preserve"> </w:t>
      </w:r>
      <w:r w:rsidR="00CB4B1C" w:rsidRPr="0071567C">
        <w:rPr>
          <w:rFonts w:ascii="Palatino Linotype" w:eastAsia="SimSun" w:hAnsi="Palatino Linotype"/>
          <w:color w:val="000000" w:themeColor="text1"/>
          <w:kern w:val="1"/>
          <w:lang w:val="en-GB" w:eastAsia="zh-CN" w:bidi="hi-IN"/>
        </w:rPr>
        <w:t>Nobody would doubt that</w:t>
      </w:r>
      <w:r w:rsidRPr="0071567C">
        <w:rPr>
          <w:rFonts w:ascii="Palatino Linotype" w:hAnsi="Palatino Linotype"/>
          <w:color w:val="000000" w:themeColor="text1"/>
          <w:lang w:val="en-GB"/>
        </w:rPr>
        <w:t>, in the last fifteen</w:t>
      </w:r>
      <w:r w:rsidR="006728CC" w:rsidRPr="0071567C">
        <w:rPr>
          <w:rFonts w:ascii="Palatino Linotype" w:hAnsi="Palatino Linotype"/>
          <w:color w:val="000000" w:themeColor="text1"/>
          <w:lang w:val="en-GB"/>
        </w:rPr>
        <w:t xml:space="preserve"> </w:t>
      </w:r>
      <w:r w:rsidRPr="0071567C">
        <w:rPr>
          <w:rFonts w:ascii="Palatino Linotype" w:hAnsi="Palatino Linotype"/>
          <w:color w:val="000000" w:themeColor="text1"/>
          <w:lang w:val="en-GB"/>
        </w:rPr>
        <w:t>years, the European Union</w:t>
      </w:r>
      <w:r w:rsidR="008673D6" w:rsidRPr="0071567C">
        <w:rPr>
          <w:rFonts w:ascii="Palatino Linotype" w:hAnsi="Palatino Linotype"/>
          <w:color w:val="000000" w:themeColor="text1"/>
          <w:lang w:val="en-GB"/>
        </w:rPr>
        <w:t>’s</w:t>
      </w:r>
      <w:r w:rsidRPr="0071567C">
        <w:rPr>
          <w:rFonts w:ascii="Palatino Linotype" w:hAnsi="Palatino Linotype"/>
          <w:color w:val="000000" w:themeColor="text1"/>
          <w:lang w:val="en-GB"/>
        </w:rPr>
        <w:t xml:space="preserve"> approach towards</w:t>
      </w:r>
      <w:r w:rsidR="008673D6" w:rsidRPr="0071567C">
        <w:rPr>
          <w:rFonts w:ascii="Palatino Linotype" w:hAnsi="Palatino Linotype"/>
          <w:color w:val="000000" w:themeColor="text1"/>
          <w:lang w:val="en-GB"/>
        </w:rPr>
        <w:t xml:space="preserve"> the</w:t>
      </w:r>
      <w:r w:rsidRPr="0071567C">
        <w:rPr>
          <w:rFonts w:ascii="Palatino Linotype" w:hAnsi="Palatino Linotype"/>
          <w:color w:val="000000" w:themeColor="text1"/>
          <w:lang w:val="en-GB"/>
        </w:rPr>
        <w:t xml:space="preserve"> intellectual professions has constituted </w:t>
      </w:r>
      <w:r w:rsidR="008673D6" w:rsidRPr="0071567C">
        <w:rPr>
          <w:rFonts w:ascii="Palatino Linotype" w:hAnsi="Palatino Linotype"/>
          <w:color w:val="000000" w:themeColor="text1"/>
          <w:lang w:val="en-GB"/>
        </w:rPr>
        <w:t xml:space="preserve">a </w:t>
      </w:r>
      <w:r w:rsidRPr="0071567C">
        <w:rPr>
          <w:rFonts w:ascii="Palatino Linotype" w:hAnsi="Palatino Linotype"/>
          <w:color w:val="000000" w:themeColor="text1"/>
          <w:lang w:val="en-GB"/>
        </w:rPr>
        <w:t>leading force in the transformation of the legal market and profession</w:t>
      </w:r>
      <w:r w:rsidR="00CB4B1C" w:rsidRPr="0071567C">
        <w:rPr>
          <w:rFonts w:ascii="Palatino Linotype" w:hAnsi="Palatino Linotype"/>
          <w:color w:val="000000" w:themeColor="text1"/>
          <w:lang w:val="en-GB"/>
        </w:rPr>
        <w:t xml:space="preserve"> in Europe</w:t>
      </w:r>
      <w:r w:rsidRPr="0071567C">
        <w:rPr>
          <w:rFonts w:ascii="Palatino Linotype" w:hAnsi="Palatino Linotype"/>
          <w:color w:val="000000" w:themeColor="text1"/>
          <w:lang w:val="en-GB"/>
        </w:rPr>
        <w:t>. In particular, the E</w:t>
      </w:r>
      <w:r w:rsidR="00050134" w:rsidRPr="0071567C">
        <w:rPr>
          <w:rFonts w:ascii="Palatino Linotype" w:hAnsi="Palatino Linotype"/>
          <w:color w:val="000000" w:themeColor="text1"/>
          <w:lang w:val="en-GB"/>
        </w:rPr>
        <w:t xml:space="preserve">uropean </w:t>
      </w:r>
      <w:r w:rsidRPr="0071567C">
        <w:rPr>
          <w:rFonts w:ascii="Palatino Linotype" w:hAnsi="Palatino Linotype"/>
          <w:color w:val="000000" w:themeColor="text1"/>
          <w:lang w:val="en-GB"/>
        </w:rPr>
        <w:t>U</w:t>
      </w:r>
      <w:r w:rsidR="00050134" w:rsidRPr="0071567C">
        <w:rPr>
          <w:rFonts w:ascii="Palatino Linotype" w:hAnsi="Palatino Linotype"/>
          <w:color w:val="000000" w:themeColor="text1"/>
          <w:lang w:val="en-GB"/>
        </w:rPr>
        <w:t>nion (EU)</w:t>
      </w:r>
      <w:r w:rsidRPr="0071567C">
        <w:rPr>
          <w:rFonts w:ascii="Palatino Linotype" w:hAnsi="Palatino Linotype"/>
          <w:color w:val="000000" w:themeColor="text1"/>
          <w:lang w:val="en-GB"/>
        </w:rPr>
        <w:t>, starting with the Lisbon Strategy,</w:t>
      </w:r>
      <w:r w:rsidR="00050134" w:rsidRPr="0071567C">
        <w:rPr>
          <w:rFonts w:ascii="Palatino Linotype" w:hAnsi="Palatino Linotype"/>
          <w:color w:val="000000" w:themeColor="text1"/>
          <w:lang w:val="en-GB"/>
        </w:rPr>
        <w:t xml:space="preserve"> </w:t>
      </w:r>
      <w:r w:rsidRPr="0071567C">
        <w:rPr>
          <w:rFonts w:ascii="Palatino Linotype" w:hAnsi="Palatino Linotype"/>
          <w:color w:val="000000" w:themeColor="text1"/>
          <w:lang w:val="en-GB"/>
        </w:rPr>
        <w:t>recogniz</w:t>
      </w:r>
      <w:r w:rsidR="00050134" w:rsidRPr="0071567C">
        <w:rPr>
          <w:rFonts w:ascii="Palatino Linotype" w:hAnsi="Palatino Linotype"/>
          <w:color w:val="000000" w:themeColor="text1"/>
          <w:lang w:val="en-GB"/>
        </w:rPr>
        <w:t xml:space="preserve">ing </w:t>
      </w:r>
      <w:r w:rsidRPr="0071567C">
        <w:rPr>
          <w:rFonts w:ascii="Palatino Linotype" w:hAnsi="Palatino Linotype"/>
          <w:color w:val="000000" w:themeColor="text1"/>
          <w:lang w:val="en-GB"/>
        </w:rPr>
        <w:t xml:space="preserve">the crucial role played by professionals in the </w:t>
      </w:r>
      <w:r w:rsidR="008673D6" w:rsidRPr="0071567C">
        <w:rPr>
          <w:rFonts w:ascii="Palatino Linotype" w:hAnsi="Palatino Linotype"/>
          <w:color w:val="000000" w:themeColor="text1"/>
          <w:lang w:val="en-GB"/>
        </w:rPr>
        <w:t>internal market</w:t>
      </w:r>
      <w:r w:rsidR="006728CC" w:rsidRPr="0071567C">
        <w:rPr>
          <w:rFonts w:ascii="Palatino Linotype" w:hAnsi="Palatino Linotype"/>
          <w:color w:val="000000" w:themeColor="text1"/>
          <w:lang w:val="en-GB"/>
        </w:rPr>
        <w:t>,</w:t>
      </w:r>
      <w:r w:rsidR="000B302A" w:rsidRPr="0071567C">
        <w:rPr>
          <w:rStyle w:val="FootnoteReference"/>
          <w:rFonts w:ascii="Palatino Linotype" w:hAnsi="Palatino Linotype"/>
          <w:color w:val="000000" w:themeColor="text1"/>
          <w:lang w:val="en-GB"/>
        </w:rPr>
        <w:footnoteReference w:id="3"/>
      </w:r>
      <w:r w:rsidR="00050134" w:rsidRPr="0071567C">
        <w:rPr>
          <w:rFonts w:ascii="Palatino Linotype" w:hAnsi="Palatino Linotype"/>
          <w:color w:val="000000" w:themeColor="text1"/>
          <w:lang w:val="en-GB"/>
        </w:rPr>
        <w:t xml:space="preserve"> has begun </w:t>
      </w:r>
      <w:r w:rsidR="00CB4B1C" w:rsidRPr="0071567C">
        <w:rPr>
          <w:rFonts w:ascii="Palatino Linotype" w:hAnsi="Palatino Linotype"/>
          <w:color w:val="000000" w:themeColor="text1"/>
          <w:lang w:val="en-GB"/>
        </w:rPr>
        <w:t>to advocate the application of competition law even in the professional sector</w:t>
      </w:r>
      <w:r w:rsidR="006728CC" w:rsidRPr="0071567C">
        <w:rPr>
          <w:rFonts w:ascii="Palatino Linotype" w:hAnsi="Palatino Linotype"/>
          <w:color w:val="000000" w:themeColor="text1"/>
          <w:lang w:val="en-GB"/>
        </w:rPr>
        <w:t>.</w:t>
      </w:r>
      <w:r w:rsidR="00117FD2" w:rsidRPr="0071567C">
        <w:rPr>
          <w:rStyle w:val="FootnoteReference"/>
          <w:rFonts w:ascii="Palatino Linotype" w:hAnsi="Palatino Linotype"/>
          <w:color w:val="000000" w:themeColor="text1"/>
          <w:lang w:val="en-GB"/>
        </w:rPr>
        <w:footnoteReference w:id="4"/>
      </w:r>
      <w:r w:rsidR="00CB4B1C" w:rsidRPr="0071567C">
        <w:rPr>
          <w:rFonts w:ascii="Palatino Linotype" w:hAnsi="Palatino Linotype"/>
          <w:color w:val="000000" w:themeColor="text1"/>
          <w:lang w:val="en-GB"/>
        </w:rPr>
        <w:t xml:space="preserve"> In </w:t>
      </w:r>
      <w:r w:rsidR="00CB4B1C" w:rsidRPr="0071567C">
        <w:rPr>
          <w:rFonts w:ascii="Palatino Linotype" w:hAnsi="Palatino Linotype"/>
          <w:color w:val="000000" w:themeColor="text1"/>
          <w:lang w:val="en-GB"/>
        </w:rPr>
        <w:lastRenderedPageBreak/>
        <w:t>order to justify this economic approach, the professions ha</w:t>
      </w:r>
      <w:r w:rsidR="00246545" w:rsidRPr="0071567C">
        <w:rPr>
          <w:rFonts w:ascii="Palatino Linotype" w:hAnsi="Palatino Linotype"/>
          <w:color w:val="000000" w:themeColor="text1"/>
          <w:lang w:val="en-GB"/>
        </w:rPr>
        <w:t xml:space="preserve">ve </w:t>
      </w:r>
      <w:r w:rsidR="00CB4B1C" w:rsidRPr="0071567C">
        <w:rPr>
          <w:rFonts w:ascii="Palatino Linotype" w:hAnsi="Palatino Linotype"/>
          <w:color w:val="000000" w:themeColor="text1"/>
          <w:lang w:val="en-GB"/>
        </w:rPr>
        <w:t xml:space="preserve">been classified by European jurisprudence and </w:t>
      </w:r>
      <w:r w:rsidR="00246545" w:rsidRPr="0071567C">
        <w:rPr>
          <w:rFonts w:ascii="Palatino Linotype" w:hAnsi="Palatino Linotype"/>
          <w:color w:val="000000" w:themeColor="text1"/>
          <w:lang w:val="en-GB"/>
        </w:rPr>
        <w:t xml:space="preserve">by </w:t>
      </w:r>
      <w:r w:rsidR="00CB4B1C" w:rsidRPr="0071567C">
        <w:rPr>
          <w:rFonts w:ascii="Palatino Linotype" w:hAnsi="Palatino Linotype"/>
          <w:color w:val="000000" w:themeColor="text1"/>
          <w:lang w:val="en-GB"/>
        </w:rPr>
        <w:t xml:space="preserve">Commission decisions as undertakings. In fact, </w:t>
      </w:r>
      <w:r w:rsidR="00CB4B1C" w:rsidRPr="0071567C">
        <w:rPr>
          <w:rFonts w:ascii="Palatino Linotype" w:eastAsiaTheme="minorHAnsi" w:hAnsi="Palatino Linotype"/>
          <w:color w:val="000000" w:themeColor="text1"/>
          <w:lang w:val="en-GB" w:eastAsia="en-US"/>
        </w:rPr>
        <w:t xml:space="preserve">the EU has adopted a broad definition of undertaking, encompassing any entity that carries out economic activity – consisting of providing services on the market – </w:t>
      </w:r>
      <w:r w:rsidR="00B27E05" w:rsidRPr="0071567C">
        <w:rPr>
          <w:rFonts w:ascii="Palatino Linotype" w:eastAsiaTheme="minorHAnsi" w:hAnsi="Palatino Linotype"/>
          <w:color w:val="000000" w:themeColor="text1"/>
          <w:lang w:val="en-GB" w:eastAsia="en-US"/>
        </w:rPr>
        <w:t>regardless of</w:t>
      </w:r>
      <w:r w:rsidR="00CB4B1C" w:rsidRPr="0071567C">
        <w:rPr>
          <w:rFonts w:ascii="Palatino Linotype" w:eastAsiaTheme="minorHAnsi" w:hAnsi="Palatino Linotype"/>
          <w:color w:val="000000" w:themeColor="text1"/>
          <w:lang w:val="en-GB" w:eastAsia="en-US"/>
        </w:rPr>
        <w:t xml:space="preserve"> the particular status of the entity and the way in which it is financed</w:t>
      </w:r>
      <w:r w:rsidR="006728CC" w:rsidRPr="0071567C">
        <w:rPr>
          <w:rFonts w:ascii="Palatino Linotype" w:eastAsiaTheme="minorHAnsi" w:hAnsi="Palatino Linotype"/>
          <w:color w:val="000000" w:themeColor="text1"/>
          <w:lang w:val="en-GB" w:eastAsia="en-US"/>
        </w:rPr>
        <w:t>.</w:t>
      </w:r>
      <w:r w:rsidR="00CB4B1C" w:rsidRPr="0071567C">
        <w:rPr>
          <w:rStyle w:val="FootnoteReference"/>
          <w:rFonts w:ascii="Palatino Linotype" w:eastAsiaTheme="minorHAnsi" w:hAnsi="Palatino Linotype"/>
          <w:color w:val="000000" w:themeColor="text1"/>
          <w:lang w:val="en-GB" w:eastAsia="en-US"/>
        </w:rPr>
        <w:footnoteReference w:id="5"/>
      </w:r>
      <w:r w:rsidR="00CB4B1C" w:rsidRPr="0071567C">
        <w:rPr>
          <w:rFonts w:ascii="Palatino Linotype" w:eastAsiaTheme="minorHAnsi" w:hAnsi="Palatino Linotype"/>
          <w:color w:val="000000" w:themeColor="text1"/>
          <w:lang w:val="en-GB" w:eastAsia="en-US"/>
        </w:rPr>
        <w:t xml:space="preserve"> As a consequence,</w:t>
      </w:r>
      <w:r w:rsidR="00117FD2" w:rsidRPr="0071567C">
        <w:rPr>
          <w:rFonts w:ascii="Palatino Linotype" w:eastAsiaTheme="minorHAnsi" w:hAnsi="Palatino Linotype"/>
          <w:color w:val="000000" w:themeColor="text1"/>
          <w:lang w:val="en-GB" w:eastAsia="en-US"/>
        </w:rPr>
        <w:t xml:space="preserve"> the</w:t>
      </w:r>
      <w:r w:rsidR="00CB4B1C" w:rsidRPr="0071567C">
        <w:rPr>
          <w:rFonts w:ascii="Palatino Linotype" w:eastAsiaTheme="minorHAnsi" w:hAnsi="Palatino Linotype"/>
          <w:color w:val="000000" w:themeColor="text1"/>
          <w:lang w:val="en-GB" w:eastAsia="en-US"/>
        </w:rPr>
        <w:t xml:space="preserve"> </w:t>
      </w:r>
      <w:r w:rsidR="00117FD2" w:rsidRPr="0071567C">
        <w:rPr>
          <w:rFonts w:ascii="Palatino Linotype" w:eastAsiaTheme="minorHAnsi" w:hAnsi="Palatino Linotype"/>
          <w:color w:val="000000" w:themeColor="text1"/>
          <w:lang w:val="en-GB" w:eastAsia="en-US"/>
        </w:rPr>
        <w:t xml:space="preserve">peculiar attributes </w:t>
      </w:r>
      <w:r w:rsidR="00B27E05" w:rsidRPr="0071567C">
        <w:rPr>
          <w:rFonts w:ascii="Palatino Linotype" w:eastAsiaTheme="minorHAnsi" w:hAnsi="Palatino Linotype"/>
          <w:color w:val="000000" w:themeColor="text1"/>
          <w:lang w:val="en-GB" w:eastAsia="en-US"/>
        </w:rPr>
        <w:t xml:space="preserve">which </w:t>
      </w:r>
      <w:r w:rsidR="00117FD2" w:rsidRPr="0071567C">
        <w:rPr>
          <w:rFonts w:ascii="Palatino Linotype" w:eastAsiaTheme="minorHAnsi" w:hAnsi="Palatino Linotype"/>
          <w:color w:val="000000" w:themeColor="text1"/>
          <w:lang w:val="en-GB" w:eastAsia="en-US"/>
        </w:rPr>
        <w:t>characterize the intellectual profession</w:t>
      </w:r>
      <w:r w:rsidR="006728CC" w:rsidRPr="0071567C">
        <w:rPr>
          <w:rFonts w:ascii="Palatino Linotype" w:eastAsiaTheme="minorHAnsi" w:hAnsi="Palatino Linotype"/>
          <w:color w:val="000000" w:themeColor="text1"/>
          <w:lang w:val="en-GB" w:eastAsia="en-US"/>
        </w:rPr>
        <w:t>s</w:t>
      </w:r>
      <w:r w:rsidR="00117FD2" w:rsidRPr="0071567C">
        <w:rPr>
          <w:rFonts w:ascii="Palatino Linotype" w:eastAsiaTheme="minorHAnsi" w:hAnsi="Palatino Linotype"/>
          <w:color w:val="000000" w:themeColor="text1"/>
          <w:lang w:val="en-GB" w:eastAsia="en-US"/>
        </w:rPr>
        <w:t xml:space="preserve"> (e.g. the intellectual, technical or specialized nature</w:t>
      </w:r>
      <w:r w:rsidR="008105BF" w:rsidRPr="0071567C">
        <w:rPr>
          <w:rFonts w:ascii="Palatino Linotype" w:eastAsiaTheme="minorHAnsi" w:hAnsi="Palatino Linotype"/>
          <w:color w:val="000000" w:themeColor="text1"/>
          <w:lang w:val="en-GB" w:eastAsia="en-US"/>
        </w:rPr>
        <w:t xml:space="preserve"> and </w:t>
      </w:r>
      <w:r w:rsidR="00117FD2" w:rsidRPr="0071567C">
        <w:rPr>
          <w:rFonts w:ascii="Palatino Linotype" w:eastAsiaTheme="minorHAnsi" w:hAnsi="Palatino Linotype"/>
          <w:color w:val="000000" w:themeColor="text1"/>
          <w:lang w:val="en-GB" w:eastAsia="en-US"/>
        </w:rPr>
        <w:t xml:space="preserve">the personal and direct basis on which </w:t>
      </w:r>
      <w:r w:rsidR="008105BF" w:rsidRPr="0071567C">
        <w:rPr>
          <w:rFonts w:ascii="Palatino Linotype" w:eastAsiaTheme="minorHAnsi" w:hAnsi="Palatino Linotype"/>
          <w:color w:val="000000" w:themeColor="text1"/>
          <w:lang w:val="en-GB" w:eastAsia="en-US"/>
        </w:rPr>
        <w:t xml:space="preserve">the services </w:t>
      </w:r>
      <w:r w:rsidR="00117FD2" w:rsidRPr="0071567C">
        <w:rPr>
          <w:rFonts w:ascii="Palatino Linotype" w:eastAsiaTheme="minorHAnsi" w:hAnsi="Palatino Linotype"/>
          <w:color w:val="000000" w:themeColor="text1"/>
          <w:lang w:val="en-GB" w:eastAsia="en-US"/>
        </w:rPr>
        <w:t>are delivered)</w:t>
      </w:r>
      <w:r w:rsidR="008673D6" w:rsidRPr="0071567C">
        <w:rPr>
          <w:rFonts w:ascii="Palatino Linotype" w:eastAsiaTheme="minorHAnsi" w:hAnsi="Palatino Linotype"/>
          <w:color w:val="000000" w:themeColor="text1"/>
          <w:lang w:val="en-GB" w:eastAsia="en-US"/>
        </w:rPr>
        <w:t>,</w:t>
      </w:r>
      <w:r w:rsidR="00117FD2" w:rsidRPr="0071567C">
        <w:rPr>
          <w:rStyle w:val="FootnoteReference"/>
          <w:rFonts w:ascii="Palatino Linotype" w:eastAsiaTheme="minorHAnsi" w:hAnsi="Palatino Linotype"/>
          <w:color w:val="000000" w:themeColor="text1"/>
          <w:lang w:val="en-GB" w:eastAsia="en-US"/>
        </w:rPr>
        <w:footnoteReference w:id="6"/>
      </w:r>
      <w:r w:rsidR="00117FD2" w:rsidRPr="0071567C">
        <w:rPr>
          <w:rFonts w:ascii="Palatino Linotype" w:eastAsiaTheme="minorHAnsi" w:hAnsi="Palatino Linotype"/>
          <w:color w:val="000000" w:themeColor="text1"/>
          <w:lang w:val="en-GB" w:eastAsia="en-US"/>
        </w:rPr>
        <w:t xml:space="preserve"> </w:t>
      </w:r>
      <w:r w:rsidR="008105BF" w:rsidRPr="0071567C">
        <w:rPr>
          <w:rFonts w:ascii="Palatino Linotype" w:eastAsiaTheme="minorHAnsi" w:hAnsi="Palatino Linotype"/>
          <w:color w:val="000000" w:themeColor="text1"/>
          <w:lang w:val="en-GB" w:eastAsia="en-US"/>
        </w:rPr>
        <w:t>as well as</w:t>
      </w:r>
      <w:r w:rsidR="00117FD2" w:rsidRPr="0071567C">
        <w:rPr>
          <w:rFonts w:ascii="Palatino Linotype" w:eastAsiaTheme="minorHAnsi" w:hAnsi="Palatino Linotype"/>
          <w:color w:val="000000" w:themeColor="text1"/>
          <w:lang w:val="en-GB" w:eastAsia="en-US"/>
        </w:rPr>
        <w:t xml:space="preserve"> the circumstance that they are classified as regulated profession in several </w:t>
      </w:r>
      <w:r w:rsidR="006728CC" w:rsidRPr="0071567C">
        <w:rPr>
          <w:rFonts w:ascii="Palatino Linotype" w:eastAsiaTheme="minorHAnsi" w:hAnsi="Palatino Linotype"/>
          <w:color w:val="000000" w:themeColor="text1"/>
          <w:lang w:val="en-GB" w:eastAsia="en-US"/>
        </w:rPr>
        <w:t>member states</w:t>
      </w:r>
      <w:r w:rsidR="00117FD2" w:rsidRPr="0071567C">
        <w:rPr>
          <w:rFonts w:ascii="Palatino Linotype" w:eastAsiaTheme="minorHAnsi" w:hAnsi="Palatino Linotype"/>
          <w:color w:val="000000" w:themeColor="text1"/>
          <w:lang w:val="en-GB" w:eastAsia="en-US"/>
        </w:rPr>
        <w:t xml:space="preserve">, </w:t>
      </w:r>
      <w:r w:rsidR="00B27E05" w:rsidRPr="0071567C">
        <w:rPr>
          <w:rFonts w:ascii="Palatino Linotype" w:eastAsiaTheme="minorHAnsi" w:hAnsi="Palatino Linotype"/>
          <w:color w:val="000000" w:themeColor="text1"/>
          <w:lang w:val="en-GB" w:eastAsia="en-US"/>
        </w:rPr>
        <w:t>cannot be deemed as</w:t>
      </w:r>
      <w:r w:rsidR="00117FD2" w:rsidRPr="0071567C">
        <w:rPr>
          <w:rFonts w:ascii="Palatino Linotype" w:eastAsiaTheme="minorHAnsi" w:hAnsi="Palatino Linotype"/>
          <w:color w:val="000000" w:themeColor="text1"/>
          <w:lang w:val="en-GB" w:eastAsia="en-US"/>
        </w:rPr>
        <w:t xml:space="preserve"> obstacles </w:t>
      </w:r>
      <w:r w:rsidR="00FE56B9" w:rsidRPr="0071567C">
        <w:rPr>
          <w:rFonts w:ascii="Palatino Linotype" w:eastAsiaTheme="minorHAnsi" w:hAnsi="Palatino Linotype"/>
          <w:color w:val="000000" w:themeColor="text1"/>
          <w:lang w:val="en-GB" w:eastAsia="en-US"/>
        </w:rPr>
        <w:t>to classify</w:t>
      </w:r>
      <w:r w:rsidR="006728CC" w:rsidRPr="0071567C">
        <w:rPr>
          <w:rFonts w:ascii="Palatino Linotype" w:eastAsiaTheme="minorHAnsi" w:hAnsi="Palatino Linotype"/>
          <w:color w:val="000000" w:themeColor="text1"/>
          <w:lang w:val="en-GB" w:eastAsia="en-US"/>
        </w:rPr>
        <w:t>ing</w:t>
      </w:r>
      <w:r w:rsidR="00117FD2" w:rsidRPr="0071567C">
        <w:rPr>
          <w:rFonts w:ascii="Palatino Linotype" w:eastAsiaTheme="minorHAnsi" w:hAnsi="Palatino Linotype"/>
          <w:color w:val="000000" w:themeColor="text1"/>
          <w:lang w:val="en-GB" w:eastAsia="en-US"/>
        </w:rPr>
        <w:t xml:space="preserve"> lawyers as business. </w:t>
      </w:r>
      <w:r w:rsidR="00A53F3B" w:rsidRPr="0071567C">
        <w:rPr>
          <w:rFonts w:ascii="Palatino Linotype" w:eastAsia="MS Mincho" w:hAnsi="Palatino Linotype"/>
          <w:color w:val="000000" w:themeColor="text1"/>
          <w:lang w:val="en-GB"/>
        </w:rPr>
        <w:t xml:space="preserve">In accordance with this innovative </w:t>
      </w:r>
      <w:r w:rsidR="00B27E05" w:rsidRPr="0071567C">
        <w:rPr>
          <w:rFonts w:ascii="Palatino Linotype" w:eastAsia="MS Mincho" w:hAnsi="Palatino Linotype"/>
          <w:color w:val="000000" w:themeColor="text1"/>
          <w:lang w:val="en-GB"/>
        </w:rPr>
        <w:t>view</w:t>
      </w:r>
      <w:r w:rsidR="00A53F3B" w:rsidRPr="0071567C">
        <w:rPr>
          <w:rFonts w:ascii="Palatino Linotype" w:hAnsi="Palatino Linotype"/>
          <w:color w:val="000000" w:themeColor="text1"/>
          <w:lang w:val="en-GB"/>
        </w:rPr>
        <w:t xml:space="preserve">, the EU Commission has introduced rigorous discussions about the justifications for professional national regulation, affecting both entry requirements </w:t>
      </w:r>
      <w:r w:rsidR="00B27E05" w:rsidRPr="0071567C">
        <w:rPr>
          <w:rFonts w:ascii="Palatino Linotype" w:hAnsi="Palatino Linotype"/>
          <w:color w:val="000000" w:themeColor="text1"/>
          <w:lang w:val="en-GB"/>
        </w:rPr>
        <w:t>and</w:t>
      </w:r>
      <w:r w:rsidR="00A53F3B" w:rsidRPr="0071567C">
        <w:rPr>
          <w:rFonts w:ascii="Palatino Linotype" w:hAnsi="Palatino Linotype"/>
          <w:color w:val="000000" w:themeColor="text1"/>
          <w:lang w:val="en-GB"/>
        </w:rPr>
        <w:t xml:space="preserve"> the exercise of the service, and </w:t>
      </w:r>
      <w:r w:rsidR="008673D6" w:rsidRPr="0071567C">
        <w:rPr>
          <w:rFonts w:ascii="Palatino Linotype" w:hAnsi="Palatino Linotype"/>
          <w:color w:val="000000" w:themeColor="text1"/>
          <w:lang w:val="en-GB"/>
        </w:rPr>
        <w:t xml:space="preserve">member states have been </w:t>
      </w:r>
      <w:r w:rsidR="0022697D" w:rsidRPr="0071567C">
        <w:rPr>
          <w:rFonts w:ascii="Palatino Linotype" w:hAnsi="Palatino Linotype"/>
          <w:color w:val="000000" w:themeColor="text1"/>
          <w:lang w:val="en-GB"/>
        </w:rPr>
        <w:t>required</w:t>
      </w:r>
      <w:r w:rsidR="00A53F3B" w:rsidRPr="0071567C">
        <w:rPr>
          <w:rFonts w:ascii="Palatino Linotype" w:hAnsi="Palatino Linotype"/>
          <w:color w:val="000000" w:themeColor="text1"/>
          <w:lang w:val="en-GB"/>
        </w:rPr>
        <w:t xml:space="preserve"> to revisit their professional </w:t>
      </w:r>
      <w:r w:rsidR="00A53F3B" w:rsidRPr="0071567C">
        <w:rPr>
          <w:rFonts w:ascii="Palatino Linotype" w:hAnsi="Palatino Linotype"/>
          <w:color w:val="000000" w:themeColor="text1"/>
          <w:lang w:val="en-GB"/>
        </w:rPr>
        <w:lastRenderedPageBreak/>
        <w:t>rules, according to the so</w:t>
      </w:r>
      <w:r w:rsidR="005E3FA5" w:rsidRPr="0071567C">
        <w:rPr>
          <w:rFonts w:ascii="Palatino Linotype" w:hAnsi="Palatino Linotype"/>
          <w:color w:val="000000" w:themeColor="text1"/>
          <w:lang w:val="en-GB"/>
        </w:rPr>
        <w:t>-</w:t>
      </w:r>
      <w:r w:rsidR="00A53F3B" w:rsidRPr="0071567C">
        <w:rPr>
          <w:rFonts w:ascii="Palatino Linotype" w:hAnsi="Palatino Linotype"/>
          <w:color w:val="000000" w:themeColor="text1"/>
          <w:lang w:val="en-GB"/>
        </w:rPr>
        <w:t xml:space="preserve">called </w:t>
      </w:r>
      <w:r w:rsidR="00801BA3" w:rsidRPr="0071567C">
        <w:rPr>
          <w:rFonts w:ascii="Palatino Linotype" w:hAnsi="Palatino Linotype"/>
          <w:color w:val="000000" w:themeColor="text1"/>
          <w:lang w:val="en-GB"/>
        </w:rPr>
        <w:t>‘</w:t>
      </w:r>
      <w:r w:rsidR="00A53F3B" w:rsidRPr="0071567C">
        <w:rPr>
          <w:rFonts w:ascii="Palatino Linotype" w:hAnsi="Palatino Linotype"/>
          <w:color w:val="000000" w:themeColor="text1"/>
          <w:lang w:val="en-GB"/>
        </w:rPr>
        <w:t>proportionality test</w:t>
      </w:r>
      <w:r w:rsidR="00801BA3" w:rsidRPr="0071567C">
        <w:rPr>
          <w:rFonts w:ascii="Palatino Linotype" w:hAnsi="Palatino Linotype"/>
          <w:color w:val="000000" w:themeColor="text1"/>
          <w:lang w:val="en-GB"/>
        </w:rPr>
        <w:t>’</w:t>
      </w:r>
      <w:r w:rsidR="00A53F3B" w:rsidRPr="0071567C">
        <w:rPr>
          <w:rFonts w:ascii="Palatino Linotype" w:hAnsi="Palatino Linotype"/>
          <w:color w:val="000000" w:themeColor="text1"/>
          <w:lang w:val="en-GB"/>
        </w:rPr>
        <w:t>, in order to maintain only restriction</w:t>
      </w:r>
      <w:r w:rsidR="008673D6" w:rsidRPr="0071567C">
        <w:rPr>
          <w:rFonts w:ascii="Palatino Linotype" w:hAnsi="Palatino Linotype"/>
          <w:color w:val="000000" w:themeColor="text1"/>
          <w:lang w:val="en-GB"/>
        </w:rPr>
        <w:t>s</w:t>
      </w:r>
      <w:r w:rsidR="00A53F3B" w:rsidRPr="0071567C">
        <w:rPr>
          <w:rFonts w:ascii="Palatino Linotype" w:hAnsi="Palatino Linotype"/>
          <w:color w:val="000000" w:themeColor="text1"/>
          <w:lang w:val="en-GB"/>
        </w:rPr>
        <w:t xml:space="preserve"> that are justified on public interest grounds. </w:t>
      </w:r>
      <w:r w:rsidR="001B025D" w:rsidRPr="0071567C">
        <w:rPr>
          <w:rFonts w:ascii="Palatino Linotype" w:hAnsi="Palatino Linotype"/>
          <w:color w:val="000000" w:themeColor="text1"/>
          <w:lang w:val="en-GB"/>
        </w:rPr>
        <w:t xml:space="preserve">The European call </w:t>
      </w:r>
      <w:r w:rsidR="008673D6" w:rsidRPr="0071567C">
        <w:rPr>
          <w:rFonts w:ascii="Palatino Linotype" w:hAnsi="Palatino Linotype"/>
          <w:color w:val="000000" w:themeColor="text1"/>
          <w:lang w:val="en-GB"/>
        </w:rPr>
        <w:t>for</w:t>
      </w:r>
      <w:r w:rsidR="001B025D" w:rsidRPr="0071567C">
        <w:rPr>
          <w:rFonts w:ascii="Palatino Linotype" w:hAnsi="Palatino Linotype"/>
          <w:color w:val="000000" w:themeColor="text1"/>
          <w:lang w:val="en-GB"/>
        </w:rPr>
        <w:t xml:space="preserve"> ‘</w:t>
      </w:r>
      <w:r w:rsidR="001B025D" w:rsidRPr="0071567C">
        <w:rPr>
          <w:rFonts w:ascii="Palatino Linotype" w:hAnsi="Palatino Linotype"/>
          <w:i/>
          <w:color w:val="000000" w:themeColor="text1"/>
          <w:lang w:val="en-GB"/>
        </w:rPr>
        <w:t>better regulation’</w:t>
      </w:r>
      <w:r w:rsidR="001B025D" w:rsidRPr="0071567C">
        <w:rPr>
          <w:rFonts w:ascii="Palatino Linotype" w:hAnsi="Palatino Linotype"/>
          <w:color w:val="000000" w:themeColor="text1"/>
          <w:lang w:val="en-GB"/>
        </w:rPr>
        <w:t xml:space="preserve"> has revitalized the economic theories surrounding professional regulation</w:t>
      </w:r>
      <w:r w:rsidR="00394138" w:rsidRPr="0071567C">
        <w:rPr>
          <w:rFonts w:ascii="Palatino Linotype" w:hAnsi="Palatino Linotype"/>
          <w:color w:val="000000" w:themeColor="text1"/>
          <w:lang w:val="en-GB"/>
        </w:rPr>
        <w:t xml:space="preserve">, and the idea that </w:t>
      </w:r>
      <w:r w:rsidR="001B025D" w:rsidRPr="0071567C">
        <w:rPr>
          <w:rFonts w:ascii="Palatino Linotype" w:hAnsi="Palatino Linotype"/>
          <w:color w:val="000000" w:themeColor="text1"/>
          <w:lang w:val="en-GB"/>
        </w:rPr>
        <w:t xml:space="preserve">some </w:t>
      </w:r>
      <w:r w:rsidR="001B025D" w:rsidRPr="0071567C">
        <w:rPr>
          <w:rFonts w:ascii="Palatino Linotype" w:eastAsiaTheme="minorHAnsi" w:hAnsi="Palatino Linotype"/>
          <w:color w:val="000000" w:themeColor="text1"/>
          <w:lang w:val="en-GB" w:eastAsia="en-US"/>
        </w:rPr>
        <w:t xml:space="preserve">pro-competitive mechanisms </w:t>
      </w:r>
      <w:r w:rsidR="00394138" w:rsidRPr="0071567C">
        <w:rPr>
          <w:rFonts w:ascii="Palatino Linotype" w:eastAsiaTheme="minorHAnsi" w:hAnsi="Palatino Linotype"/>
          <w:color w:val="000000" w:themeColor="text1"/>
          <w:lang w:val="en-GB" w:eastAsia="en-US"/>
        </w:rPr>
        <w:t>can</w:t>
      </w:r>
      <w:r w:rsidR="001B025D" w:rsidRPr="0071567C">
        <w:rPr>
          <w:rFonts w:ascii="Palatino Linotype" w:eastAsiaTheme="minorHAnsi" w:hAnsi="Palatino Linotype"/>
          <w:color w:val="000000" w:themeColor="text1"/>
          <w:lang w:val="en-GB" w:eastAsia="en-US"/>
        </w:rPr>
        <w:t xml:space="preserve"> be implemented without detriment to the quality of professional services, </w:t>
      </w:r>
      <w:r w:rsidR="00C97DCF" w:rsidRPr="0071567C">
        <w:rPr>
          <w:rFonts w:ascii="Palatino Linotype" w:eastAsiaTheme="minorHAnsi" w:hAnsi="Palatino Linotype"/>
          <w:color w:val="000000" w:themeColor="text1"/>
          <w:lang w:val="en-GB" w:eastAsia="en-US"/>
        </w:rPr>
        <w:t xml:space="preserve">even if </w:t>
      </w:r>
      <w:r w:rsidR="001B025D" w:rsidRPr="0071567C">
        <w:rPr>
          <w:rFonts w:ascii="Palatino Linotype" w:eastAsiaTheme="minorHAnsi" w:hAnsi="Palatino Linotype"/>
          <w:color w:val="000000" w:themeColor="text1"/>
          <w:lang w:val="en-GB" w:eastAsia="en-US"/>
        </w:rPr>
        <w:t>in some cases the protection</w:t>
      </w:r>
      <w:r w:rsidR="00394138" w:rsidRPr="0071567C">
        <w:rPr>
          <w:rFonts w:ascii="Palatino Linotype" w:eastAsiaTheme="minorHAnsi" w:hAnsi="Palatino Linotype"/>
          <w:color w:val="000000" w:themeColor="text1"/>
          <w:lang w:val="en-GB" w:eastAsia="en-US"/>
        </w:rPr>
        <w:t xml:space="preserve"> of clients and </w:t>
      </w:r>
      <w:r w:rsidR="0071567C" w:rsidRPr="0071567C">
        <w:rPr>
          <w:rFonts w:ascii="Palatino Linotype" w:eastAsiaTheme="minorHAnsi" w:hAnsi="Palatino Linotype"/>
          <w:color w:val="000000" w:themeColor="text1"/>
          <w:lang w:val="en-GB" w:eastAsia="en-US"/>
        </w:rPr>
        <w:t>collectively</w:t>
      </w:r>
      <w:r w:rsidR="001B025D" w:rsidRPr="0071567C">
        <w:rPr>
          <w:rFonts w:ascii="Palatino Linotype" w:eastAsiaTheme="minorHAnsi" w:hAnsi="Palatino Linotype"/>
          <w:color w:val="000000" w:themeColor="text1"/>
          <w:lang w:val="en-GB" w:eastAsia="en-US"/>
        </w:rPr>
        <w:t xml:space="preserve"> as well as the good governance of the profession </w:t>
      </w:r>
      <w:r w:rsidR="00394138" w:rsidRPr="0071567C">
        <w:rPr>
          <w:rFonts w:ascii="Palatino Linotype" w:eastAsiaTheme="minorHAnsi" w:hAnsi="Palatino Linotype"/>
          <w:color w:val="000000" w:themeColor="text1"/>
          <w:lang w:val="en-GB" w:eastAsia="en-US"/>
        </w:rPr>
        <w:t>may</w:t>
      </w:r>
      <w:r w:rsidR="001B025D" w:rsidRPr="0071567C">
        <w:rPr>
          <w:rFonts w:ascii="Palatino Linotype" w:eastAsiaTheme="minorHAnsi" w:hAnsi="Palatino Linotype"/>
          <w:color w:val="000000" w:themeColor="text1"/>
          <w:lang w:val="en-GB" w:eastAsia="en-US"/>
        </w:rPr>
        <w:t xml:space="preserve"> impose the maintenance of some traditional restrictive rules. </w:t>
      </w:r>
      <w:r w:rsidR="009F0B7B" w:rsidRPr="0071567C">
        <w:rPr>
          <w:rFonts w:ascii="Palatino Linotype" w:eastAsiaTheme="minorHAnsi" w:hAnsi="Palatino Linotype"/>
          <w:color w:val="000000" w:themeColor="text1"/>
          <w:lang w:val="en-GB" w:eastAsia="en-US"/>
        </w:rPr>
        <w:t xml:space="preserve">In </w:t>
      </w:r>
      <w:r w:rsidR="00C97DCF" w:rsidRPr="0071567C">
        <w:rPr>
          <w:rFonts w:ascii="Palatino Linotype" w:eastAsiaTheme="minorHAnsi" w:hAnsi="Palatino Linotype"/>
          <w:color w:val="000000" w:themeColor="text1"/>
          <w:lang w:val="en-GB" w:eastAsia="en-US"/>
        </w:rPr>
        <w:t>fact</w:t>
      </w:r>
      <w:r w:rsidR="009F0B7B" w:rsidRPr="0071567C">
        <w:rPr>
          <w:rFonts w:ascii="Palatino Linotype" w:eastAsiaTheme="minorHAnsi" w:hAnsi="Palatino Linotype"/>
          <w:color w:val="000000" w:themeColor="text1"/>
          <w:lang w:val="en-GB" w:eastAsia="en-US"/>
        </w:rPr>
        <w:t>, a</w:t>
      </w:r>
      <w:r w:rsidR="00D90974" w:rsidRPr="0071567C">
        <w:rPr>
          <w:rFonts w:ascii="Palatino Linotype" w:eastAsiaTheme="minorHAnsi" w:hAnsi="Palatino Linotype"/>
          <w:color w:val="000000" w:themeColor="text1"/>
          <w:lang w:val="en-GB" w:eastAsia="en-US"/>
        </w:rPr>
        <w:t xml:space="preserve">ccording to </w:t>
      </w:r>
      <w:r w:rsidR="005E63D4" w:rsidRPr="0071567C">
        <w:rPr>
          <w:rFonts w:ascii="Palatino Linotype" w:eastAsiaTheme="minorHAnsi" w:hAnsi="Palatino Linotype"/>
          <w:i/>
          <w:color w:val="000000" w:themeColor="text1"/>
          <w:lang w:val="en-GB" w:eastAsia="en-US"/>
        </w:rPr>
        <w:t>public interest theory</w:t>
      </w:r>
      <w:r w:rsidR="005E63D4" w:rsidRPr="0071567C">
        <w:rPr>
          <w:rFonts w:ascii="Palatino Linotype" w:eastAsiaTheme="minorHAnsi" w:hAnsi="Palatino Linotype"/>
          <w:color w:val="000000" w:themeColor="text1"/>
          <w:lang w:val="en-GB" w:eastAsia="en-US"/>
        </w:rPr>
        <w:t xml:space="preserve">, </w:t>
      </w:r>
      <w:r w:rsidR="001D5536" w:rsidRPr="0071567C">
        <w:rPr>
          <w:rFonts w:ascii="Palatino Linotype" w:hAnsi="Palatino Linotype"/>
          <w:color w:val="000000" w:themeColor="text1"/>
          <w:lang w:val="en-GB"/>
        </w:rPr>
        <w:t xml:space="preserve">certain forms of regulation might be considered as </w:t>
      </w:r>
      <w:r w:rsidR="0068407C" w:rsidRPr="0071567C">
        <w:rPr>
          <w:rFonts w:ascii="Palatino Linotype" w:hAnsi="Palatino Linotype"/>
          <w:color w:val="000000" w:themeColor="text1"/>
          <w:lang w:val="en-GB"/>
        </w:rPr>
        <w:t>a remedy</w:t>
      </w:r>
      <w:r w:rsidR="001D5536" w:rsidRPr="0071567C">
        <w:rPr>
          <w:rFonts w:ascii="Palatino Linotype" w:hAnsi="Palatino Linotype"/>
          <w:color w:val="000000" w:themeColor="text1"/>
          <w:lang w:val="en-GB"/>
        </w:rPr>
        <w:t xml:space="preserve"> </w:t>
      </w:r>
      <w:r w:rsidR="005D1743" w:rsidRPr="0071567C">
        <w:rPr>
          <w:rFonts w:ascii="Palatino Linotype" w:hAnsi="Palatino Linotype"/>
          <w:color w:val="000000" w:themeColor="text1"/>
          <w:lang w:val="en-GB"/>
        </w:rPr>
        <w:t xml:space="preserve">for </w:t>
      </w:r>
      <w:r w:rsidR="001D5536" w:rsidRPr="0071567C">
        <w:rPr>
          <w:rFonts w:ascii="Palatino Linotype" w:hAnsi="Palatino Linotype"/>
          <w:color w:val="000000" w:themeColor="text1"/>
          <w:lang w:val="en-GB"/>
        </w:rPr>
        <w:t>market failures arising from the particular features of the legal service markets.</w:t>
      </w:r>
      <w:r w:rsidR="00C73149" w:rsidRPr="0071567C">
        <w:rPr>
          <w:rFonts w:ascii="Palatino Linotype" w:hAnsi="Palatino Linotype"/>
          <w:color w:val="000000" w:themeColor="text1"/>
          <w:lang w:val="en-GB"/>
        </w:rPr>
        <w:t xml:space="preserve"> In particular, </w:t>
      </w:r>
      <w:r w:rsidR="00C97DCF" w:rsidRPr="0071567C">
        <w:rPr>
          <w:rFonts w:ascii="Palatino Linotype" w:hAnsi="Palatino Linotype"/>
          <w:color w:val="000000" w:themeColor="text1"/>
          <w:lang w:val="en-GB"/>
        </w:rPr>
        <w:t>the</w:t>
      </w:r>
      <w:r w:rsidR="00C73149" w:rsidRPr="0071567C">
        <w:rPr>
          <w:rFonts w:ascii="Palatino Linotype" w:hAnsi="Palatino Linotype"/>
          <w:color w:val="000000" w:themeColor="text1"/>
          <w:lang w:val="en-GB"/>
        </w:rPr>
        <w:t xml:space="preserve"> lawyer-client relationship</w:t>
      </w:r>
      <w:r w:rsidR="00C97DCF" w:rsidRPr="0071567C">
        <w:rPr>
          <w:rFonts w:ascii="Palatino Linotype" w:hAnsi="Palatino Linotype"/>
          <w:color w:val="000000" w:themeColor="text1"/>
          <w:lang w:val="en-GB"/>
        </w:rPr>
        <w:t xml:space="preserve"> is often characterize</w:t>
      </w:r>
      <w:r w:rsidR="009C280A" w:rsidRPr="0071567C">
        <w:rPr>
          <w:rFonts w:ascii="Palatino Linotype" w:hAnsi="Palatino Linotype"/>
          <w:color w:val="000000" w:themeColor="text1"/>
          <w:lang w:val="en-GB"/>
        </w:rPr>
        <w:t>d</w:t>
      </w:r>
      <w:r w:rsidR="00C97DCF" w:rsidRPr="0071567C">
        <w:rPr>
          <w:rFonts w:ascii="Palatino Linotype" w:hAnsi="Palatino Linotype"/>
          <w:color w:val="000000" w:themeColor="text1"/>
          <w:lang w:val="en-GB"/>
        </w:rPr>
        <w:t xml:space="preserve"> by information asymmetry</w:t>
      </w:r>
      <w:r w:rsidR="005D1743" w:rsidRPr="0071567C">
        <w:rPr>
          <w:rFonts w:ascii="Palatino Linotype" w:hAnsi="Palatino Linotype"/>
          <w:color w:val="000000" w:themeColor="text1"/>
          <w:lang w:val="en-GB"/>
        </w:rPr>
        <w:t>:</w:t>
      </w:r>
      <w:r w:rsidR="00C73149" w:rsidRPr="0071567C">
        <w:rPr>
          <w:rStyle w:val="FootnoteReference"/>
          <w:rFonts w:ascii="Palatino Linotype" w:hAnsi="Palatino Linotype"/>
          <w:color w:val="000000" w:themeColor="text1"/>
          <w:lang w:val="en-GB"/>
        </w:rPr>
        <w:footnoteReference w:id="7"/>
      </w:r>
      <w:r w:rsidR="00C73149" w:rsidRPr="0071567C">
        <w:rPr>
          <w:rFonts w:ascii="Palatino Linotype" w:hAnsi="Palatino Linotype"/>
          <w:color w:val="000000" w:themeColor="text1"/>
          <w:lang w:val="en-GB"/>
        </w:rPr>
        <w:t xml:space="preserve"> the </w:t>
      </w:r>
      <w:r w:rsidR="00C73149" w:rsidRPr="0071567C">
        <w:rPr>
          <w:rFonts w:ascii="Palatino Linotype" w:hAnsi="Palatino Linotype"/>
          <w:lang w:val="en-GB"/>
        </w:rPr>
        <w:t xml:space="preserve">professional is always aware </w:t>
      </w:r>
      <w:r w:rsidR="005D1743" w:rsidRPr="0071567C">
        <w:rPr>
          <w:rFonts w:ascii="Palatino Linotype" w:hAnsi="Palatino Linotype"/>
          <w:lang w:val="en-GB"/>
        </w:rPr>
        <w:t xml:space="preserve">of </w:t>
      </w:r>
      <w:r w:rsidR="00C73149" w:rsidRPr="0071567C">
        <w:rPr>
          <w:rFonts w:ascii="Palatino Linotype" w:hAnsi="Palatino Linotype"/>
          <w:lang w:val="en-GB"/>
        </w:rPr>
        <w:t>the quality of the service</w:t>
      </w:r>
      <w:r w:rsidR="005D1743" w:rsidRPr="0071567C">
        <w:rPr>
          <w:rFonts w:ascii="Palatino Linotype" w:hAnsi="Palatino Linotype"/>
          <w:lang w:val="en-GB"/>
        </w:rPr>
        <w:t xml:space="preserve"> being</w:t>
      </w:r>
      <w:r w:rsidR="00C73149" w:rsidRPr="0071567C">
        <w:rPr>
          <w:rFonts w:ascii="Palatino Linotype" w:hAnsi="Palatino Linotype"/>
          <w:lang w:val="en-GB"/>
        </w:rPr>
        <w:t xml:space="preserve"> proposed or delivered</w:t>
      </w:r>
      <w:r w:rsidR="00C97DCF" w:rsidRPr="0071567C">
        <w:rPr>
          <w:rFonts w:ascii="Palatino Linotype" w:hAnsi="Palatino Linotype"/>
          <w:lang w:val="en-GB"/>
        </w:rPr>
        <w:t>;</w:t>
      </w:r>
      <w:r w:rsidR="00C73149" w:rsidRPr="0071567C">
        <w:rPr>
          <w:rFonts w:ascii="Palatino Linotype" w:hAnsi="Palatino Linotype"/>
          <w:lang w:val="en-GB"/>
        </w:rPr>
        <w:t xml:space="preserve"> the client, </w:t>
      </w:r>
      <w:r w:rsidR="005D1743" w:rsidRPr="0071567C">
        <w:rPr>
          <w:rFonts w:ascii="Palatino Linotype" w:hAnsi="Palatino Linotype"/>
          <w:lang w:val="en-GB"/>
        </w:rPr>
        <w:t>however</w:t>
      </w:r>
      <w:r w:rsidR="00C73149" w:rsidRPr="0071567C">
        <w:rPr>
          <w:rFonts w:ascii="Palatino Linotype" w:hAnsi="Palatino Linotype"/>
          <w:lang w:val="en-GB"/>
        </w:rPr>
        <w:t xml:space="preserve">, </w:t>
      </w:r>
      <w:r w:rsidR="005D1743" w:rsidRPr="0071567C">
        <w:rPr>
          <w:rFonts w:ascii="Palatino Linotype" w:hAnsi="Palatino Linotype"/>
          <w:lang w:val="en-GB"/>
        </w:rPr>
        <w:t xml:space="preserve">has to </w:t>
      </w:r>
      <w:r w:rsidR="00C73149" w:rsidRPr="0071567C">
        <w:rPr>
          <w:rFonts w:ascii="Palatino Linotype" w:hAnsi="Palatino Linotype"/>
          <w:lang w:val="en-GB"/>
        </w:rPr>
        <w:t>rel</w:t>
      </w:r>
      <w:r w:rsidR="00C97DCF" w:rsidRPr="0071567C">
        <w:rPr>
          <w:rFonts w:ascii="Palatino Linotype" w:hAnsi="Palatino Linotype"/>
          <w:lang w:val="en-GB"/>
        </w:rPr>
        <w:t>y</w:t>
      </w:r>
      <w:r w:rsidR="00C73149" w:rsidRPr="0071567C">
        <w:rPr>
          <w:rFonts w:ascii="Palatino Linotype" w:hAnsi="Palatino Linotype"/>
          <w:lang w:val="en-GB"/>
        </w:rPr>
        <w:t xml:space="preserve"> on the professional</w:t>
      </w:r>
      <w:r w:rsidR="005D1743" w:rsidRPr="0071567C">
        <w:rPr>
          <w:rFonts w:ascii="Palatino Linotype" w:hAnsi="Palatino Linotype"/>
          <w:lang w:val="en-GB"/>
        </w:rPr>
        <w:t>’s</w:t>
      </w:r>
      <w:r w:rsidR="00C73149" w:rsidRPr="0071567C">
        <w:rPr>
          <w:rFonts w:ascii="Palatino Linotype" w:hAnsi="Palatino Linotype"/>
          <w:lang w:val="en-GB"/>
        </w:rPr>
        <w:t xml:space="preserve"> judgement due</w:t>
      </w:r>
      <w:r w:rsidR="00394138" w:rsidRPr="0071567C">
        <w:rPr>
          <w:rFonts w:ascii="Palatino Linotype" w:hAnsi="Palatino Linotype"/>
          <w:lang w:val="en-GB"/>
        </w:rPr>
        <w:t xml:space="preserve"> to</w:t>
      </w:r>
      <w:r w:rsidR="00C73149" w:rsidRPr="0071567C">
        <w:rPr>
          <w:rFonts w:ascii="Palatino Linotype" w:hAnsi="Palatino Linotype"/>
          <w:lang w:val="en-GB"/>
        </w:rPr>
        <w:t xml:space="preserve"> </w:t>
      </w:r>
      <w:r w:rsidR="005351CC" w:rsidRPr="0071567C">
        <w:rPr>
          <w:rFonts w:ascii="Palatino Linotype" w:hAnsi="Palatino Linotype"/>
          <w:lang w:val="en-GB"/>
        </w:rPr>
        <w:t>his/her inability</w:t>
      </w:r>
      <w:r w:rsidR="00C73149" w:rsidRPr="0071567C">
        <w:rPr>
          <w:rFonts w:ascii="Palatino Linotype" w:hAnsi="Palatino Linotype"/>
          <w:lang w:val="en-GB"/>
        </w:rPr>
        <w:t xml:space="preserve"> to </w:t>
      </w:r>
      <w:r w:rsidR="00C73149" w:rsidRPr="0071567C">
        <w:rPr>
          <w:rFonts w:ascii="Palatino Linotype" w:eastAsiaTheme="minorHAnsi" w:hAnsi="Palatino Linotype"/>
          <w:lang w:val="en-GB" w:eastAsia="en-US"/>
        </w:rPr>
        <w:t xml:space="preserve">ascertain </w:t>
      </w:r>
      <w:r w:rsidR="00C73149" w:rsidRPr="0071567C">
        <w:rPr>
          <w:rFonts w:ascii="Palatino Linotype" w:hAnsi="Palatino Linotype"/>
          <w:lang w:val="en-GB"/>
        </w:rPr>
        <w:t xml:space="preserve">the </w:t>
      </w:r>
      <w:r w:rsidR="00B63012" w:rsidRPr="0071567C">
        <w:rPr>
          <w:rFonts w:ascii="Palatino Linotype" w:hAnsi="Palatino Linotype"/>
          <w:lang w:val="en-GB"/>
        </w:rPr>
        <w:t>quality</w:t>
      </w:r>
      <w:r w:rsidR="00C73149" w:rsidRPr="0071567C">
        <w:rPr>
          <w:rFonts w:ascii="Palatino Linotype" w:hAnsi="Palatino Linotype"/>
          <w:lang w:val="en-GB"/>
        </w:rPr>
        <w:t xml:space="preserve"> of the legal service and </w:t>
      </w:r>
      <w:r w:rsidR="00394138" w:rsidRPr="0071567C">
        <w:rPr>
          <w:rFonts w:ascii="Palatino Linotype" w:hAnsi="Palatino Linotype"/>
          <w:lang w:val="en-GB"/>
        </w:rPr>
        <w:t>its</w:t>
      </w:r>
      <w:r w:rsidR="00C73149" w:rsidRPr="0071567C">
        <w:rPr>
          <w:rFonts w:ascii="Palatino Linotype" w:hAnsi="Palatino Linotype"/>
          <w:lang w:val="en-GB"/>
        </w:rPr>
        <w:t xml:space="preserve"> correspondence to his/her legal needs.</w:t>
      </w:r>
      <w:r w:rsidR="00394138" w:rsidRPr="0071567C">
        <w:rPr>
          <w:rFonts w:ascii="Palatino Linotype" w:hAnsi="Palatino Linotype"/>
          <w:lang w:val="en-GB"/>
        </w:rPr>
        <w:t xml:space="preserve"> In fact, most professional services are considered as </w:t>
      </w:r>
      <w:r w:rsidR="00612B69" w:rsidRPr="0071567C">
        <w:rPr>
          <w:rFonts w:ascii="Palatino Linotype" w:hAnsi="Palatino Linotype"/>
          <w:lang w:val="en-GB"/>
        </w:rPr>
        <w:t>‘</w:t>
      </w:r>
      <w:r w:rsidR="00394138" w:rsidRPr="0071567C">
        <w:rPr>
          <w:rFonts w:ascii="Palatino Linotype" w:hAnsi="Palatino Linotype"/>
          <w:lang w:val="en-GB"/>
        </w:rPr>
        <w:t>credence goods</w:t>
      </w:r>
      <w:r w:rsidR="00612B69" w:rsidRPr="0071567C">
        <w:rPr>
          <w:rFonts w:ascii="Palatino Linotype" w:hAnsi="Palatino Linotype"/>
          <w:lang w:val="en-GB"/>
        </w:rPr>
        <w:t>’</w:t>
      </w:r>
      <w:r w:rsidR="00C97DCF" w:rsidRPr="0071567C">
        <w:rPr>
          <w:rFonts w:ascii="Palatino Linotype" w:hAnsi="Palatino Linotype"/>
          <w:lang w:val="en-GB"/>
        </w:rPr>
        <w:t xml:space="preserve">: </w:t>
      </w:r>
      <w:r w:rsidR="008E0D9A" w:rsidRPr="0071567C">
        <w:rPr>
          <w:rFonts w:ascii="Palatino Linotype" w:hAnsi="Palatino Linotype"/>
          <w:lang w:val="en-GB"/>
        </w:rPr>
        <w:t>as a result,</w:t>
      </w:r>
      <w:r w:rsidR="00C97DCF" w:rsidRPr="0071567C">
        <w:rPr>
          <w:rFonts w:ascii="Palatino Linotype" w:hAnsi="Palatino Linotype"/>
          <w:lang w:val="en-GB"/>
        </w:rPr>
        <w:t xml:space="preserve"> </w:t>
      </w:r>
      <w:r w:rsidR="00394138" w:rsidRPr="0071567C">
        <w:rPr>
          <w:rFonts w:ascii="Palatino Linotype" w:hAnsi="Palatino Linotype"/>
          <w:lang w:val="en-GB"/>
        </w:rPr>
        <w:t>it is</w:t>
      </w:r>
      <w:r w:rsidR="005D1743" w:rsidRPr="0071567C">
        <w:rPr>
          <w:rFonts w:ascii="Palatino Linotype" w:hAnsi="Palatino Linotype"/>
          <w:lang w:val="en-GB"/>
        </w:rPr>
        <w:t xml:space="preserve"> often</w:t>
      </w:r>
      <w:r w:rsidR="00394138" w:rsidRPr="0071567C">
        <w:rPr>
          <w:rFonts w:ascii="Palatino Linotype" w:hAnsi="Palatino Linotype"/>
          <w:lang w:val="en-GB"/>
        </w:rPr>
        <w:t xml:space="preserve"> not possible for the client</w:t>
      </w:r>
      <w:r w:rsidR="005D1743" w:rsidRPr="0071567C">
        <w:rPr>
          <w:rFonts w:ascii="Palatino Linotype" w:hAnsi="Palatino Linotype"/>
          <w:lang w:val="en-GB"/>
        </w:rPr>
        <w:t xml:space="preserve"> to</w:t>
      </w:r>
      <w:r w:rsidR="00394138" w:rsidRPr="0071567C">
        <w:rPr>
          <w:rFonts w:ascii="Palatino Linotype" w:hAnsi="Palatino Linotype"/>
          <w:lang w:val="en-GB"/>
        </w:rPr>
        <w:t xml:space="preserve"> evaluate the quality of the service</w:t>
      </w:r>
      <w:r w:rsidR="005D1743" w:rsidRPr="0071567C">
        <w:rPr>
          <w:rFonts w:ascii="Palatino Linotype" w:hAnsi="Palatino Linotype"/>
          <w:lang w:val="en-GB"/>
        </w:rPr>
        <w:t>,</w:t>
      </w:r>
      <w:r w:rsidR="00C73149" w:rsidRPr="0071567C">
        <w:rPr>
          <w:rFonts w:ascii="Palatino Linotype" w:hAnsi="Palatino Linotype"/>
          <w:lang w:val="en-GB"/>
        </w:rPr>
        <w:t xml:space="preserve"> </w:t>
      </w:r>
      <w:r w:rsidR="009C280A" w:rsidRPr="0071567C">
        <w:rPr>
          <w:rFonts w:ascii="Palatino Linotype" w:hAnsi="Palatino Linotype"/>
          <w:color w:val="000000" w:themeColor="text1"/>
          <w:lang w:val="en-GB"/>
        </w:rPr>
        <w:t>either</w:t>
      </w:r>
      <w:r w:rsidR="00394138" w:rsidRPr="0071567C">
        <w:rPr>
          <w:rFonts w:ascii="Palatino Linotype" w:hAnsi="Palatino Linotype"/>
          <w:color w:val="000000" w:themeColor="text1"/>
          <w:lang w:val="en-GB"/>
        </w:rPr>
        <w:t xml:space="preserve"> before or after purchasing the service itself.</w:t>
      </w:r>
    </w:p>
    <w:p w:rsidR="00550D98" w:rsidRPr="0071567C" w:rsidRDefault="00F00C61" w:rsidP="00E67C64">
      <w:pPr>
        <w:spacing w:line="480" w:lineRule="auto"/>
        <w:jc w:val="both"/>
        <w:rPr>
          <w:rFonts w:ascii="Palatino Linotype" w:hAnsi="Palatino Linotype"/>
          <w:color w:val="000000" w:themeColor="text1"/>
          <w:shd w:val="clear" w:color="auto" w:fill="FFFFFF"/>
          <w:lang w:val="en-GB"/>
        </w:rPr>
      </w:pPr>
      <w:r w:rsidRPr="0071567C">
        <w:rPr>
          <w:rFonts w:ascii="Palatino Linotype" w:hAnsi="Palatino Linotype"/>
          <w:color w:val="000000" w:themeColor="text1"/>
          <w:lang w:val="en-GB"/>
        </w:rPr>
        <w:lastRenderedPageBreak/>
        <w:t>As a consequence</w:t>
      </w:r>
      <w:r w:rsidR="00550D98" w:rsidRPr="0071567C">
        <w:rPr>
          <w:rFonts w:ascii="Palatino Linotype" w:hAnsi="Palatino Linotype"/>
          <w:color w:val="000000" w:themeColor="text1"/>
          <w:lang w:val="en-GB"/>
        </w:rPr>
        <w:t>, t</w:t>
      </w:r>
      <w:r w:rsidR="00F33182" w:rsidRPr="0071567C">
        <w:rPr>
          <w:rFonts w:ascii="Palatino Linotype" w:hAnsi="Palatino Linotype"/>
          <w:color w:val="000000" w:themeColor="text1"/>
          <w:lang w:val="en-GB"/>
        </w:rPr>
        <w:t xml:space="preserve">he information asymmetry may give rise to quality deterioration resulting from </w:t>
      </w:r>
      <w:r w:rsidR="00F33182" w:rsidRPr="0071567C">
        <w:rPr>
          <w:rFonts w:ascii="Palatino Linotype" w:hAnsi="Palatino Linotype"/>
          <w:i/>
          <w:color w:val="000000" w:themeColor="text1"/>
          <w:lang w:val="en-GB"/>
        </w:rPr>
        <w:t>adverse selection</w:t>
      </w:r>
      <w:r w:rsidR="005D1743" w:rsidRPr="0071567C">
        <w:rPr>
          <w:rFonts w:ascii="Palatino Linotype" w:hAnsi="Palatino Linotype"/>
          <w:color w:val="000000" w:themeColor="text1"/>
          <w:lang w:val="en-GB"/>
        </w:rPr>
        <w:t>:</w:t>
      </w:r>
      <w:r w:rsidR="005351CC" w:rsidRPr="0071567C">
        <w:rPr>
          <w:rStyle w:val="FootnoteReference"/>
          <w:rFonts w:ascii="Palatino Linotype" w:hAnsi="Palatino Linotype"/>
          <w:color w:val="000000" w:themeColor="text1"/>
          <w:lang w:val="en-GB"/>
        </w:rPr>
        <w:footnoteReference w:id="8"/>
      </w:r>
      <w:r w:rsidR="00F33182" w:rsidRPr="0071567C">
        <w:rPr>
          <w:rFonts w:ascii="Palatino Linotype" w:hAnsi="Palatino Linotype"/>
          <w:color w:val="000000" w:themeColor="text1"/>
          <w:lang w:val="en-GB"/>
        </w:rPr>
        <w:t xml:space="preserve"> if clients cannot </w:t>
      </w:r>
      <w:r w:rsidR="005351CC" w:rsidRPr="0071567C">
        <w:rPr>
          <w:rFonts w:ascii="Palatino Linotype" w:hAnsi="Palatino Linotype"/>
          <w:color w:val="000000" w:themeColor="text1"/>
          <w:lang w:val="en-GB"/>
        </w:rPr>
        <w:t>judge</w:t>
      </w:r>
      <w:r w:rsidR="00F33182" w:rsidRPr="0071567C">
        <w:rPr>
          <w:rFonts w:ascii="Palatino Linotype" w:hAnsi="Palatino Linotype"/>
          <w:color w:val="000000" w:themeColor="text1"/>
          <w:lang w:val="en-GB"/>
        </w:rPr>
        <w:t xml:space="preserve"> the different value of professionals’ services, </w:t>
      </w:r>
      <w:r w:rsidR="00F85ECB" w:rsidRPr="0071567C">
        <w:rPr>
          <w:rFonts w:ascii="Palatino Linotype" w:hAnsi="Palatino Linotype"/>
          <w:color w:val="000000" w:themeColor="text1"/>
          <w:lang w:val="en-GB"/>
        </w:rPr>
        <w:t xml:space="preserve">their </w:t>
      </w:r>
      <w:r w:rsidR="00F85ECB" w:rsidRPr="0071567C">
        <w:rPr>
          <w:rFonts w:ascii="Palatino Linotype" w:hAnsi="Palatino Linotype"/>
          <w:color w:val="000000" w:themeColor="text1"/>
          <w:shd w:val="clear" w:color="auto" w:fill="FFFFFF"/>
          <w:lang w:val="en-GB"/>
        </w:rPr>
        <w:t xml:space="preserve">willingness to pay might be hampered; </w:t>
      </w:r>
      <w:r w:rsidR="005D1743" w:rsidRPr="0071567C">
        <w:rPr>
          <w:rFonts w:ascii="Palatino Linotype" w:hAnsi="Palatino Linotype"/>
          <w:color w:val="000000" w:themeColor="text1"/>
          <w:shd w:val="clear" w:color="auto" w:fill="FFFFFF"/>
          <w:lang w:val="en-GB"/>
        </w:rPr>
        <w:t>conversely</w:t>
      </w:r>
      <w:r w:rsidR="00F85ECB" w:rsidRPr="0071567C">
        <w:rPr>
          <w:rFonts w:ascii="Palatino Linotype" w:hAnsi="Palatino Linotype"/>
          <w:color w:val="000000" w:themeColor="text1"/>
          <w:shd w:val="clear" w:color="auto" w:fill="FFFFFF"/>
          <w:lang w:val="en-GB"/>
        </w:rPr>
        <w:t xml:space="preserve">, if lower fees </w:t>
      </w:r>
      <w:r w:rsidR="00F85ECB" w:rsidRPr="0071567C">
        <w:rPr>
          <w:rFonts w:ascii="Palatino Linotype" w:hAnsi="Palatino Linotype"/>
          <w:color w:val="000000" w:themeColor="text1"/>
          <w:lang w:val="en-GB"/>
        </w:rPr>
        <w:t>become the ‘average prices’ of legal performance, the most qualified lawyers are encourage</w:t>
      </w:r>
      <w:r w:rsidR="005D1743" w:rsidRPr="0071567C">
        <w:rPr>
          <w:rFonts w:ascii="Palatino Linotype" w:hAnsi="Palatino Linotype"/>
          <w:color w:val="000000" w:themeColor="text1"/>
          <w:lang w:val="en-GB"/>
        </w:rPr>
        <w:t>d</w:t>
      </w:r>
      <w:r w:rsidR="00F85ECB" w:rsidRPr="0071567C">
        <w:rPr>
          <w:rFonts w:ascii="Palatino Linotype" w:hAnsi="Palatino Linotype"/>
          <w:color w:val="000000" w:themeColor="text1"/>
          <w:lang w:val="en-GB"/>
        </w:rPr>
        <w:t xml:space="preserve"> to </w:t>
      </w:r>
      <w:r w:rsidR="00F85ECB" w:rsidRPr="0071567C">
        <w:rPr>
          <w:rFonts w:ascii="Palatino Linotype" w:hAnsi="Palatino Linotype"/>
          <w:color w:val="000000" w:themeColor="text1"/>
          <w:shd w:val="clear" w:color="auto" w:fill="FFFFFF"/>
          <w:lang w:val="en-GB"/>
        </w:rPr>
        <w:t>leave the market, as long as their behavio</w:t>
      </w:r>
      <w:r w:rsidR="005D1743" w:rsidRPr="0071567C">
        <w:rPr>
          <w:rFonts w:ascii="Palatino Linotype" w:hAnsi="Palatino Linotype"/>
          <w:color w:val="000000" w:themeColor="text1"/>
          <w:shd w:val="clear" w:color="auto" w:fill="FFFFFF"/>
          <w:lang w:val="en-GB"/>
        </w:rPr>
        <w:t>u</w:t>
      </w:r>
      <w:r w:rsidR="00F85ECB" w:rsidRPr="0071567C">
        <w:rPr>
          <w:rFonts w:ascii="Palatino Linotype" w:hAnsi="Palatino Linotype"/>
          <w:color w:val="000000" w:themeColor="text1"/>
          <w:shd w:val="clear" w:color="auto" w:fill="FFFFFF"/>
          <w:lang w:val="en-GB"/>
        </w:rPr>
        <w:t>ral trait</w:t>
      </w:r>
      <w:r w:rsidR="005D1743" w:rsidRPr="0071567C">
        <w:rPr>
          <w:rFonts w:ascii="Palatino Linotype" w:hAnsi="Palatino Linotype"/>
          <w:color w:val="000000" w:themeColor="text1"/>
          <w:shd w:val="clear" w:color="auto" w:fill="FFFFFF"/>
          <w:lang w:val="en-GB"/>
        </w:rPr>
        <w:t>s</w:t>
      </w:r>
      <w:r w:rsidR="00CA28C5" w:rsidRPr="0071567C">
        <w:rPr>
          <w:rFonts w:ascii="Palatino Linotype" w:hAnsi="Palatino Linotype"/>
          <w:color w:val="000000" w:themeColor="text1"/>
          <w:shd w:val="clear" w:color="auto" w:fill="FFFFFF"/>
          <w:lang w:val="en-GB"/>
        </w:rPr>
        <w:t xml:space="preserve"> </w:t>
      </w:r>
      <w:r w:rsidR="00F85ECB" w:rsidRPr="0071567C">
        <w:rPr>
          <w:rFonts w:ascii="Palatino Linotype" w:hAnsi="Palatino Linotype"/>
          <w:color w:val="000000" w:themeColor="text1"/>
          <w:shd w:val="clear" w:color="auto" w:fill="FFFFFF"/>
          <w:lang w:val="en-GB"/>
        </w:rPr>
        <w:t>and their efforts</w:t>
      </w:r>
      <w:r w:rsidR="00CA28C5" w:rsidRPr="0071567C">
        <w:rPr>
          <w:rFonts w:ascii="Palatino Linotype" w:hAnsi="Palatino Linotype"/>
          <w:color w:val="000000" w:themeColor="text1"/>
          <w:shd w:val="clear" w:color="auto" w:fill="FFFFFF"/>
          <w:lang w:val="en-GB"/>
        </w:rPr>
        <w:t xml:space="preserve"> </w:t>
      </w:r>
      <w:r w:rsidR="00F85ECB" w:rsidRPr="0071567C">
        <w:rPr>
          <w:rFonts w:ascii="Palatino Linotype" w:hAnsi="Palatino Linotype"/>
          <w:color w:val="000000" w:themeColor="text1"/>
          <w:shd w:val="clear" w:color="auto" w:fill="FFFFFF"/>
          <w:lang w:val="en-GB"/>
        </w:rPr>
        <w:t>are not recognized</w:t>
      </w:r>
      <w:r w:rsidR="00CA28C5" w:rsidRPr="0071567C">
        <w:rPr>
          <w:rFonts w:ascii="Palatino Linotype" w:hAnsi="Palatino Linotype"/>
          <w:color w:val="000000" w:themeColor="text1"/>
          <w:shd w:val="clear" w:color="auto" w:fill="FFFFFF"/>
          <w:lang w:val="en-GB"/>
        </w:rPr>
        <w:t xml:space="preserve"> and properly remunerated.</w:t>
      </w:r>
      <w:r w:rsidR="00550D98" w:rsidRPr="0071567C">
        <w:rPr>
          <w:rFonts w:ascii="Palatino Linotype" w:hAnsi="Palatino Linotype"/>
          <w:color w:val="000000" w:themeColor="text1"/>
          <w:lang w:val="en-GB"/>
        </w:rPr>
        <w:t xml:space="preserve"> </w:t>
      </w:r>
      <w:r w:rsidRPr="0071567C">
        <w:rPr>
          <w:rFonts w:ascii="Palatino Linotype" w:hAnsi="Palatino Linotype"/>
          <w:color w:val="000000" w:themeColor="text1"/>
          <w:lang w:val="en-GB"/>
        </w:rPr>
        <w:t>Moreover</w:t>
      </w:r>
      <w:r w:rsidR="00F85ECB" w:rsidRPr="0071567C">
        <w:rPr>
          <w:rFonts w:ascii="Palatino Linotype" w:hAnsi="Palatino Linotype"/>
          <w:color w:val="000000" w:themeColor="text1"/>
          <w:lang w:val="en-GB"/>
        </w:rPr>
        <w:t>, the information gap</w:t>
      </w:r>
      <w:r w:rsidR="00496F44" w:rsidRPr="0071567C">
        <w:rPr>
          <w:rFonts w:ascii="Palatino Linotype" w:hAnsi="Palatino Linotype"/>
          <w:color w:val="000000" w:themeColor="text1"/>
          <w:lang w:val="en-GB"/>
        </w:rPr>
        <w:t xml:space="preserve"> might lead to professionals’ opportunistic </w:t>
      </w:r>
      <w:r w:rsidR="009C280A" w:rsidRPr="0071567C">
        <w:rPr>
          <w:rFonts w:ascii="Palatino Linotype" w:hAnsi="Palatino Linotype"/>
          <w:color w:val="000000" w:themeColor="text1"/>
          <w:lang w:val="en-GB"/>
        </w:rPr>
        <w:t>behaviours</w:t>
      </w:r>
      <w:r w:rsidR="0006666E" w:rsidRPr="0071567C">
        <w:rPr>
          <w:rFonts w:ascii="Palatino Linotype" w:hAnsi="Palatino Linotype"/>
          <w:color w:val="000000" w:themeColor="text1"/>
          <w:lang w:val="en-GB"/>
        </w:rPr>
        <w:t xml:space="preserve">, </w:t>
      </w:r>
      <w:r w:rsidR="00BE3DED" w:rsidRPr="0071567C">
        <w:rPr>
          <w:rFonts w:ascii="Palatino Linotype" w:hAnsi="Palatino Linotype"/>
          <w:color w:val="000000" w:themeColor="text1"/>
          <w:lang w:val="en-GB"/>
        </w:rPr>
        <w:t>including the</w:t>
      </w:r>
      <w:r w:rsidR="0006666E" w:rsidRPr="0071567C">
        <w:rPr>
          <w:rFonts w:ascii="Palatino Linotype" w:hAnsi="Palatino Linotype"/>
          <w:color w:val="000000" w:themeColor="text1"/>
          <w:lang w:val="en-GB"/>
        </w:rPr>
        <w:t xml:space="preserve"> </w:t>
      </w:r>
      <w:r w:rsidR="005D1743" w:rsidRPr="0071567C">
        <w:rPr>
          <w:rFonts w:ascii="Palatino Linotype" w:hAnsi="Palatino Linotype"/>
          <w:color w:val="000000" w:themeColor="text1"/>
          <w:shd w:val="clear" w:color="auto" w:fill="FFFFFF"/>
          <w:lang w:val="en-GB"/>
        </w:rPr>
        <w:t xml:space="preserve">overvaluing </w:t>
      </w:r>
      <w:r w:rsidR="00BE3DED" w:rsidRPr="0071567C">
        <w:rPr>
          <w:rFonts w:ascii="Palatino Linotype" w:hAnsi="Palatino Linotype"/>
          <w:color w:val="000000" w:themeColor="text1"/>
          <w:shd w:val="clear" w:color="auto" w:fill="FFFFFF"/>
          <w:lang w:val="en-GB"/>
        </w:rPr>
        <w:t>of</w:t>
      </w:r>
      <w:r w:rsidR="0006666E" w:rsidRPr="0071567C">
        <w:rPr>
          <w:rFonts w:ascii="Palatino Linotype" w:hAnsi="Palatino Linotype"/>
          <w:color w:val="000000" w:themeColor="text1"/>
          <w:shd w:val="clear" w:color="auto" w:fill="FFFFFF"/>
          <w:lang w:val="en-GB"/>
        </w:rPr>
        <w:t xml:space="preserve"> </w:t>
      </w:r>
      <w:r w:rsidR="00BE3DED" w:rsidRPr="0071567C">
        <w:rPr>
          <w:rFonts w:ascii="Palatino Linotype" w:hAnsi="Palatino Linotype"/>
          <w:color w:val="000000" w:themeColor="text1"/>
          <w:shd w:val="clear" w:color="auto" w:fill="FFFFFF"/>
          <w:lang w:val="en-GB"/>
        </w:rPr>
        <w:t>services</w:t>
      </w:r>
      <w:r w:rsidR="0006666E" w:rsidRPr="0071567C">
        <w:rPr>
          <w:rFonts w:ascii="Palatino Linotype" w:hAnsi="Palatino Linotype"/>
          <w:color w:val="000000" w:themeColor="text1"/>
          <w:lang w:val="en-GB"/>
        </w:rPr>
        <w:t xml:space="preserve"> </w:t>
      </w:r>
      <w:r w:rsidR="00BE3DED" w:rsidRPr="0071567C">
        <w:rPr>
          <w:rFonts w:ascii="Palatino Linotype" w:hAnsi="Palatino Linotype"/>
          <w:color w:val="000000" w:themeColor="text1"/>
          <w:lang w:val="en-GB"/>
        </w:rPr>
        <w:t xml:space="preserve">in order </w:t>
      </w:r>
      <w:r w:rsidR="0006666E" w:rsidRPr="0071567C">
        <w:rPr>
          <w:rFonts w:ascii="Palatino Linotype" w:hAnsi="Palatino Linotype"/>
          <w:color w:val="000000" w:themeColor="text1"/>
          <w:lang w:val="en-GB"/>
        </w:rPr>
        <w:t xml:space="preserve">to </w:t>
      </w:r>
      <w:r w:rsidR="00BE3DED" w:rsidRPr="0071567C">
        <w:rPr>
          <w:rFonts w:ascii="Palatino Linotype" w:hAnsi="Palatino Linotype"/>
          <w:color w:val="000000" w:themeColor="text1"/>
          <w:lang w:val="en-GB"/>
        </w:rPr>
        <w:t>charge</w:t>
      </w:r>
      <w:r w:rsidR="0006666E" w:rsidRPr="0071567C">
        <w:rPr>
          <w:rFonts w:ascii="Palatino Linotype" w:hAnsi="Palatino Linotype"/>
          <w:color w:val="000000" w:themeColor="text1"/>
          <w:lang w:val="en-GB"/>
        </w:rPr>
        <w:t xml:space="preserve"> higher fees</w:t>
      </w:r>
      <w:r w:rsidR="00BE3DED" w:rsidRPr="0071567C">
        <w:rPr>
          <w:rFonts w:ascii="Palatino Linotype" w:hAnsi="Palatino Linotype"/>
          <w:color w:val="000000" w:themeColor="text1"/>
          <w:lang w:val="en-GB"/>
        </w:rPr>
        <w:t>,</w:t>
      </w:r>
      <w:r w:rsidR="0006666E" w:rsidRPr="0071567C">
        <w:rPr>
          <w:rFonts w:ascii="Palatino Linotype" w:hAnsi="Palatino Linotype"/>
          <w:color w:val="000000" w:themeColor="text1"/>
          <w:lang w:val="en-GB"/>
        </w:rPr>
        <w:t xml:space="preserve"> </w:t>
      </w:r>
      <w:r w:rsidR="00BE3DED" w:rsidRPr="0071567C">
        <w:rPr>
          <w:rFonts w:ascii="Palatino Linotype" w:hAnsi="Palatino Linotype"/>
          <w:color w:val="000000" w:themeColor="text1"/>
          <w:shd w:val="clear" w:color="auto" w:fill="FFFFFF"/>
          <w:lang w:val="en-GB"/>
        </w:rPr>
        <w:t>the delivery of</w:t>
      </w:r>
      <w:r w:rsidR="00496F44" w:rsidRPr="0071567C">
        <w:rPr>
          <w:rFonts w:ascii="Palatino Linotype" w:hAnsi="Palatino Linotype"/>
          <w:color w:val="000000" w:themeColor="text1"/>
          <w:shd w:val="clear" w:color="auto" w:fill="FFFFFF"/>
          <w:lang w:val="en-GB"/>
        </w:rPr>
        <w:t xml:space="preserve"> service</w:t>
      </w:r>
      <w:r w:rsidR="00BE3DED" w:rsidRPr="0071567C">
        <w:rPr>
          <w:rFonts w:ascii="Palatino Linotype" w:hAnsi="Palatino Linotype"/>
          <w:color w:val="000000" w:themeColor="text1"/>
          <w:shd w:val="clear" w:color="auto" w:fill="FFFFFF"/>
          <w:lang w:val="en-GB"/>
        </w:rPr>
        <w:t>s</w:t>
      </w:r>
      <w:r w:rsidR="00496F44" w:rsidRPr="0071567C">
        <w:rPr>
          <w:rFonts w:ascii="Palatino Linotype" w:hAnsi="Palatino Linotype"/>
          <w:color w:val="000000" w:themeColor="text1"/>
          <w:shd w:val="clear" w:color="auto" w:fill="FFFFFF"/>
          <w:lang w:val="en-GB"/>
        </w:rPr>
        <w:t xml:space="preserve"> at higher price</w:t>
      </w:r>
      <w:r w:rsidR="00BE3DED" w:rsidRPr="0071567C">
        <w:rPr>
          <w:rFonts w:ascii="Palatino Linotype" w:hAnsi="Palatino Linotype"/>
          <w:color w:val="000000" w:themeColor="text1"/>
          <w:shd w:val="clear" w:color="auto" w:fill="FFFFFF"/>
          <w:lang w:val="en-GB"/>
        </w:rPr>
        <w:t>s</w:t>
      </w:r>
      <w:r w:rsidR="00976699" w:rsidRPr="0071567C">
        <w:rPr>
          <w:rFonts w:ascii="Palatino Linotype" w:hAnsi="Palatino Linotype"/>
          <w:color w:val="000000" w:themeColor="text1"/>
          <w:shd w:val="clear" w:color="auto" w:fill="FFFFFF"/>
          <w:lang w:val="en-GB"/>
        </w:rPr>
        <w:t>, as well as</w:t>
      </w:r>
      <w:r w:rsidR="00496F44" w:rsidRPr="0071567C">
        <w:rPr>
          <w:rFonts w:ascii="Palatino Linotype" w:hAnsi="Palatino Linotype"/>
          <w:color w:val="000000" w:themeColor="text1"/>
          <w:shd w:val="clear" w:color="auto" w:fill="FFFFFF"/>
          <w:lang w:val="en-GB"/>
        </w:rPr>
        <w:t xml:space="preserve"> </w:t>
      </w:r>
      <w:r w:rsidR="00BE3DED" w:rsidRPr="0071567C">
        <w:rPr>
          <w:rFonts w:ascii="Palatino Linotype" w:hAnsi="Palatino Linotype"/>
          <w:color w:val="000000" w:themeColor="text1"/>
          <w:shd w:val="clear" w:color="auto" w:fill="FFFFFF"/>
          <w:lang w:val="en-GB"/>
        </w:rPr>
        <w:t>the provision of</w:t>
      </w:r>
      <w:r w:rsidR="00496F44" w:rsidRPr="0071567C">
        <w:rPr>
          <w:rFonts w:ascii="Palatino Linotype" w:hAnsi="Palatino Linotype"/>
          <w:color w:val="000000" w:themeColor="text1"/>
          <w:shd w:val="clear" w:color="auto" w:fill="FFFFFF"/>
          <w:lang w:val="en-GB"/>
        </w:rPr>
        <w:t xml:space="preserve"> additional or </w:t>
      </w:r>
      <w:r w:rsidR="00976699" w:rsidRPr="0071567C">
        <w:rPr>
          <w:rFonts w:ascii="Palatino Linotype" w:hAnsi="Palatino Linotype"/>
          <w:color w:val="000000" w:themeColor="text1"/>
          <w:shd w:val="clear" w:color="auto" w:fill="FFFFFF"/>
          <w:lang w:val="en-GB"/>
        </w:rPr>
        <w:t xml:space="preserve">totally </w:t>
      </w:r>
      <w:r w:rsidR="00496F44" w:rsidRPr="0071567C">
        <w:rPr>
          <w:rFonts w:ascii="Palatino Linotype" w:hAnsi="Palatino Linotype"/>
          <w:color w:val="000000" w:themeColor="text1"/>
          <w:shd w:val="clear" w:color="auto" w:fill="FFFFFF"/>
          <w:lang w:val="en-GB"/>
        </w:rPr>
        <w:t>unneeded services</w:t>
      </w:r>
      <w:r w:rsidR="00BE3DED" w:rsidRPr="0071567C">
        <w:rPr>
          <w:rFonts w:ascii="Palatino Linotype" w:hAnsi="Palatino Linotype"/>
          <w:color w:val="000000" w:themeColor="text1"/>
          <w:shd w:val="clear" w:color="auto" w:fill="FFFFFF"/>
          <w:lang w:val="en-GB"/>
        </w:rPr>
        <w:t xml:space="preserve"> (</w:t>
      </w:r>
      <w:r w:rsidR="005D1743" w:rsidRPr="0071567C">
        <w:rPr>
          <w:rFonts w:ascii="Palatino Linotype" w:hAnsi="Palatino Linotype"/>
          <w:color w:val="000000" w:themeColor="text1"/>
          <w:shd w:val="clear" w:color="auto" w:fill="FFFFFF"/>
          <w:lang w:val="en-GB"/>
        </w:rPr>
        <w:t xml:space="preserve">the </w:t>
      </w:r>
      <w:r w:rsidR="00BE3DED" w:rsidRPr="0071567C">
        <w:rPr>
          <w:rFonts w:ascii="Palatino Linotype" w:hAnsi="Palatino Linotype"/>
          <w:color w:val="000000" w:themeColor="text1"/>
          <w:shd w:val="clear" w:color="auto" w:fill="FFFFFF"/>
          <w:lang w:val="en-GB"/>
        </w:rPr>
        <w:t>so-called ‘</w:t>
      </w:r>
      <w:r w:rsidR="00474322" w:rsidRPr="0071567C">
        <w:rPr>
          <w:rFonts w:ascii="Palatino Linotype" w:hAnsi="Palatino Linotype"/>
          <w:color w:val="000000" w:themeColor="text1"/>
          <w:shd w:val="clear" w:color="auto" w:fill="FFFFFF"/>
          <w:lang w:val="en-GB"/>
        </w:rPr>
        <w:t>moral hazard’</w:t>
      </w:r>
      <w:r w:rsidR="005D1743" w:rsidRPr="0071567C">
        <w:rPr>
          <w:rFonts w:ascii="Palatino Linotype" w:hAnsi="Palatino Linotype"/>
          <w:color w:val="000000" w:themeColor="text1"/>
          <w:shd w:val="clear" w:color="auto" w:fill="FFFFFF"/>
          <w:lang w:val="en-GB"/>
        </w:rPr>
        <w:t xml:space="preserve"> </w:t>
      </w:r>
      <w:r w:rsidR="00BE3DED" w:rsidRPr="0071567C">
        <w:rPr>
          <w:rFonts w:ascii="Palatino Linotype" w:hAnsi="Palatino Linotype"/>
          <w:color w:val="000000" w:themeColor="text1"/>
          <w:shd w:val="clear" w:color="auto" w:fill="FFFFFF"/>
          <w:lang w:val="en-GB"/>
        </w:rPr>
        <w:t>problem)</w:t>
      </w:r>
      <w:r w:rsidR="009C280A" w:rsidRPr="0071567C">
        <w:rPr>
          <w:rFonts w:ascii="Palatino Linotype" w:hAnsi="Palatino Linotype"/>
          <w:color w:val="000000" w:themeColor="text1"/>
          <w:shd w:val="clear" w:color="auto" w:fill="FFFFFF"/>
          <w:lang w:val="en-GB"/>
        </w:rPr>
        <w:t>.</w:t>
      </w:r>
      <w:r w:rsidR="00BE3DED" w:rsidRPr="0071567C">
        <w:rPr>
          <w:rStyle w:val="FootnoteReference"/>
          <w:rFonts w:ascii="Palatino Linotype" w:hAnsi="Palatino Linotype"/>
          <w:color w:val="000000" w:themeColor="text1"/>
          <w:shd w:val="clear" w:color="auto" w:fill="FFFFFF"/>
          <w:lang w:val="en-GB"/>
        </w:rPr>
        <w:footnoteReference w:id="9"/>
      </w:r>
    </w:p>
    <w:p w:rsidR="00F00C61" w:rsidRPr="0071567C" w:rsidRDefault="00550D98" w:rsidP="00E67C64">
      <w:pPr>
        <w:autoSpaceDE w:val="0"/>
        <w:autoSpaceDN w:val="0"/>
        <w:adjustRightInd w:val="0"/>
        <w:spacing w:line="480" w:lineRule="auto"/>
        <w:jc w:val="both"/>
        <w:rPr>
          <w:rFonts w:ascii="Palatino Linotype" w:eastAsiaTheme="minorHAnsi" w:hAnsi="Palatino Linotype"/>
          <w:color w:val="000000" w:themeColor="text1"/>
          <w:lang w:val="en-GB" w:eastAsia="en-US"/>
        </w:rPr>
      </w:pPr>
      <w:r w:rsidRPr="0071567C">
        <w:rPr>
          <w:rFonts w:ascii="Palatino Linotype" w:hAnsi="Palatino Linotype"/>
          <w:color w:val="000000" w:themeColor="text1"/>
          <w:lang w:val="en-GB"/>
        </w:rPr>
        <w:t>In addition</w:t>
      </w:r>
      <w:r w:rsidR="00F33182" w:rsidRPr="0071567C">
        <w:rPr>
          <w:rFonts w:ascii="Palatino Linotype" w:hAnsi="Palatino Linotype"/>
          <w:color w:val="000000" w:themeColor="text1"/>
          <w:lang w:val="en-GB"/>
        </w:rPr>
        <w:t>, legal services serve public goal</w:t>
      </w:r>
      <w:r w:rsidRPr="0071567C">
        <w:rPr>
          <w:rFonts w:ascii="Palatino Linotype" w:hAnsi="Palatino Linotype"/>
          <w:color w:val="000000" w:themeColor="text1"/>
          <w:lang w:val="en-GB"/>
        </w:rPr>
        <w:t xml:space="preserve">s </w:t>
      </w:r>
      <w:r w:rsidR="00F33182" w:rsidRPr="0071567C">
        <w:rPr>
          <w:rFonts w:ascii="Palatino Linotype" w:hAnsi="Palatino Linotype"/>
          <w:color w:val="000000" w:themeColor="text1"/>
          <w:lang w:val="en-GB"/>
        </w:rPr>
        <w:t xml:space="preserve">such as the good administration of justice and </w:t>
      </w:r>
      <w:r w:rsidR="00CA75F8" w:rsidRPr="0071567C">
        <w:rPr>
          <w:rFonts w:ascii="Palatino Linotype" w:hAnsi="Palatino Linotype"/>
          <w:color w:val="000000" w:themeColor="text1"/>
          <w:lang w:val="en-GB"/>
        </w:rPr>
        <w:t xml:space="preserve">a </w:t>
      </w:r>
      <w:r w:rsidR="00F33182" w:rsidRPr="0071567C">
        <w:rPr>
          <w:rFonts w:ascii="Palatino Linotype" w:hAnsi="Palatino Linotype"/>
          <w:color w:val="000000" w:themeColor="text1"/>
          <w:lang w:val="en-GB"/>
        </w:rPr>
        <w:t>well-functioning judicial syste</w:t>
      </w:r>
      <w:r w:rsidRPr="0071567C">
        <w:rPr>
          <w:rFonts w:ascii="Palatino Linotype" w:hAnsi="Palatino Linotype"/>
          <w:color w:val="000000" w:themeColor="text1"/>
          <w:lang w:val="en-GB"/>
        </w:rPr>
        <w:t>m</w:t>
      </w:r>
      <w:r w:rsidR="005D1743" w:rsidRPr="0071567C">
        <w:rPr>
          <w:rFonts w:ascii="Palatino Linotype" w:hAnsi="Palatino Linotype"/>
          <w:color w:val="000000" w:themeColor="text1"/>
          <w:lang w:val="en-GB"/>
        </w:rPr>
        <w:t>;</w:t>
      </w:r>
      <w:r w:rsidR="001D48A7" w:rsidRPr="0071567C">
        <w:rPr>
          <w:rFonts w:ascii="Palatino Linotype" w:hAnsi="Palatino Linotype"/>
          <w:color w:val="000000" w:themeColor="text1"/>
          <w:lang w:val="en-GB"/>
        </w:rPr>
        <w:t xml:space="preserve"> for this reason</w:t>
      </w:r>
      <w:r w:rsidR="005D1743" w:rsidRPr="0071567C">
        <w:rPr>
          <w:rFonts w:ascii="Palatino Linotype" w:hAnsi="Palatino Linotype"/>
          <w:color w:val="000000" w:themeColor="text1"/>
          <w:lang w:val="en-GB"/>
        </w:rPr>
        <w:t>,</w:t>
      </w:r>
      <w:r w:rsidR="001D48A7" w:rsidRPr="0071567C">
        <w:rPr>
          <w:rFonts w:ascii="Palatino Linotype" w:hAnsi="Palatino Linotype"/>
          <w:color w:val="000000" w:themeColor="text1"/>
          <w:lang w:val="en-GB"/>
        </w:rPr>
        <w:t xml:space="preserve"> </w:t>
      </w:r>
      <w:r w:rsidR="00394138" w:rsidRPr="0071567C">
        <w:rPr>
          <w:rFonts w:ascii="Palatino Linotype" w:hAnsi="Palatino Linotype"/>
          <w:color w:val="000000" w:themeColor="text1"/>
          <w:lang w:val="en-GB"/>
        </w:rPr>
        <w:t xml:space="preserve">the quality of the </w:t>
      </w:r>
      <w:r w:rsidR="001D48A7" w:rsidRPr="0071567C">
        <w:rPr>
          <w:rFonts w:ascii="Palatino Linotype" w:hAnsi="Palatino Linotype"/>
          <w:color w:val="000000" w:themeColor="text1"/>
          <w:lang w:val="en-GB"/>
        </w:rPr>
        <w:t xml:space="preserve">legal performance might have </w:t>
      </w:r>
      <w:r w:rsidR="001D48A7" w:rsidRPr="0071567C">
        <w:rPr>
          <w:rFonts w:ascii="Palatino Linotype" w:eastAsiaTheme="minorHAnsi" w:hAnsi="Palatino Linotype"/>
          <w:color w:val="000000" w:themeColor="text1"/>
          <w:lang w:val="en-GB" w:eastAsia="en-US"/>
        </w:rPr>
        <w:t>a severe impact</w:t>
      </w:r>
      <w:r w:rsidR="009C280A" w:rsidRPr="0071567C">
        <w:rPr>
          <w:rFonts w:ascii="Palatino Linotype" w:eastAsiaTheme="minorHAnsi" w:hAnsi="Palatino Linotype"/>
          <w:color w:val="000000" w:themeColor="text1"/>
          <w:lang w:val="en-GB" w:eastAsia="en-US"/>
        </w:rPr>
        <w:t>,</w:t>
      </w:r>
      <w:r w:rsidRPr="0071567C">
        <w:rPr>
          <w:rFonts w:ascii="Palatino Linotype" w:eastAsiaTheme="minorHAnsi" w:hAnsi="Palatino Linotype"/>
          <w:color w:val="000000" w:themeColor="text1"/>
          <w:lang w:val="en-GB" w:eastAsia="en-US"/>
        </w:rPr>
        <w:t xml:space="preserve"> </w:t>
      </w:r>
      <w:r w:rsidR="001D48A7" w:rsidRPr="0071567C">
        <w:rPr>
          <w:rFonts w:ascii="Palatino Linotype" w:eastAsiaTheme="minorHAnsi" w:hAnsi="Palatino Linotype"/>
          <w:color w:val="000000" w:themeColor="text1"/>
          <w:lang w:val="en-GB" w:eastAsia="en-US"/>
        </w:rPr>
        <w:t>not only on the</w:t>
      </w:r>
      <w:r w:rsidRPr="0071567C">
        <w:rPr>
          <w:rFonts w:ascii="Palatino Linotype" w:eastAsiaTheme="minorHAnsi" w:hAnsi="Palatino Linotype"/>
          <w:color w:val="000000" w:themeColor="text1"/>
          <w:lang w:val="en-GB" w:eastAsia="en-US"/>
        </w:rPr>
        <w:t xml:space="preserve"> </w:t>
      </w:r>
      <w:r w:rsidR="001D48A7" w:rsidRPr="0071567C">
        <w:rPr>
          <w:rFonts w:ascii="Palatino Linotype" w:eastAsiaTheme="minorHAnsi" w:hAnsi="Palatino Linotype"/>
          <w:color w:val="000000" w:themeColor="text1"/>
          <w:lang w:val="en-GB" w:eastAsia="en-US"/>
        </w:rPr>
        <w:t xml:space="preserve">single </w:t>
      </w:r>
      <w:r w:rsidRPr="0071567C">
        <w:rPr>
          <w:rFonts w:ascii="Palatino Linotype" w:eastAsiaTheme="minorHAnsi" w:hAnsi="Palatino Linotype"/>
          <w:color w:val="000000" w:themeColor="text1"/>
          <w:lang w:val="en-GB" w:eastAsia="en-US"/>
        </w:rPr>
        <w:t>client</w:t>
      </w:r>
      <w:r w:rsidR="001D48A7" w:rsidRPr="0071567C">
        <w:rPr>
          <w:rFonts w:ascii="Palatino Linotype" w:eastAsiaTheme="minorHAnsi" w:hAnsi="Palatino Linotype"/>
          <w:color w:val="000000" w:themeColor="text1"/>
          <w:lang w:val="en-GB" w:eastAsia="en-US"/>
        </w:rPr>
        <w:t xml:space="preserve"> situation</w:t>
      </w:r>
      <w:r w:rsidRPr="0071567C">
        <w:rPr>
          <w:rFonts w:ascii="Palatino Linotype" w:eastAsiaTheme="minorHAnsi" w:hAnsi="Palatino Linotype"/>
          <w:color w:val="000000" w:themeColor="text1"/>
          <w:lang w:val="en-GB" w:eastAsia="en-US"/>
        </w:rPr>
        <w:t xml:space="preserve">, but also </w:t>
      </w:r>
      <w:r w:rsidR="001D48A7" w:rsidRPr="0071567C">
        <w:rPr>
          <w:rFonts w:ascii="Palatino Linotype" w:eastAsiaTheme="minorHAnsi" w:hAnsi="Palatino Linotype"/>
          <w:color w:val="000000" w:themeColor="text1"/>
          <w:lang w:val="en-GB" w:eastAsia="en-US"/>
        </w:rPr>
        <w:t xml:space="preserve">on </w:t>
      </w:r>
      <w:r w:rsidRPr="0071567C">
        <w:rPr>
          <w:rFonts w:ascii="Palatino Linotype" w:eastAsiaTheme="minorHAnsi" w:hAnsi="Palatino Linotype"/>
          <w:color w:val="000000" w:themeColor="text1"/>
          <w:lang w:val="en-GB" w:eastAsia="en-US"/>
        </w:rPr>
        <w:t>society as a whole</w:t>
      </w:r>
      <w:r w:rsidR="00901BE3" w:rsidRPr="0071567C">
        <w:rPr>
          <w:rFonts w:ascii="Palatino Linotype" w:hAnsi="Palatino Linotype"/>
          <w:color w:val="000000" w:themeColor="text1"/>
          <w:lang w:val="en-GB"/>
        </w:rPr>
        <w:t>:</w:t>
      </w:r>
      <w:r w:rsidR="001D48A7" w:rsidRPr="0071567C">
        <w:rPr>
          <w:rFonts w:ascii="Palatino Linotype" w:hAnsi="Palatino Linotype"/>
          <w:color w:val="000000" w:themeColor="text1"/>
          <w:lang w:val="en-GB"/>
        </w:rPr>
        <w:t xml:space="preserve"> </w:t>
      </w:r>
      <w:r w:rsidR="00901BE3" w:rsidRPr="0071567C">
        <w:rPr>
          <w:rFonts w:ascii="Palatino Linotype" w:hAnsi="Palatino Linotype"/>
          <w:color w:val="000000" w:themeColor="text1"/>
          <w:lang w:val="en-GB"/>
        </w:rPr>
        <w:t>o</w:t>
      </w:r>
      <w:r w:rsidR="001D48A7" w:rsidRPr="0071567C">
        <w:rPr>
          <w:rFonts w:ascii="Palatino Linotype" w:hAnsi="Palatino Linotype"/>
          <w:color w:val="000000" w:themeColor="text1"/>
          <w:lang w:val="en-GB"/>
        </w:rPr>
        <w:t>n</w:t>
      </w:r>
      <w:r w:rsidR="005D1743" w:rsidRPr="0071567C">
        <w:rPr>
          <w:rFonts w:ascii="Palatino Linotype" w:hAnsi="Palatino Linotype"/>
          <w:color w:val="000000" w:themeColor="text1"/>
          <w:lang w:val="en-GB"/>
        </w:rPr>
        <w:t xml:space="preserve"> the</w:t>
      </w:r>
      <w:r w:rsidR="001D48A7" w:rsidRPr="0071567C">
        <w:rPr>
          <w:rFonts w:ascii="Palatino Linotype" w:hAnsi="Palatino Linotype"/>
          <w:color w:val="000000" w:themeColor="text1"/>
          <w:lang w:val="en-GB"/>
        </w:rPr>
        <w:t xml:space="preserve"> one </w:t>
      </w:r>
      <w:r w:rsidR="005D1743" w:rsidRPr="0071567C">
        <w:rPr>
          <w:rFonts w:ascii="Palatino Linotype" w:hAnsi="Palatino Linotype"/>
          <w:color w:val="000000" w:themeColor="text1"/>
          <w:lang w:val="en-GB"/>
        </w:rPr>
        <w:t>hand</w:t>
      </w:r>
      <w:r w:rsidR="001D48A7" w:rsidRPr="0071567C">
        <w:rPr>
          <w:rFonts w:ascii="Palatino Linotype" w:hAnsi="Palatino Linotype"/>
          <w:color w:val="000000" w:themeColor="text1"/>
          <w:lang w:val="en-GB"/>
        </w:rPr>
        <w:t xml:space="preserve">, </w:t>
      </w:r>
      <w:r w:rsidR="00F33182" w:rsidRPr="0071567C">
        <w:rPr>
          <w:rFonts w:ascii="Palatino Linotype" w:hAnsi="Palatino Linotype"/>
          <w:color w:val="000000" w:themeColor="text1"/>
          <w:lang w:val="en-GB"/>
        </w:rPr>
        <w:t xml:space="preserve">legal services </w:t>
      </w:r>
      <w:r w:rsidRPr="0071567C">
        <w:rPr>
          <w:rFonts w:ascii="Palatino Linotype" w:hAnsi="Palatino Linotype"/>
          <w:color w:val="000000" w:themeColor="text1"/>
          <w:lang w:val="en-GB"/>
        </w:rPr>
        <w:t xml:space="preserve">of insufficient quality </w:t>
      </w:r>
      <w:r w:rsidR="00F33182" w:rsidRPr="0071567C">
        <w:rPr>
          <w:rFonts w:ascii="Palatino Linotype" w:hAnsi="Palatino Linotype"/>
          <w:color w:val="000000" w:themeColor="text1"/>
          <w:lang w:val="en-GB"/>
        </w:rPr>
        <w:t>might generate negative externalities</w:t>
      </w:r>
      <w:r w:rsidRPr="0071567C">
        <w:rPr>
          <w:rFonts w:ascii="Palatino Linotype" w:hAnsi="Palatino Linotype"/>
          <w:color w:val="000000" w:themeColor="text1"/>
          <w:lang w:val="en-GB"/>
        </w:rPr>
        <w:t xml:space="preserve">, </w:t>
      </w:r>
      <w:r w:rsidR="001D48A7" w:rsidRPr="0071567C">
        <w:rPr>
          <w:rFonts w:ascii="Palatino Linotype" w:eastAsiaTheme="minorHAnsi" w:hAnsi="Palatino Linotype"/>
          <w:color w:val="000000" w:themeColor="text1"/>
          <w:lang w:val="en-GB" w:eastAsia="en-US"/>
        </w:rPr>
        <w:t>damaging</w:t>
      </w:r>
      <w:r w:rsidR="00F33182" w:rsidRPr="0071567C">
        <w:rPr>
          <w:rFonts w:ascii="Palatino Linotype" w:hAnsi="Palatino Linotype"/>
          <w:color w:val="000000" w:themeColor="text1"/>
          <w:lang w:val="en-GB"/>
        </w:rPr>
        <w:t xml:space="preserve"> </w:t>
      </w:r>
      <w:r w:rsidR="00394138" w:rsidRPr="0071567C">
        <w:rPr>
          <w:rFonts w:ascii="Palatino Linotype" w:hAnsi="Palatino Linotype"/>
          <w:color w:val="000000" w:themeColor="text1"/>
          <w:lang w:val="en-GB"/>
        </w:rPr>
        <w:t xml:space="preserve">both clients and </w:t>
      </w:r>
      <w:r w:rsidR="00F33182" w:rsidRPr="0071567C">
        <w:rPr>
          <w:rFonts w:ascii="Palatino Linotype" w:hAnsi="Palatino Linotype"/>
          <w:color w:val="000000" w:themeColor="text1"/>
          <w:lang w:val="en-GB"/>
        </w:rPr>
        <w:t>third parties involved in the justice</w:t>
      </w:r>
      <w:r w:rsidR="00F00C61" w:rsidRPr="0071567C">
        <w:rPr>
          <w:rFonts w:ascii="Palatino Linotype" w:hAnsi="Palatino Linotype"/>
          <w:color w:val="000000" w:themeColor="text1"/>
          <w:lang w:val="en-GB"/>
        </w:rPr>
        <w:t xml:space="preserve"> system</w:t>
      </w:r>
      <w:r w:rsidR="00901BE3" w:rsidRPr="0071567C">
        <w:rPr>
          <w:rFonts w:ascii="Palatino Linotype" w:hAnsi="Palatino Linotype"/>
          <w:color w:val="000000" w:themeColor="text1"/>
          <w:lang w:val="en-GB"/>
        </w:rPr>
        <w:t>;</w:t>
      </w:r>
      <w:r w:rsidR="00F33182" w:rsidRPr="0071567C">
        <w:rPr>
          <w:rFonts w:ascii="Palatino Linotype" w:hAnsi="Palatino Linotype"/>
          <w:color w:val="000000" w:themeColor="text1"/>
          <w:lang w:val="en-GB"/>
        </w:rPr>
        <w:t xml:space="preserve"> </w:t>
      </w:r>
      <w:r w:rsidR="00901BE3" w:rsidRPr="0071567C">
        <w:rPr>
          <w:rFonts w:ascii="Palatino Linotype" w:hAnsi="Palatino Linotype"/>
          <w:color w:val="000000" w:themeColor="text1"/>
          <w:lang w:val="en-GB"/>
        </w:rPr>
        <w:t>o</w:t>
      </w:r>
      <w:r w:rsidR="00F33182" w:rsidRPr="0071567C">
        <w:rPr>
          <w:rFonts w:ascii="Palatino Linotype" w:hAnsi="Palatino Linotype"/>
          <w:color w:val="000000" w:themeColor="text1"/>
          <w:lang w:val="en-GB"/>
        </w:rPr>
        <w:t xml:space="preserve">n the </w:t>
      </w:r>
      <w:r w:rsidR="009F0B7B" w:rsidRPr="0071567C">
        <w:rPr>
          <w:rFonts w:ascii="Palatino Linotype" w:hAnsi="Palatino Linotype"/>
          <w:color w:val="000000" w:themeColor="text1"/>
          <w:lang w:val="en-GB"/>
        </w:rPr>
        <w:t xml:space="preserve">other </w:t>
      </w:r>
      <w:r w:rsidR="005D1743" w:rsidRPr="0071567C">
        <w:rPr>
          <w:rFonts w:ascii="Palatino Linotype" w:hAnsi="Palatino Linotype"/>
          <w:color w:val="000000" w:themeColor="text1"/>
          <w:lang w:val="en-GB"/>
        </w:rPr>
        <w:t>hand</w:t>
      </w:r>
      <w:r w:rsidR="00F33182" w:rsidRPr="0071567C">
        <w:rPr>
          <w:rFonts w:ascii="Palatino Linotype" w:hAnsi="Palatino Linotype"/>
          <w:color w:val="000000" w:themeColor="text1"/>
          <w:lang w:val="en-GB"/>
        </w:rPr>
        <w:t>, good</w:t>
      </w:r>
      <w:r w:rsidR="009C280A" w:rsidRPr="0071567C">
        <w:rPr>
          <w:rFonts w:ascii="Palatino Linotype" w:hAnsi="Palatino Linotype"/>
          <w:color w:val="000000" w:themeColor="text1"/>
          <w:lang w:val="en-GB"/>
        </w:rPr>
        <w:t>-</w:t>
      </w:r>
      <w:r w:rsidRPr="0071567C">
        <w:rPr>
          <w:rFonts w:ascii="Palatino Linotype" w:hAnsi="Palatino Linotype"/>
          <w:color w:val="000000" w:themeColor="text1"/>
          <w:lang w:val="en-GB"/>
        </w:rPr>
        <w:t>quality</w:t>
      </w:r>
      <w:r w:rsidR="00F33182" w:rsidRPr="0071567C">
        <w:rPr>
          <w:rFonts w:ascii="Palatino Linotype" w:hAnsi="Palatino Linotype"/>
          <w:color w:val="000000" w:themeColor="text1"/>
          <w:lang w:val="en-GB"/>
        </w:rPr>
        <w:t xml:space="preserve"> legal services generate positive externalities</w:t>
      </w:r>
      <w:r w:rsidRPr="0071567C">
        <w:rPr>
          <w:rFonts w:ascii="Palatino Linotype" w:hAnsi="Palatino Linotype"/>
          <w:color w:val="000000" w:themeColor="text1"/>
          <w:lang w:val="en-GB"/>
        </w:rPr>
        <w:t xml:space="preserve">, contributing </w:t>
      </w:r>
      <w:r w:rsidRPr="0071567C">
        <w:rPr>
          <w:rFonts w:ascii="Palatino Linotype" w:eastAsiaTheme="minorHAnsi" w:hAnsi="Palatino Linotype"/>
          <w:color w:val="000000" w:themeColor="text1"/>
          <w:lang w:val="en-GB" w:eastAsia="en-US"/>
        </w:rPr>
        <w:t xml:space="preserve">to ensure the protection of the client’s rights, as well as to safeguard the correct administration </w:t>
      </w:r>
      <w:r w:rsidRPr="0071567C">
        <w:rPr>
          <w:rFonts w:ascii="Palatino Linotype" w:eastAsiaTheme="minorHAnsi" w:hAnsi="Palatino Linotype"/>
          <w:color w:val="000000" w:themeColor="text1"/>
          <w:lang w:val="en-GB" w:eastAsia="en-US"/>
        </w:rPr>
        <w:lastRenderedPageBreak/>
        <w:t>of justice in the interest of the community.</w:t>
      </w:r>
      <w:r w:rsidR="001D48A7" w:rsidRPr="0071567C">
        <w:rPr>
          <w:rFonts w:ascii="Palatino Linotype" w:eastAsiaTheme="minorHAnsi" w:hAnsi="Palatino Linotype"/>
          <w:color w:val="000000" w:themeColor="text1"/>
          <w:lang w:val="en-GB" w:eastAsia="en-US"/>
        </w:rPr>
        <w:t xml:space="preserve"> As a </w:t>
      </w:r>
      <w:r w:rsidR="00394138" w:rsidRPr="0071567C">
        <w:rPr>
          <w:rFonts w:ascii="Palatino Linotype" w:eastAsiaTheme="minorHAnsi" w:hAnsi="Palatino Linotype"/>
          <w:color w:val="000000" w:themeColor="text1"/>
          <w:lang w:val="en-GB" w:eastAsia="en-US"/>
        </w:rPr>
        <w:t>result</w:t>
      </w:r>
      <w:r w:rsidR="001D48A7" w:rsidRPr="0071567C">
        <w:rPr>
          <w:rFonts w:ascii="Palatino Linotype" w:eastAsiaTheme="minorHAnsi" w:hAnsi="Palatino Linotype"/>
          <w:color w:val="000000" w:themeColor="text1"/>
          <w:lang w:val="en-GB" w:eastAsia="en-US"/>
        </w:rPr>
        <w:t>,</w:t>
      </w:r>
      <w:r w:rsidR="009F0B7B" w:rsidRPr="0071567C">
        <w:rPr>
          <w:rFonts w:ascii="Palatino Linotype" w:eastAsiaTheme="minorHAnsi" w:hAnsi="Palatino Linotype"/>
          <w:color w:val="000000" w:themeColor="text1"/>
          <w:lang w:val="en-GB" w:eastAsia="en-US"/>
        </w:rPr>
        <w:t xml:space="preserve"> among the rationale</w:t>
      </w:r>
      <w:r w:rsidR="004006A7" w:rsidRPr="0071567C">
        <w:rPr>
          <w:rFonts w:ascii="Palatino Linotype" w:eastAsiaTheme="minorHAnsi" w:hAnsi="Palatino Linotype"/>
          <w:color w:val="000000" w:themeColor="text1"/>
          <w:lang w:val="en-GB" w:eastAsia="en-US"/>
        </w:rPr>
        <w:t>s</w:t>
      </w:r>
      <w:r w:rsidR="009F0B7B" w:rsidRPr="0071567C">
        <w:rPr>
          <w:rFonts w:ascii="Palatino Linotype" w:eastAsiaTheme="minorHAnsi" w:hAnsi="Palatino Linotype"/>
          <w:color w:val="000000" w:themeColor="text1"/>
          <w:lang w:val="en-GB" w:eastAsia="en-US"/>
        </w:rPr>
        <w:t xml:space="preserve"> of</w:t>
      </w:r>
      <w:r w:rsidR="001D48A7" w:rsidRPr="0071567C">
        <w:rPr>
          <w:rFonts w:ascii="Palatino Linotype" w:eastAsiaTheme="minorHAnsi" w:hAnsi="Palatino Linotype"/>
          <w:color w:val="000000" w:themeColor="text1"/>
          <w:lang w:val="en-GB" w:eastAsia="en-US"/>
        </w:rPr>
        <w:t xml:space="preserve"> professional regulation, </w:t>
      </w:r>
      <w:r w:rsidR="00057CE8" w:rsidRPr="0071567C">
        <w:rPr>
          <w:rFonts w:ascii="Palatino Linotype" w:eastAsiaTheme="minorHAnsi" w:hAnsi="Palatino Linotype"/>
          <w:color w:val="000000" w:themeColor="text1"/>
          <w:lang w:val="en-GB" w:eastAsia="en-US"/>
        </w:rPr>
        <w:t>there is</w:t>
      </w:r>
      <w:r w:rsidR="001D48A7" w:rsidRPr="0071567C">
        <w:rPr>
          <w:rFonts w:ascii="Palatino Linotype" w:eastAsiaTheme="minorHAnsi" w:hAnsi="Palatino Linotype"/>
          <w:color w:val="000000" w:themeColor="text1"/>
          <w:lang w:val="en-GB" w:eastAsia="en-US"/>
        </w:rPr>
        <w:t xml:space="preserve"> the need to avoid negative externalities while protecting the positive ones</w:t>
      </w:r>
      <w:r w:rsidR="004006A7" w:rsidRPr="0071567C">
        <w:rPr>
          <w:rFonts w:ascii="Palatino Linotype" w:eastAsiaTheme="minorHAnsi" w:hAnsi="Palatino Linotype"/>
          <w:color w:val="000000" w:themeColor="text1"/>
          <w:lang w:val="en-GB" w:eastAsia="en-US"/>
        </w:rPr>
        <w:t>.</w:t>
      </w:r>
      <w:r w:rsidR="00F00C61" w:rsidRPr="0071567C">
        <w:rPr>
          <w:rStyle w:val="FootnoteReference"/>
          <w:rFonts w:ascii="Palatino Linotype" w:eastAsiaTheme="minorHAnsi" w:hAnsi="Palatino Linotype"/>
          <w:color w:val="000000" w:themeColor="text1"/>
          <w:lang w:val="en-GB" w:eastAsia="en-US"/>
        </w:rPr>
        <w:footnoteReference w:id="10"/>
      </w:r>
    </w:p>
    <w:p w:rsidR="00F92770" w:rsidRPr="0071567C" w:rsidRDefault="00F00C61" w:rsidP="00E67C64">
      <w:pPr>
        <w:autoSpaceDE w:val="0"/>
        <w:autoSpaceDN w:val="0"/>
        <w:adjustRightInd w:val="0"/>
        <w:spacing w:line="480" w:lineRule="auto"/>
        <w:jc w:val="both"/>
        <w:rPr>
          <w:rFonts w:ascii="Palatino Linotype" w:eastAsiaTheme="minorHAnsi" w:hAnsi="Palatino Linotype"/>
          <w:color w:val="000000" w:themeColor="text1"/>
          <w:lang w:val="en-GB" w:eastAsia="en-US"/>
        </w:rPr>
      </w:pPr>
      <w:r w:rsidRPr="0071567C">
        <w:rPr>
          <w:rFonts w:ascii="Palatino Linotype" w:eastAsiaTheme="minorHAnsi" w:hAnsi="Palatino Linotype"/>
          <w:color w:val="000000" w:themeColor="text1"/>
          <w:lang w:val="en-GB" w:eastAsia="en-US"/>
        </w:rPr>
        <w:t xml:space="preserve">The public interest explanations may constitute, therefore, the premise and the justification for the </w:t>
      </w:r>
      <w:r w:rsidR="00F92770" w:rsidRPr="0071567C">
        <w:rPr>
          <w:rFonts w:ascii="Palatino Linotype" w:eastAsiaTheme="minorHAnsi" w:hAnsi="Palatino Linotype"/>
          <w:color w:val="000000" w:themeColor="text1"/>
          <w:lang w:val="en-GB" w:eastAsia="en-US"/>
        </w:rPr>
        <w:t>maint</w:t>
      </w:r>
      <w:r w:rsidR="00394138" w:rsidRPr="0071567C">
        <w:rPr>
          <w:rFonts w:ascii="Palatino Linotype" w:eastAsiaTheme="minorHAnsi" w:hAnsi="Palatino Linotype"/>
          <w:color w:val="000000" w:themeColor="text1"/>
          <w:lang w:val="en-GB" w:eastAsia="en-US"/>
        </w:rPr>
        <w:t>e</w:t>
      </w:r>
      <w:r w:rsidR="00F92770" w:rsidRPr="0071567C">
        <w:rPr>
          <w:rFonts w:ascii="Palatino Linotype" w:eastAsiaTheme="minorHAnsi" w:hAnsi="Palatino Linotype"/>
          <w:color w:val="000000" w:themeColor="text1"/>
          <w:lang w:val="en-GB" w:eastAsia="en-US"/>
        </w:rPr>
        <w:t>nance</w:t>
      </w:r>
      <w:r w:rsidRPr="0071567C">
        <w:rPr>
          <w:rFonts w:ascii="Palatino Linotype" w:eastAsiaTheme="minorHAnsi" w:hAnsi="Palatino Linotype"/>
          <w:color w:val="000000" w:themeColor="text1"/>
          <w:lang w:val="en-GB" w:eastAsia="en-US"/>
        </w:rPr>
        <w:t xml:space="preserve"> of </w:t>
      </w:r>
      <w:r w:rsidR="004006A7" w:rsidRPr="0071567C">
        <w:rPr>
          <w:rFonts w:ascii="Palatino Linotype" w:eastAsiaTheme="minorHAnsi" w:hAnsi="Palatino Linotype"/>
          <w:color w:val="000000" w:themeColor="text1"/>
          <w:lang w:val="en-GB" w:eastAsia="en-US"/>
        </w:rPr>
        <w:t xml:space="preserve">a number of </w:t>
      </w:r>
      <w:r w:rsidRPr="0071567C">
        <w:rPr>
          <w:rFonts w:ascii="Palatino Linotype" w:eastAsiaTheme="minorHAnsi" w:hAnsi="Palatino Linotype"/>
          <w:color w:val="000000" w:themeColor="text1"/>
          <w:lang w:val="en-GB" w:eastAsia="en-US"/>
        </w:rPr>
        <w:t>professional regulations at</w:t>
      </w:r>
      <w:r w:rsidR="004006A7" w:rsidRPr="0071567C">
        <w:rPr>
          <w:rFonts w:ascii="Palatino Linotype" w:eastAsiaTheme="minorHAnsi" w:hAnsi="Palatino Linotype"/>
          <w:color w:val="000000" w:themeColor="text1"/>
          <w:lang w:val="en-GB" w:eastAsia="en-US"/>
        </w:rPr>
        <w:t xml:space="preserve"> the</w:t>
      </w:r>
      <w:r w:rsidRPr="0071567C">
        <w:rPr>
          <w:rFonts w:ascii="Palatino Linotype" w:eastAsiaTheme="minorHAnsi" w:hAnsi="Palatino Linotype"/>
          <w:color w:val="000000" w:themeColor="text1"/>
          <w:lang w:val="en-GB" w:eastAsia="en-US"/>
        </w:rPr>
        <w:t xml:space="preserve"> national level. </w:t>
      </w:r>
      <w:r w:rsidR="00F92770" w:rsidRPr="0071567C">
        <w:rPr>
          <w:rFonts w:ascii="Palatino Linotype" w:eastAsiaTheme="minorHAnsi" w:hAnsi="Palatino Linotype"/>
          <w:color w:val="000000" w:themeColor="text1"/>
          <w:lang w:val="en-GB" w:eastAsia="en-US"/>
        </w:rPr>
        <w:t>Nevertheless, not all the restrictive rules may be justified on the basis o</w:t>
      </w:r>
      <w:r w:rsidR="00394138" w:rsidRPr="0071567C">
        <w:rPr>
          <w:rFonts w:ascii="Palatino Linotype" w:eastAsiaTheme="minorHAnsi" w:hAnsi="Palatino Linotype"/>
          <w:color w:val="000000" w:themeColor="text1"/>
          <w:lang w:val="en-GB" w:eastAsia="en-US"/>
        </w:rPr>
        <w:t>f</w:t>
      </w:r>
      <w:r w:rsidR="00F92770" w:rsidRPr="0071567C">
        <w:rPr>
          <w:rFonts w:ascii="Palatino Linotype" w:eastAsiaTheme="minorHAnsi" w:hAnsi="Palatino Linotype"/>
          <w:color w:val="000000" w:themeColor="text1"/>
          <w:lang w:val="en-GB" w:eastAsia="en-US"/>
        </w:rPr>
        <w:t xml:space="preserve"> the public interest arguments</w:t>
      </w:r>
      <w:r w:rsidR="004006A7" w:rsidRPr="0071567C">
        <w:rPr>
          <w:rFonts w:ascii="Palatino Linotype" w:eastAsiaTheme="minorHAnsi" w:hAnsi="Palatino Linotype"/>
          <w:color w:val="000000" w:themeColor="text1"/>
          <w:lang w:val="en-GB" w:eastAsia="en-US"/>
        </w:rPr>
        <w:t>.</w:t>
      </w:r>
      <w:r w:rsidR="009F0B7B" w:rsidRPr="0071567C">
        <w:rPr>
          <w:rStyle w:val="FootnoteReference"/>
          <w:rFonts w:ascii="Palatino Linotype" w:eastAsiaTheme="minorHAnsi" w:hAnsi="Palatino Linotype"/>
          <w:color w:val="000000" w:themeColor="text1"/>
          <w:lang w:val="en-GB" w:eastAsia="en-US"/>
        </w:rPr>
        <w:footnoteReference w:id="11"/>
      </w:r>
      <w:r w:rsidR="00F92770" w:rsidRPr="0071567C">
        <w:rPr>
          <w:rFonts w:ascii="Palatino Linotype" w:eastAsiaTheme="minorHAnsi" w:hAnsi="Palatino Linotype"/>
          <w:color w:val="000000" w:themeColor="text1"/>
          <w:lang w:val="en-GB" w:eastAsia="en-US"/>
        </w:rPr>
        <w:t xml:space="preserve"> The </w:t>
      </w:r>
      <w:r w:rsidR="00F92770" w:rsidRPr="0071567C">
        <w:rPr>
          <w:rFonts w:ascii="Palatino Linotype" w:eastAsiaTheme="minorHAnsi" w:hAnsi="Palatino Linotype"/>
          <w:i/>
          <w:color w:val="000000" w:themeColor="text1"/>
          <w:lang w:val="en-GB" w:eastAsia="en-US"/>
        </w:rPr>
        <w:t>equilibrium</w:t>
      </w:r>
      <w:r w:rsidR="00F92770" w:rsidRPr="0071567C">
        <w:rPr>
          <w:rFonts w:ascii="Palatino Linotype" w:eastAsiaTheme="minorHAnsi" w:hAnsi="Palatino Linotype"/>
          <w:color w:val="000000" w:themeColor="text1"/>
          <w:lang w:val="en-GB" w:eastAsia="en-US"/>
        </w:rPr>
        <w:t xml:space="preserve"> between the </w:t>
      </w:r>
      <w:r w:rsidR="00C97DCF" w:rsidRPr="0071567C">
        <w:rPr>
          <w:rFonts w:ascii="Palatino Linotype" w:eastAsiaTheme="minorHAnsi" w:hAnsi="Palatino Linotype"/>
          <w:color w:val="000000" w:themeColor="text1"/>
          <w:lang w:val="en-GB" w:eastAsia="en-US"/>
        </w:rPr>
        <w:t>preservation</w:t>
      </w:r>
      <w:r w:rsidR="00F92770" w:rsidRPr="0071567C">
        <w:rPr>
          <w:rFonts w:ascii="Palatino Linotype" w:eastAsiaTheme="minorHAnsi" w:hAnsi="Palatino Linotype"/>
          <w:color w:val="000000" w:themeColor="text1"/>
          <w:lang w:val="en-GB" w:eastAsia="en-US"/>
        </w:rPr>
        <w:t xml:space="preserve"> of traditional restrictive rules and the introduction of pro</w:t>
      </w:r>
      <w:r w:rsidR="00635F38" w:rsidRPr="0071567C">
        <w:rPr>
          <w:rFonts w:ascii="Palatino Linotype" w:eastAsiaTheme="minorHAnsi" w:hAnsi="Palatino Linotype"/>
          <w:color w:val="000000" w:themeColor="text1"/>
          <w:lang w:val="en-GB" w:eastAsia="en-US"/>
        </w:rPr>
        <w:t>-competition</w:t>
      </w:r>
      <w:r w:rsidR="00F92770" w:rsidRPr="0071567C">
        <w:rPr>
          <w:rFonts w:ascii="Palatino Linotype" w:eastAsiaTheme="minorHAnsi" w:hAnsi="Palatino Linotype"/>
          <w:color w:val="000000" w:themeColor="text1"/>
          <w:lang w:val="en-GB" w:eastAsia="en-US"/>
        </w:rPr>
        <w:t xml:space="preserve"> </w:t>
      </w:r>
      <w:r w:rsidR="00635F38" w:rsidRPr="0071567C">
        <w:rPr>
          <w:rFonts w:ascii="Palatino Linotype" w:eastAsiaTheme="minorHAnsi" w:hAnsi="Palatino Linotype"/>
          <w:color w:val="000000" w:themeColor="text1"/>
          <w:lang w:val="en-GB" w:eastAsia="en-US"/>
        </w:rPr>
        <w:t xml:space="preserve">mechanisms </w:t>
      </w:r>
      <w:r w:rsidR="00F92770" w:rsidRPr="0071567C">
        <w:rPr>
          <w:rFonts w:ascii="Palatino Linotype" w:eastAsiaTheme="minorHAnsi" w:hAnsi="Palatino Linotype"/>
          <w:color w:val="000000" w:themeColor="text1"/>
          <w:lang w:val="en-GB" w:eastAsia="en-US"/>
        </w:rPr>
        <w:t xml:space="preserve">is not always easy to find. </w:t>
      </w:r>
    </w:p>
    <w:p w:rsidR="00F92770" w:rsidRPr="0071567C" w:rsidRDefault="00F92770" w:rsidP="00E67C64">
      <w:pPr>
        <w:spacing w:line="480" w:lineRule="auto"/>
        <w:jc w:val="both"/>
        <w:rPr>
          <w:rFonts w:ascii="Palatino Linotype" w:hAnsi="Palatino Linotype"/>
          <w:b/>
          <w:color w:val="000000" w:themeColor="text1"/>
          <w:lang w:val="en-GB"/>
        </w:rPr>
      </w:pPr>
    </w:p>
    <w:p w:rsidR="00DF22E0" w:rsidRPr="0071567C" w:rsidRDefault="00F92770" w:rsidP="00E67C64">
      <w:pPr>
        <w:pStyle w:val="ListParagraph"/>
        <w:numPr>
          <w:ilvl w:val="0"/>
          <w:numId w:val="8"/>
        </w:numPr>
        <w:spacing w:line="480" w:lineRule="auto"/>
        <w:jc w:val="both"/>
        <w:rPr>
          <w:rFonts w:ascii="Palatino Linotype" w:hAnsi="Palatino Linotype"/>
          <w:b/>
          <w:color w:val="000000" w:themeColor="text1"/>
          <w:szCs w:val="24"/>
          <w:lang w:val="en-GB"/>
        </w:rPr>
      </w:pPr>
      <w:r w:rsidRPr="0071567C">
        <w:rPr>
          <w:rFonts w:ascii="Palatino Linotype" w:hAnsi="Palatino Linotype"/>
          <w:b/>
          <w:color w:val="000000" w:themeColor="text1"/>
          <w:szCs w:val="24"/>
          <w:lang w:val="en-GB"/>
        </w:rPr>
        <w:t xml:space="preserve">Entry </w:t>
      </w:r>
      <w:r w:rsidR="004006A7" w:rsidRPr="0071567C">
        <w:rPr>
          <w:rFonts w:ascii="Palatino Linotype" w:hAnsi="Palatino Linotype"/>
          <w:b/>
          <w:color w:val="000000" w:themeColor="text1"/>
          <w:szCs w:val="24"/>
          <w:lang w:val="en-GB"/>
        </w:rPr>
        <w:t xml:space="preserve">restrictions </w:t>
      </w:r>
      <w:r w:rsidRPr="0071567C">
        <w:rPr>
          <w:rFonts w:ascii="Palatino Linotype" w:hAnsi="Palatino Linotype"/>
          <w:b/>
          <w:color w:val="000000" w:themeColor="text1"/>
          <w:szCs w:val="24"/>
          <w:lang w:val="en-GB"/>
        </w:rPr>
        <w:t>and their justification: ensuring</w:t>
      </w:r>
      <w:r w:rsidR="004006A7" w:rsidRPr="0071567C">
        <w:rPr>
          <w:rFonts w:ascii="Palatino Linotype" w:hAnsi="Palatino Linotype"/>
          <w:b/>
          <w:color w:val="000000" w:themeColor="text1"/>
          <w:szCs w:val="24"/>
          <w:lang w:val="en-GB"/>
        </w:rPr>
        <w:t xml:space="preserve"> the quality of</w:t>
      </w:r>
      <w:r w:rsidRPr="0071567C">
        <w:rPr>
          <w:rFonts w:ascii="Palatino Linotype" w:hAnsi="Palatino Linotype"/>
          <w:b/>
          <w:color w:val="000000" w:themeColor="text1"/>
          <w:szCs w:val="24"/>
          <w:lang w:val="en-GB"/>
        </w:rPr>
        <w:t xml:space="preserve"> </w:t>
      </w:r>
      <w:r w:rsidR="004006A7" w:rsidRPr="0071567C">
        <w:rPr>
          <w:rFonts w:ascii="Palatino Linotype" w:hAnsi="Palatino Linotype"/>
          <w:b/>
          <w:color w:val="000000" w:themeColor="text1"/>
          <w:szCs w:val="24"/>
          <w:lang w:val="en-GB"/>
        </w:rPr>
        <w:t>legal services</w:t>
      </w:r>
      <w:r w:rsidRPr="0071567C">
        <w:rPr>
          <w:rFonts w:ascii="Palatino Linotype" w:hAnsi="Palatino Linotype"/>
          <w:b/>
          <w:color w:val="000000" w:themeColor="text1"/>
          <w:szCs w:val="24"/>
          <w:lang w:val="en-GB"/>
        </w:rPr>
        <w:t xml:space="preserve"> </w:t>
      </w:r>
    </w:p>
    <w:p w:rsidR="00320271" w:rsidRPr="0071567C" w:rsidRDefault="00DF22E0" w:rsidP="00E67C64">
      <w:pPr>
        <w:autoSpaceDE w:val="0"/>
        <w:autoSpaceDN w:val="0"/>
        <w:adjustRightInd w:val="0"/>
        <w:spacing w:line="480" w:lineRule="auto"/>
        <w:jc w:val="both"/>
        <w:rPr>
          <w:rFonts w:ascii="Palatino Linotype" w:eastAsiaTheme="minorHAnsi" w:hAnsi="Palatino Linotype"/>
          <w:color w:val="000000" w:themeColor="text1"/>
          <w:lang w:val="en-GB" w:eastAsia="en-US"/>
        </w:rPr>
      </w:pPr>
      <w:r w:rsidRPr="0071567C">
        <w:rPr>
          <w:rFonts w:ascii="Palatino Linotype" w:hAnsi="Palatino Linotype"/>
          <w:color w:val="000000" w:themeColor="text1"/>
          <w:lang w:val="en-GB"/>
        </w:rPr>
        <w:t>Qualification and entry requirements (encompass</w:t>
      </w:r>
      <w:r w:rsidR="004006A7" w:rsidRPr="0071567C">
        <w:rPr>
          <w:rFonts w:ascii="Palatino Linotype" w:hAnsi="Palatino Linotype"/>
          <w:color w:val="000000" w:themeColor="text1"/>
          <w:lang w:val="en-GB"/>
        </w:rPr>
        <w:t>ing</w:t>
      </w:r>
      <w:r w:rsidRPr="0071567C">
        <w:rPr>
          <w:rFonts w:ascii="Palatino Linotype" w:hAnsi="Palatino Linotype"/>
          <w:color w:val="000000" w:themeColor="text1"/>
          <w:lang w:val="en-GB"/>
        </w:rPr>
        <w:t xml:space="preserve"> academic education</w:t>
      </w:r>
      <w:r w:rsidR="004006A7" w:rsidRPr="0071567C">
        <w:rPr>
          <w:rFonts w:ascii="Palatino Linotype" w:hAnsi="Palatino Linotype"/>
          <w:color w:val="000000" w:themeColor="text1"/>
          <w:lang w:val="en-GB"/>
        </w:rPr>
        <w:t xml:space="preserve"> and </w:t>
      </w:r>
      <w:r w:rsidRPr="0071567C">
        <w:rPr>
          <w:rFonts w:ascii="Palatino Linotype" w:hAnsi="Palatino Linotype"/>
          <w:color w:val="000000" w:themeColor="text1"/>
          <w:lang w:val="en-GB"/>
        </w:rPr>
        <w:t>training as well as professional examinations) are</w:t>
      </w:r>
      <w:r w:rsidR="004006A7" w:rsidRPr="0071567C">
        <w:rPr>
          <w:rFonts w:ascii="Palatino Linotype" w:hAnsi="Palatino Linotype"/>
          <w:color w:val="000000" w:themeColor="text1"/>
          <w:lang w:val="en-GB"/>
        </w:rPr>
        <w:t xml:space="preserve"> a</w:t>
      </w:r>
      <w:r w:rsidRPr="0071567C">
        <w:rPr>
          <w:rFonts w:ascii="Palatino Linotype" w:hAnsi="Palatino Linotype"/>
          <w:color w:val="000000" w:themeColor="text1"/>
          <w:lang w:val="en-GB"/>
        </w:rPr>
        <w:t xml:space="preserve"> basic component of the regulation of </w:t>
      </w:r>
      <w:r w:rsidR="000B302A" w:rsidRPr="0071567C">
        <w:rPr>
          <w:rFonts w:ascii="Palatino Linotype" w:hAnsi="Palatino Linotype"/>
          <w:color w:val="000000" w:themeColor="text1"/>
          <w:lang w:val="en-GB"/>
        </w:rPr>
        <w:t>lawyers</w:t>
      </w:r>
      <w:r w:rsidRPr="0071567C">
        <w:rPr>
          <w:rFonts w:ascii="Palatino Linotype" w:hAnsi="Palatino Linotype"/>
          <w:color w:val="000000" w:themeColor="text1"/>
          <w:lang w:val="en-GB"/>
        </w:rPr>
        <w:t>.</w:t>
      </w:r>
      <w:r w:rsidR="000B302A" w:rsidRPr="0071567C">
        <w:rPr>
          <w:rFonts w:ascii="Palatino Linotype" w:hAnsi="Palatino Linotype"/>
          <w:color w:val="000000" w:themeColor="text1"/>
          <w:lang w:val="en-GB"/>
        </w:rPr>
        <w:t xml:space="preserve"> This is not surprising, considering the fact that </w:t>
      </w:r>
      <w:r w:rsidR="000B302A" w:rsidRPr="0071567C">
        <w:rPr>
          <w:rFonts w:ascii="Palatino Linotype" w:eastAsiaTheme="minorHAnsi" w:hAnsi="Palatino Linotype"/>
          <w:color w:val="000000" w:themeColor="text1"/>
          <w:lang w:val="en-GB" w:eastAsia="en-US"/>
        </w:rPr>
        <w:t xml:space="preserve">the legal profession is classified as a regulated profession in </w:t>
      </w:r>
      <w:r w:rsidR="007A7B50" w:rsidRPr="0071567C">
        <w:rPr>
          <w:rFonts w:ascii="Palatino Linotype" w:eastAsiaTheme="minorHAnsi" w:hAnsi="Palatino Linotype"/>
          <w:color w:val="000000" w:themeColor="text1"/>
          <w:lang w:val="en-GB" w:eastAsia="en-US"/>
        </w:rPr>
        <w:t xml:space="preserve">almost </w:t>
      </w:r>
      <w:r w:rsidR="000B302A" w:rsidRPr="0071567C">
        <w:rPr>
          <w:rFonts w:ascii="Palatino Linotype" w:eastAsiaTheme="minorHAnsi" w:hAnsi="Palatino Linotype"/>
          <w:color w:val="000000" w:themeColor="text1"/>
          <w:lang w:val="en-GB" w:eastAsia="en-US"/>
        </w:rPr>
        <w:t xml:space="preserve">all </w:t>
      </w:r>
      <w:r w:rsidR="004006A7" w:rsidRPr="0071567C">
        <w:rPr>
          <w:rFonts w:ascii="Palatino Linotype" w:eastAsiaTheme="minorHAnsi" w:hAnsi="Palatino Linotype"/>
          <w:color w:val="000000" w:themeColor="text1"/>
          <w:lang w:val="en-GB" w:eastAsia="en-US"/>
        </w:rPr>
        <w:t>member states.</w:t>
      </w:r>
      <w:r w:rsidR="00666241" w:rsidRPr="0071567C">
        <w:rPr>
          <w:rStyle w:val="FootnoteReference"/>
          <w:rFonts w:ascii="Palatino Linotype" w:eastAsiaTheme="minorHAnsi" w:hAnsi="Palatino Linotype"/>
          <w:color w:val="000000" w:themeColor="text1"/>
          <w:lang w:val="en-GB" w:eastAsia="en-US"/>
        </w:rPr>
        <w:footnoteReference w:id="12"/>
      </w:r>
      <w:r w:rsidR="000B302A" w:rsidRPr="0071567C">
        <w:rPr>
          <w:rFonts w:ascii="Palatino Linotype" w:eastAsiaTheme="minorHAnsi" w:hAnsi="Palatino Linotype"/>
          <w:color w:val="000000" w:themeColor="text1"/>
          <w:lang w:val="en-GB" w:eastAsia="en-US"/>
        </w:rPr>
        <w:t xml:space="preserve"> Nevertheless, according to the Commission</w:t>
      </w:r>
      <w:r w:rsidR="004006A7" w:rsidRPr="0071567C">
        <w:rPr>
          <w:rFonts w:ascii="Palatino Linotype" w:eastAsiaTheme="minorHAnsi" w:hAnsi="Palatino Linotype"/>
          <w:color w:val="000000" w:themeColor="text1"/>
          <w:lang w:val="en-GB" w:eastAsia="en-US"/>
        </w:rPr>
        <w:t>,</w:t>
      </w:r>
      <w:r w:rsidR="000B302A" w:rsidRPr="0071567C">
        <w:rPr>
          <w:rFonts w:ascii="Palatino Linotype" w:eastAsiaTheme="minorHAnsi" w:hAnsi="Palatino Linotype"/>
          <w:color w:val="000000" w:themeColor="text1"/>
          <w:lang w:val="en-GB" w:eastAsia="en-US"/>
        </w:rPr>
        <w:t xml:space="preserve"> </w:t>
      </w:r>
      <w:r w:rsidR="00D738B9" w:rsidRPr="0071567C">
        <w:rPr>
          <w:rFonts w:ascii="Palatino Linotype" w:eastAsiaTheme="minorHAnsi" w:hAnsi="Palatino Linotype"/>
          <w:color w:val="000000" w:themeColor="text1"/>
          <w:lang w:val="en-GB" w:eastAsia="en-US"/>
        </w:rPr>
        <w:t xml:space="preserve">with </w:t>
      </w:r>
      <w:r w:rsidR="00D738B9" w:rsidRPr="0071567C">
        <w:rPr>
          <w:rFonts w:ascii="Palatino Linotype" w:eastAsiaTheme="minorHAnsi" w:hAnsi="Palatino Linotype"/>
          <w:color w:val="000000" w:themeColor="text1"/>
          <w:lang w:val="en-GB" w:eastAsia="en-US"/>
        </w:rPr>
        <w:lastRenderedPageBreak/>
        <w:t xml:space="preserve">the recent </w:t>
      </w:r>
      <w:r w:rsidR="000B302A" w:rsidRPr="0071567C">
        <w:rPr>
          <w:rFonts w:ascii="Palatino Linotype" w:eastAsiaTheme="minorHAnsi" w:hAnsi="Palatino Linotype"/>
          <w:color w:val="000000" w:themeColor="text1"/>
          <w:lang w:val="en-GB" w:eastAsia="en-US"/>
        </w:rPr>
        <w:t xml:space="preserve">initiatives aiming at giving an economic perspective </w:t>
      </w:r>
      <w:r w:rsidR="004006A7" w:rsidRPr="0071567C">
        <w:rPr>
          <w:rFonts w:ascii="Palatino Linotype" w:eastAsiaTheme="minorHAnsi" w:hAnsi="Palatino Linotype"/>
          <w:color w:val="000000" w:themeColor="text1"/>
          <w:lang w:val="en-GB" w:eastAsia="en-US"/>
        </w:rPr>
        <w:t xml:space="preserve">to </w:t>
      </w:r>
      <w:r w:rsidR="000B302A" w:rsidRPr="0071567C">
        <w:rPr>
          <w:rFonts w:ascii="Palatino Linotype" w:eastAsiaTheme="minorHAnsi" w:hAnsi="Palatino Linotype"/>
          <w:color w:val="000000" w:themeColor="text1"/>
          <w:lang w:val="en-GB" w:eastAsia="en-US"/>
        </w:rPr>
        <w:t xml:space="preserve">the regulation of the liberal professions, </w:t>
      </w:r>
      <w:r w:rsidR="007A7B50" w:rsidRPr="0071567C">
        <w:rPr>
          <w:rFonts w:ascii="Palatino Linotype" w:eastAsiaTheme="minorHAnsi" w:hAnsi="Palatino Linotype"/>
          <w:color w:val="000000" w:themeColor="text1"/>
          <w:lang w:val="en-GB" w:eastAsia="en-US"/>
        </w:rPr>
        <w:t xml:space="preserve">the justification of </w:t>
      </w:r>
      <w:r w:rsidR="000B302A" w:rsidRPr="0071567C">
        <w:rPr>
          <w:rFonts w:ascii="Palatino Linotype" w:eastAsiaTheme="minorHAnsi" w:hAnsi="Palatino Linotype"/>
          <w:color w:val="000000" w:themeColor="text1"/>
          <w:lang w:val="en-GB" w:eastAsia="en-US"/>
        </w:rPr>
        <w:t>th</w:t>
      </w:r>
      <w:r w:rsidR="00CE2585" w:rsidRPr="0071567C">
        <w:rPr>
          <w:rFonts w:ascii="Palatino Linotype" w:eastAsiaTheme="minorHAnsi" w:hAnsi="Palatino Linotype"/>
          <w:color w:val="000000" w:themeColor="text1"/>
          <w:lang w:val="en-GB" w:eastAsia="en-US"/>
        </w:rPr>
        <w:t>is</w:t>
      </w:r>
      <w:r w:rsidR="000B302A" w:rsidRPr="0071567C">
        <w:rPr>
          <w:rFonts w:ascii="Palatino Linotype" w:eastAsiaTheme="minorHAnsi" w:hAnsi="Palatino Linotype"/>
          <w:color w:val="000000" w:themeColor="text1"/>
          <w:lang w:val="en-GB" w:eastAsia="en-US"/>
        </w:rPr>
        <w:t xml:space="preserve"> kind of restriction </w:t>
      </w:r>
      <w:r w:rsidR="007A7B50" w:rsidRPr="0071567C">
        <w:rPr>
          <w:rFonts w:ascii="Palatino Linotype" w:eastAsiaTheme="minorHAnsi" w:hAnsi="Palatino Linotype"/>
          <w:color w:val="000000" w:themeColor="text1"/>
          <w:lang w:val="en-GB" w:eastAsia="en-US"/>
        </w:rPr>
        <w:t xml:space="preserve">has been questioned, in order to </w:t>
      </w:r>
      <w:r w:rsidR="00D738B9" w:rsidRPr="0071567C">
        <w:rPr>
          <w:rFonts w:ascii="Palatino Linotype" w:eastAsiaTheme="minorHAnsi" w:hAnsi="Palatino Linotype"/>
          <w:color w:val="000000" w:themeColor="text1"/>
          <w:lang w:val="en-GB" w:eastAsia="en-US"/>
        </w:rPr>
        <w:t xml:space="preserve">determine whether </w:t>
      </w:r>
      <w:r w:rsidR="000B302A" w:rsidRPr="0071567C">
        <w:rPr>
          <w:rFonts w:ascii="Palatino Linotype" w:eastAsiaTheme="minorHAnsi" w:hAnsi="Palatino Linotype"/>
          <w:color w:val="000000" w:themeColor="text1"/>
          <w:lang w:val="en-GB" w:eastAsia="en-US"/>
        </w:rPr>
        <w:t xml:space="preserve">the qualitative entry restrictions </w:t>
      </w:r>
      <w:r w:rsidR="00320271" w:rsidRPr="0071567C">
        <w:rPr>
          <w:rFonts w:ascii="Palatino Linotype" w:eastAsiaTheme="minorHAnsi" w:hAnsi="Palatino Linotype"/>
          <w:color w:val="000000" w:themeColor="text1"/>
          <w:lang w:val="en-GB" w:eastAsia="en-US"/>
        </w:rPr>
        <w:t xml:space="preserve">are </w:t>
      </w:r>
      <w:r w:rsidR="0081696A" w:rsidRPr="0071567C">
        <w:rPr>
          <w:rFonts w:ascii="Palatino Linotype" w:eastAsiaTheme="minorHAnsi" w:hAnsi="Palatino Linotype"/>
          <w:color w:val="000000" w:themeColor="text1"/>
          <w:lang w:val="en-GB" w:eastAsia="en-US"/>
        </w:rPr>
        <w:t xml:space="preserve">effectively </w:t>
      </w:r>
      <w:r w:rsidR="00320271" w:rsidRPr="0071567C">
        <w:rPr>
          <w:rFonts w:ascii="Palatino Linotype" w:eastAsiaTheme="minorHAnsi" w:hAnsi="Palatino Linotype"/>
          <w:color w:val="000000" w:themeColor="text1"/>
          <w:lang w:val="en-GB" w:eastAsia="en-US"/>
        </w:rPr>
        <w:t>justified in the name of public interest, consumer protection and quality of service or</w:t>
      </w:r>
      <w:r w:rsidR="00D738B9" w:rsidRPr="0071567C">
        <w:rPr>
          <w:rFonts w:ascii="Palatino Linotype" w:eastAsiaTheme="minorHAnsi" w:hAnsi="Palatino Linotype"/>
          <w:color w:val="000000" w:themeColor="text1"/>
          <w:lang w:val="en-GB" w:eastAsia="en-US"/>
        </w:rPr>
        <w:t>,</w:t>
      </w:r>
      <w:r w:rsidR="00320271" w:rsidRPr="0071567C">
        <w:rPr>
          <w:rFonts w:ascii="Palatino Linotype" w:eastAsiaTheme="minorHAnsi" w:hAnsi="Palatino Linotype"/>
          <w:color w:val="000000" w:themeColor="text1"/>
          <w:lang w:val="en-GB" w:eastAsia="en-US"/>
        </w:rPr>
        <w:t xml:space="preserve"> </w:t>
      </w:r>
      <w:r w:rsidR="00D738B9" w:rsidRPr="0071567C">
        <w:rPr>
          <w:rFonts w:ascii="Palatino Linotype" w:eastAsiaTheme="minorHAnsi" w:hAnsi="Palatino Linotype"/>
          <w:color w:val="000000" w:themeColor="text1"/>
          <w:lang w:val="en-GB" w:eastAsia="en-US"/>
        </w:rPr>
        <w:t xml:space="preserve">contrariwise, </w:t>
      </w:r>
      <w:r w:rsidR="00320271" w:rsidRPr="0071567C">
        <w:rPr>
          <w:rFonts w:ascii="Palatino Linotype" w:eastAsiaTheme="minorHAnsi" w:hAnsi="Palatino Linotype"/>
          <w:color w:val="000000" w:themeColor="text1"/>
          <w:lang w:val="en-GB" w:eastAsia="en-US"/>
        </w:rPr>
        <w:t>may excessively restrict competition</w:t>
      </w:r>
      <w:r w:rsidR="00D738B9" w:rsidRPr="0071567C">
        <w:rPr>
          <w:rFonts w:ascii="Palatino Linotype" w:eastAsiaTheme="minorHAnsi" w:hAnsi="Palatino Linotype"/>
          <w:color w:val="000000" w:themeColor="text1"/>
          <w:lang w:val="en-GB" w:eastAsia="en-US"/>
        </w:rPr>
        <w:t>,</w:t>
      </w:r>
      <w:r w:rsidR="00320271" w:rsidRPr="0071567C">
        <w:rPr>
          <w:rFonts w:ascii="Palatino Linotype" w:eastAsiaTheme="minorHAnsi" w:hAnsi="Palatino Linotype"/>
          <w:color w:val="000000" w:themeColor="text1"/>
          <w:lang w:val="en-GB" w:eastAsia="en-US"/>
        </w:rPr>
        <w:t xml:space="preserve"> promoting only lawyers’ interests without yielding corresponding benefits to the society.</w:t>
      </w:r>
    </w:p>
    <w:p w:rsidR="00DF22E0" w:rsidRPr="0071567C" w:rsidRDefault="00736E07" w:rsidP="00E67C64">
      <w:pPr>
        <w:autoSpaceDE w:val="0"/>
        <w:autoSpaceDN w:val="0"/>
        <w:adjustRightInd w:val="0"/>
        <w:spacing w:line="480" w:lineRule="auto"/>
        <w:jc w:val="both"/>
        <w:rPr>
          <w:rFonts w:ascii="Palatino Linotype" w:eastAsiaTheme="minorHAnsi" w:hAnsi="Palatino Linotype"/>
          <w:lang w:val="en-GB" w:eastAsia="en-US"/>
        </w:rPr>
      </w:pPr>
      <w:r w:rsidRPr="0071567C">
        <w:rPr>
          <w:rFonts w:ascii="Palatino Linotype" w:eastAsiaTheme="minorHAnsi" w:hAnsi="Palatino Linotype"/>
          <w:color w:val="000000" w:themeColor="text1"/>
          <w:lang w:val="en-GB" w:eastAsia="en-US"/>
        </w:rPr>
        <w:t xml:space="preserve">Even if </w:t>
      </w:r>
      <w:r w:rsidRPr="0071567C">
        <w:rPr>
          <w:rFonts w:ascii="Palatino Linotype" w:eastAsiaTheme="minorHAnsi" w:hAnsi="Palatino Linotype"/>
          <w:lang w:val="en-GB" w:eastAsia="en-US"/>
        </w:rPr>
        <w:t xml:space="preserve">empirical evidence </w:t>
      </w:r>
      <w:r w:rsidR="00555751" w:rsidRPr="0071567C">
        <w:rPr>
          <w:rFonts w:ascii="Palatino Linotype" w:eastAsiaTheme="minorHAnsi" w:hAnsi="Palatino Linotype"/>
          <w:lang w:val="en-GB" w:eastAsia="en-US"/>
        </w:rPr>
        <w:t xml:space="preserve">on this aspect </w:t>
      </w:r>
      <w:r w:rsidRPr="0071567C">
        <w:rPr>
          <w:rFonts w:ascii="Palatino Linotype" w:eastAsiaTheme="minorHAnsi" w:hAnsi="Palatino Linotype"/>
          <w:lang w:val="en-GB" w:eastAsia="en-US"/>
        </w:rPr>
        <w:t xml:space="preserve">is </w:t>
      </w:r>
      <w:r w:rsidR="001E65EE" w:rsidRPr="0071567C">
        <w:rPr>
          <w:rFonts w:ascii="Palatino Linotype" w:eastAsiaTheme="minorHAnsi" w:hAnsi="Palatino Linotype"/>
          <w:lang w:val="en-GB" w:eastAsia="en-US"/>
        </w:rPr>
        <w:t>limited</w:t>
      </w:r>
      <w:r w:rsidRPr="0071567C">
        <w:rPr>
          <w:rFonts w:ascii="Palatino Linotype" w:eastAsiaTheme="minorHAnsi" w:hAnsi="Palatino Linotype"/>
          <w:lang w:val="en-GB" w:eastAsia="en-US"/>
        </w:rPr>
        <w:t xml:space="preserve"> and fragmentary</w:t>
      </w:r>
      <w:r w:rsidR="00D738B9" w:rsidRPr="0071567C">
        <w:rPr>
          <w:rFonts w:ascii="Palatino Linotype" w:eastAsiaTheme="minorHAnsi" w:hAnsi="Palatino Linotype"/>
          <w:lang w:val="en-GB" w:eastAsia="en-US"/>
        </w:rPr>
        <w:t>,</w:t>
      </w:r>
      <w:r w:rsidRPr="0071567C">
        <w:rPr>
          <w:rStyle w:val="FootnoteReference"/>
          <w:rFonts w:ascii="Palatino Linotype" w:eastAsiaTheme="minorHAnsi" w:hAnsi="Palatino Linotype"/>
          <w:color w:val="000000" w:themeColor="text1"/>
          <w:lang w:val="en-GB" w:eastAsia="en-US"/>
        </w:rPr>
        <w:footnoteReference w:id="13"/>
      </w:r>
      <w:r w:rsidRPr="0071567C">
        <w:rPr>
          <w:rFonts w:ascii="Palatino Linotype" w:eastAsiaTheme="minorHAnsi" w:hAnsi="Palatino Linotype"/>
          <w:lang w:val="en-GB" w:eastAsia="en-US"/>
        </w:rPr>
        <w:t xml:space="preserve"> </w:t>
      </w:r>
      <w:r w:rsidR="00523ABA" w:rsidRPr="0071567C">
        <w:rPr>
          <w:rFonts w:ascii="Palatino Linotype" w:eastAsiaTheme="minorHAnsi" w:hAnsi="Palatino Linotype"/>
          <w:color w:val="000000" w:themeColor="text1"/>
          <w:lang w:val="en-GB" w:eastAsia="en-US"/>
        </w:rPr>
        <w:t xml:space="preserve">it </w:t>
      </w:r>
      <w:r w:rsidR="00B42676" w:rsidRPr="0071567C">
        <w:rPr>
          <w:rFonts w:ascii="Palatino Linotype" w:eastAsiaTheme="minorHAnsi" w:hAnsi="Palatino Linotype"/>
          <w:color w:val="000000" w:themeColor="text1"/>
          <w:lang w:val="en-GB" w:eastAsia="en-US"/>
        </w:rPr>
        <w:t xml:space="preserve">has been argued that </w:t>
      </w:r>
      <w:r w:rsidR="00B42676" w:rsidRPr="0071567C">
        <w:rPr>
          <w:rFonts w:ascii="Palatino Linotype" w:eastAsiaTheme="minorHAnsi" w:hAnsi="Palatino Linotype"/>
          <w:i/>
          <w:color w:val="000000" w:themeColor="text1"/>
          <w:lang w:val="en-GB" w:eastAsia="en-US"/>
        </w:rPr>
        <w:t>ex ante</w:t>
      </w:r>
      <w:r w:rsidR="00B42676" w:rsidRPr="0071567C">
        <w:rPr>
          <w:rFonts w:ascii="Palatino Linotype" w:eastAsiaTheme="minorHAnsi" w:hAnsi="Palatino Linotype"/>
          <w:color w:val="000000" w:themeColor="text1"/>
          <w:lang w:val="en-GB" w:eastAsia="en-US"/>
        </w:rPr>
        <w:t xml:space="preserve"> or input regulation </w:t>
      </w:r>
      <w:r w:rsidR="00303219" w:rsidRPr="0071567C">
        <w:rPr>
          <w:rFonts w:ascii="Palatino Linotype" w:eastAsiaTheme="minorHAnsi" w:hAnsi="Palatino Linotype"/>
          <w:color w:val="000000" w:themeColor="text1"/>
          <w:lang w:val="en-GB" w:eastAsia="en-US"/>
        </w:rPr>
        <w:t>could be</w:t>
      </w:r>
      <w:r w:rsidR="00B42676" w:rsidRPr="0071567C">
        <w:rPr>
          <w:rFonts w:ascii="Palatino Linotype" w:eastAsiaTheme="minorHAnsi" w:hAnsi="Palatino Linotype"/>
          <w:color w:val="000000" w:themeColor="text1"/>
          <w:lang w:val="en-GB" w:eastAsia="en-US"/>
        </w:rPr>
        <w:t xml:space="preserve"> a valuable tool to </w:t>
      </w:r>
      <w:r w:rsidR="00B42676" w:rsidRPr="0071567C">
        <w:rPr>
          <w:rFonts w:ascii="Palatino Linotype" w:hAnsi="Palatino Linotype"/>
          <w:color w:val="000000" w:themeColor="text1"/>
          <w:lang w:val="en-GB"/>
        </w:rPr>
        <w:t>guarantee a high level of quality of legal services, in the clients</w:t>
      </w:r>
      <w:r w:rsidR="00D738B9" w:rsidRPr="0071567C">
        <w:rPr>
          <w:rFonts w:ascii="Palatino Linotype" w:hAnsi="Palatino Linotype"/>
          <w:color w:val="000000" w:themeColor="text1"/>
          <w:lang w:val="en-GB"/>
        </w:rPr>
        <w:t>’ and</w:t>
      </w:r>
      <w:r w:rsidR="00B42676" w:rsidRPr="0071567C">
        <w:rPr>
          <w:rFonts w:ascii="Palatino Linotype" w:hAnsi="Palatino Linotype"/>
          <w:color w:val="000000" w:themeColor="text1"/>
          <w:lang w:val="en-GB"/>
        </w:rPr>
        <w:t xml:space="preserve"> </w:t>
      </w:r>
      <w:r w:rsidR="00D738B9" w:rsidRPr="0071567C">
        <w:rPr>
          <w:rFonts w:ascii="Palatino Linotype" w:hAnsi="Palatino Linotype"/>
          <w:color w:val="000000" w:themeColor="text1"/>
          <w:lang w:val="en-GB"/>
        </w:rPr>
        <w:t xml:space="preserve">the </w:t>
      </w:r>
      <w:r w:rsidR="00B42676" w:rsidRPr="0071567C">
        <w:rPr>
          <w:rFonts w:ascii="Palatino Linotype" w:hAnsi="Palatino Linotype"/>
          <w:color w:val="000000" w:themeColor="text1"/>
          <w:lang w:val="en-GB"/>
        </w:rPr>
        <w:t>public’s interest</w:t>
      </w:r>
      <w:r w:rsidR="00B42676" w:rsidRPr="0071567C">
        <w:rPr>
          <w:rFonts w:ascii="Palatino Linotype" w:eastAsiaTheme="minorHAnsi" w:hAnsi="Palatino Linotype"/>
          <w:color w:val="000000" w:themeColor="text1"/>
          <w:lang w:val="en-GB" w:eastAsia="en-US"/>
        </w:rPr>
        <w:t xml:space="preserve">. </w:t>
      </w:r>
      <w:r w:rsidR="00303219" w:rsidRPr="0071567C">
        <w:rPr>
          <w:rFonts w:ascii="Palatino Linotype" w:hAnsi="Palatino Linotype"/>
          <w:color w:val="000000" w:themeColor="text1"/>
          <w:lang w:val="en-GB"/>
        </w:rPr>
        <w:t>When</w:t>
      </w:r>
      <w:r w:rsidR="00DF22E0" w:rsidRPr="0071567C">
        <w:rPr>
          <w:rFonts w:ascii="Palatino Linotype" w:hAnsi="Palatino Linotype"/>
          <w:color w:val="000000" w:themeColor="text1"/>
          <w:lang w:val="en-GB"/>
        </w:rPr>
        <w:t xml:space="preserve"> a profession is regulated</w:t>
      </w:r>
      <w:r w:rsidR="00D738B9" w:rsidRPr="0071567C">
        <w:rPr>
          <w:rFonts w:ascii="Palatino Linotype" w:hAnsi="Palatino Linotype"/>
          <w:color w:val="000000" w:themeColor="text1"/>
          <w:lang w:val="en-GB"/>
        </w:rPr>
        <w:t>,</w:t>
      </w:r>
      <w:r w:rsidR="00DF22E0" w:rsidRPr="0071567C">
        <w:rPr>
          <w:rFonts w:ascii="Palatino Linotype" w:hAnsi="Palatino Linotype"/>
          <w:color w:val="000000" w:themeColor="text1"/>
          <w:lang w:val="en-GB"/>
        </w:rPr>
        <w:t xml:space="preserve"> only professionals who meet</w:t>
      </w:r>
      <w:r w:rsidR="00303219" w:rsidRPr="0071567C">
        <w:rPr>
          <w:rFonts w:ascii="Palatino Linotype" w:hAnsi="Palatino Linotype"/>
          <w:color w:val="000000" w:themeColor="text1"/>
          <w:lang w:val="en-GB"/>
        </w:rPr>
        <w:t xml:space="preserve"> </w:t>
      </w:r>
      <w:r w:rsidR="00DF22E0" w:rsidRPr="0071567C">
        <w:rPr>
          <w:rFonts w:ascii="Palatino Linotype" w:hAnsi="Palatino Linotype"/>
          <w:color w:val="000000" w:themeColor="text1"/>
          <w:lang w:val="en-GB"/>
        </w:rPr>
        <w:t xml:space="preserve">certain requirements </w:t>
      </w:r>
      <w:r w:rsidR="00303219" w:rsidRPr="0071567C">
        <w:rPr>
          <w:rFonts w:ascii="Palatino Linotype" w:hAnsi="Palatino Linotype"/>
          <w:color w:val="000000" w:themeColor="text1"/>
          <w:lang w:val="en-GB"/>
        </w:rPr>
        <w:t>and possess the</w:t>
      </w:r>
      <w:r w:rsidR="00DF22E0" w:rsidRPr="0071567C">
        <w:rPr>
          <w:rFonts w:ascii="Palatino Linotype" w:hAnsi="Palatino Linotype"/>
          <w:color w:val="000000" w:themeColor="text1"/>
          <w:lang w:val="en-GB"/>
        </w:rPr>
        <w:t xml:space="preserve"> appropriate qualifications are allowed to offer their services in the market.</w:t>
      </w:r>
    </w:p>
    <w:p w:rsidR="00523ABA" w:rsidRPr="0071567C" w:rsidRDefault="000609AF" w:rsidP="00E67C64">
      <w:pPr>
        <w:spacing w:line="480" w:lineRule="auto"/>
        <w:jc w:val="both"/>
        <w:rPr>
          <w:rFonts w:ascii="Palatino Linotype" w:hAnsi="Palatino Linotype"/>
          <w:color w:val="000000" w:themeColor="text1"/>
          <w:lang w:val="en-GB"/>
        </w:rPr>
      </w:pPr>
      <w:r w:rsidRPr="0071567C">
        <w:rPr>
          <w:rFonts w:ascii="Palatino Linotype" w:hAnsi="Palatino Linotype"/>
          <w:color w:val="000000" w:themeColor="text1"/>
          <w:lang w:val="en-GB"/>
        </w:rPr>
        <w:t>As has been noted elsewhere</w:t>
      </w:r>
      <w:r w:rsidR="00612B69" w:rsidRPr="0071567C">
        <w:rPr>
          <w:rFonts w:ascii="Palatino Linotype" w:hAnsi="Palatino Linotype"/>
          <w:color w:val="000000" w:themeColor="text1"/>
          <w:lang w:val="en-GB"/>
        </w:rPr>
        <w:t>, ‘</w:t>
      </w:r>
      <w:r w:rsidR="00474322" w:rsidRPr="0071567C">
        <w:rPr>
          <w:rFonts w:ascii="Palatino Linotype" w:hAnsi="Palatino Linotype"/>
          <w:color w:val="000000" w:themeColor="text1"/>
          <w:lang w:val="en-GB"/>
        </w:rPr>
        <w:t>Licensing thus attempts to influence the quality of the service before its provision (</w:t>
      </w:r>
      <w:r w:rsidR="00474322" w:rsidRPr="0071567C">
        <w:rPr>
          <w:rFonts w:ascii="Palatino Linotype" w:hAnsi="Palatino Linotype"/>
          <w:i/>
          <w:color w:val="000000" w:themeColor="text1"/>
          <w:lang w:val="en-GB"/>
        </w:rPr>
        <w:t>ex ante)</w:t>
      </w:r>
      <w:r w:rsidR="00474322" w:rsidRPr="0071567C">
        <w:rPr>
          <w:rFonts w:ascii="Palatino Linotype" w:hAnsi="Palatino Linotype"/>
          <w:color w:val="000000" w:themeColor="text1"/>
          <w:lang w:val="en-GB"/>
        </w:rPr>
        <w:t xml:space="preserve"> and controls the input (mainly education and/or training) rather than the output. The underlying assumption is that there is a strong complementary relationship between investments in human capital (input) and the quality of the service provided.’</w:t>
      </w:r>
      <w:r w:rsidR="00E94879" w:rsidRPr="0071567C">
        <w:rPr>
          <w:rStyle w:val="FootnoteReference"/>
          <w:rFonts w:ascii="Palatino Linotype" w:hAnsi="Palatino Linotype"/>
          <w:color w:val="000000" w:themeColor="text1"/>
          <w:lang w:val="en-GB"/>
        </w:rPr>
        <w:footnoteReference w:id="14"/>
      </w:r>
      <w:r w:rsidRPr="0071567C">
        <w:rPr>
          <w:rFonts w:ascii="Palatino Linotype" w:hAnsi="Palatino Linotype"/>
          <w:color w:val="000000" w:themeColor="text1"/>
          <w:lang w:val="en-GB"/>
        </w:rPr>
        <w:t xml:space="preserve"> </w:t>
      </w:r>
      <w:r w:rsidR="00E94879" w:rsidRPr="0071567C">
        <w:rPr>
          <w:rFonts w:ascii="Palatino Linotype" w:hAnsi="Palatino Linotype"/>
          <w:color w:val="000000" w:themeColor="text1"/>
          <w:lang w:val="en-GB"/>
        </w:rPr>
        <w:t xml:space="preserve">As a consequence, </w:t>
      </w:r>
      <w:r w:rsidR="00612B69" w:rsidRPr="0071567C">
        <w:rPr>
          <w:rFonts w:ascii="Palatino Linotype" w:hAnsi="Palatino Linotype"/>
          <w:color w:val="000000" w:themeColor="text1"/>
          <w:lang w:val="en-GB"/>
        </w:rPr>
        <w:t>when</w:t>
      </w:r>
      <w:r w:rsidR="00303219" w:rsidRPr="0071567C">
        <w:rPr>
          <w:rFonts w:ascii="Palatino Linotype" w:hAnsi="Palatino Linotype"/>
          <w:color w:val="000000" w:themeColor="text1"/>
          <w:lang w:val="en-GB"/>
        </w:rPr>
        <w:t xml:space="preserve"> professionals who</w:t>
      </w:r>
      <w:r w:rsidR="00612B69" w:rsidRPr="0071567C">
        <w:rPr>
          <w:rFonts w:ascii="Palatino Linotype" w:hAnsi="Palatino Linotype"/>
          <w:color w:val="000000" w:themeColor="text1"/>
          <w:lang w:val="en-GB"/>
        </w:rPr>
        <w:t xml:space="preserve"> do</w:t>
      </w:r>
      <w:r w:rsidR="00303219" w:rsidRPr="0071567C">
        <w:rPr>
          <w:rFonts w:ascii="Palatino Linotype" w:hAnsi="Palatino Linotype"/>
          <w:color w:val="000000" w:themeColor="text1"/>
          <w:lang w:val="en-GB"/>
        </w:rPr>
        <w:t xml:space="preserve"> not have the required </w:t>
      </w:r>
      <w:r w:rsidR="00B63012" w:rsidRPr="0071567C">
        <w:rPr>
          <w:rFonts w:ascii="Palatino Linotype" w:hAnsi="Palatino Linotype"/>
          <w:color w:val="000000" w:themeColor="text1"/>
          <w:lang w:val="en-GB"/>
        </w:rPr>
        <w:t>qualifications</w:t>
      </w:r>
      <w:r w:rsidR="00612B69" w:rsidRPr="0071567C">
        <w:rPr>
          <w:rFonts w:ascii="Palatino Linotype" w:hAnsi="Palatino Linotype"/>
          <w:color w:val="000000" w:themeColor="text1"/>
          <w:lang w:val="en-GB"/>
        </w:rPr>
        <w:t xml:space="preserve"> </w:t>
      </w:r>
      <w:r w:rsidR="00303219" w:rsidRPr="0071567C">
        <w:rPr>
          <w:rFonts w:ascii="Palatino Linotype" w:hAnsi="Palatino Linotype"/>
          <w:color w:val="000000" w:themeColor="text1"/>
          <w:lang w:val="en-GB"/>
        </w:rPr>
        <w:t>and competence</w:t>
      </w:r>
      <w:r w:rsidR="00612B69" w:rsidRPr="0071567C">
        <w:rPr>
          <w:rFonts w:ascii="Palatino Linotype" w:hAnsi="Palatino Linotype"/>
          <w:color w:val="000000" w:themeColor="text1"/>
          <w:lang w:val="en-GB"/>
        </w:rPr>
        <w:t xml:space="preserve"> are excluded from the market</w:t>
      </w:r>
      <w:r w:rsidR="0027530E" w:rsidRPr="0071567C">
        <w:rPr>
          <w:rFonts w:ascii="Palatino Linotype" w:hAnsi="Palatino Linotype"/>
          <w:color w:val="000000" w:themeColor="text1"/>
          <w:lang w:val="en-GB"/>
        </w:rPr>
        <w:t xml:space="preserve">, </w:t>
      </w:r>
      <w:r w:rsidR="00E94879" w:rsidRPr="0071567C">
        <w:rPr>
          <w:rFonts w:ascii="Palatino Linotype" w:hAnsi="Palatino Linotype"/>
          <w:color w:val="000000" w:themeColor="text1"/>
          <w:lang w:val="en-GB"/>
        </w:rPr>
        <w:t xml:space="preserve">the </w:t>
      </w:r>
      <w:r w:rsidR="006D57B3" w:rsidRPr="0071567C">
        <w:rPr>
          <w:rFonts w:ascii="Palatino Linotype" w:hAnsi="Palatino Linotype"/>
          <w:color w:val="000000" w:themeColor="text1"/>
          <w:lang w:val="en-GB"/>
        </w:rPr>
        <w:t>overall</w:t>
      </w:r>
      <w:r w:rsidR="00E94879" w:rsidRPr="0071567C">
        <w:rPr>
          <w:rFonts w:ascii="Palatino Linotype" w:hAnsi="Palatino Linotype"/>
          <w:color w:val="000000" w:themeColor="text1"/>
          <w:lang w:val="en-GB"/>
        </w:rPr>
        <w:t xml:space="preserve"> quality of the legal services performed</w:t>
      </w:r>
      <w:r w:rsidR="00B63012" w:rsidRPr="0071567C">
        <w:rPr>
          <w:rFonts w:ascii="Palatino Linotype" w:hAnsi="Palatino Linotype"/>
          <w:color w:val="000000" w:themeColor="text1"/>
          <w:lang w:val="en-GB"/>
        </w:rPr>
        <w:t xml:space="preserve"> will of necessity be higher</w:t>
      </w:r>
      <w:r w:rsidR="00E94879" w:rsidRPr="0071567C">
        <w:rPr>
          <w:rFonts w:ascii="Palatino Linotype" w:hAnsi="Palatino Linotype"/>
          <w:color w:val="000000" w:themeColor="text1"/>
          <w:lang w:val="en-GB"/>
        </w:rPr>
        <w:t xml:space="preserve">. </w:t>
      </w:r>
      <w:r w:rsidR="00DF22E0" w:rsidRPr="0071567C">
        <w:rPr>
          <w:rFonts w:ascii="Palatino Linotype" w:hAnsi="Palatino Linotype"/>
          <w:color w:val="000000" w:themeColor="text1"/>
          <w:lang w:val="en-GB"/>
        </w:rPr>
        <w:t xml:space="preserve">For this reason, </w:t>
      </w:r>
      <w:r w:rsidR="00E94879" w:rsidRPr="0071567C">
        <w:rPr>
          <w:rFonts w:ascii="Palatino Linotype" w:hAnsi="Palatino Linotype"/>
          <w:color w:val="000000" w:themeColor="text1"/>
          <w:lang w:val="en-GB"/>
        </w:rPr>
        <w:t xml:space="preserve">the </w:t>
      </w:r>
      <w:r w:rsidR="00DF22E0" w:rsidRPr="0071567C">
        <w:rPr>
          <w:rFonts w:ascii="Palatino Linotype" w:hAnsi="Palatino Linotype"/>
          <w:color w:val="000000" w:themeColor="text1"/>
          <w:lang w:val="en-GB"/>
        </w:rPr>
        <w:t xml:space="preserve">input or </w:t>
      </w:r>
      <w:r w:rsidR="00DF22E0" w:rsidRPr="0071567C">
        <w:rPr>
          <w:rFonts w:ascii="Palatino Linotype" w:hAnsi="Palatino Linotype"/>
          <w:i/>
          <w:color w:val="000000" w:themeColor="text1"/>
          <w:lang w:val="en-GB"/>
        </w:rPr>
        <w:t>ex ante</w:t>
      </w:r>
      <w:r w:rsidR="00DF22E0" w:rsidRPr="0071567C">
        <w:rPr>
          <w:rFonts w:ascii="Palatino Linotype" w:hAnsi="Palatino Linotype"/>
          <w:color w:val="000000" w:themeColor="text1"/>
          <w:lang w:val="en-GB"/>
        </w:rPr>
        <w:t xml:space="preserve"> regulation </w:t>
      </w:r>
      <w:r w:rsidR="00DF22E0" w:rsidRPr="0071567C">
        <w:rPr>
          <w:rFonts w:ascii="Palatino Linotype" w:hAnsi="Palatino Linotype"/>
          <w:color w:val="000000" w:themeColor="text1"/>
          <w:lang w:val="en-GB"/>
        </w:rPr>
        <w:lastRenderedPageBreak/>
        <w:t xml:space="preserve">might be considered proportionate to the goal of </w:t>
      </w:r>
      <w:r w:rsidR="00E94879" w:rsidRPr="0071567C">
        <w:rPr>
          <w:rFonts w:ascii="Palatino Linotype" w:hAnsi="Palatino Linotype"/>
          <w:color w:val="000000" w:themeColor="text1"/>
          <w:lang w:val="en-GB"/>
        </w:rPr>
        <w:t>ensuring</w:t>
      </w:r>
      <w:r w:rsidR="00DF22E0" w:rsidRPr="0071567C">
        <w:rPr>
          <w:rFonts w:ascii="Palatino Linotype" w:hAnsi="Palatino Linotype"/>
          <w:color w:val="000000" w:themeColor="text1"/>
          <w:lang w:val="en-GB"/>
        </w:rPr>
        <w:t xml:space="preserve"> professional quality: it is</w:t>
      </w:r>
      <w:r w:rsidR="007A7B50" w:rsidRPr="0071567C">
        <w:rPr>
          <w:rFonts w:ascii="Palatino Linotype" w:hAnsi="Palatino Linotype"/>
          <w:color w:val="000000" w:themeColor="text1"/>
          <w:lang w:val="en-GB"/>
        </w:rPr>
        <w:t xml:space="preserve"> </w:t>
      </w:r>
      <w:r w:rsidR="00DF22E0" w:rsidRPr="0071567C">
        <w:rPr>
          <w:rFonts w:ascii="Palatino Linotype" w:hAnsi="Palatino Linotype"/>
          <w:color w:val="000000" w:themeColor="text1"/>
          <w:lang w:val="en-GB"/>
        </w:rPr>
        <w:t>justified by public interest arguments</w:t>
      </w:r>
      <w:r w:rsidR="006D57B3" w:rsidRPr="0071567C">
        <w:rPr>
          <w:rFonts w:ascii="Palatino Linotype" w:hAnsi="Palatino Linotype"/>
          <w:color w:val="000000" w:themeColor="text1"/>
          <w:lang w:val="en-GB"/>
        </w:rPr>
        <w:t xml:space="preserve">, </w:t>
      </w:r>
      <w:r w:rsidR="00DF22E0" w:rsidRPr="0071567C">
        <w:rPr>
          <w:rFonts w:ascii="Palatino Linotype" w:hAnsi="Palatino Linotype"/>
          <w:color w:val="000000" w:themeColor="text1"/>
          <w:lang w:val="en-GB"/>
        </w:rPr>
        <w:t>work</w:t>
      </w:r>
      <w:r w:rsidR="006D57B3" w:rsidRPr="0071567C">
        <w:rPr>
          <w:rFonts w:ascii="Palatino Linotype" w:hAnsi="Palatino Linotype"/>
          <w:color w:val="000000" w:themeColor="text1"/>
          <w:lang w:val="en-GB"/>
        </w:rPr>
        <w:t>ing</w:t>
      </w:r>
      <w:r w:rsidR="00DF22E0" w:rsidRPr="0071567C">
        <w:rPr>
          <w:rFonts w:ascii="Palatino Linotype" w:hAnsi="Palatino Linotype"/>
          <w:color w:val="000000" w:themeColor="text1"/>
          <w:lang w:val="en-GB"/>
        </w:rPr>
        <w:t xml:space="preserve"> </w:t>
      </w:r>
      <w:r w:rsidR="008E0D9A" w:rsidRPr="0071567C">
        <w:rPr>
          <w:rFonts w:ascii="Palatino Linotype" w:hAnsi="Palatino Linotype"/>
          <w:color w:val="000000" w:themeColor="text1"/>
          <w:lang w:val="en-GB"/>
        </w:rPr>
        <w:t xml:space="preserve">both </w:t>
      </w:r>
      <w:r w:rsidR="006D57B3" w:rsidRPr="0071567C">
        <w:rPr>
          <w:rFonts w:ascii="Palatino Linotype" w:hAnsi="Palatino Linotype"/>
          <w:color w:val="000000" w:themeColor="text1"/>
          <w:lang w:val="en-GB"/>
        </w:rPr>
        <w:t>as</w:t>
      </w:r>
      <w:r w:rsidR="00DF22E0" w:rsidRPr="0071567C">
        <w:rPr>
          <w:rFonts w:ascii="Palatino Linotype" w:hAnsi="Palatino Linotype"/>
          <w:color w:val="000000" w:themeColor="text1"/>
          <w:lang w:val="en-GB"/>
        </w:rPr>
        <w:t xml:space="preserve"> a remedy </w:t>
      </w:r>
      <w:r w:rsidR="004674B3" w:rsidRPr="0071567C">
        <w:rPr>
          <w:rFonts w:ascii="Palatino Linotype" w:hAnsi="Palatino Linotype"/>
          <w:color w:val="000000" w:themeColor="text1"/>
          <w:lang w:val="en-GB"/>
        </w:rPr>
        <w:t xml:space="preserve">for </w:t>
      </w:r>
      <w:r w:rsidR="00DF22E0" w:rsidRPr="0071567C">
        <w:rPr>
          <w:rFonts w:ascii="Palatino Linotype" w:hAnsi="Palatino Linotype"/>
          <w:color w:val="000000" w:themeColor="text1"/>
          <w:lang w:val="en-GB"/>
        </w:rPr>
        <w:t>market failures</w:t>
      </w:r>
      <w:r w:rsidR="00736E07" w:rsidRPr="0071567C">
        <w:rPr>
          <w:rStyle w:val="FootnoteReference"/>
          <w:rFonts w:ascii="Palatino Linotype" w:hAnsi="Palatino Linotype"/>
          <w:color w:val="000000" w:themeColor="text1"/>
          <w:lang w:val="en-GB"/>
        </w:rPr>
        <w:footnoteReference w:id="15"/>
      </w:r>
      <w:r w:rsidR="00E94879" w:rsidRPr="0071567C">
        <w:rPr>
          <w:rFonts w:ascii="Palatino Linotype" w:hAnsi="Palatino Linotype"/>
          <w:color w:val="000000" w:themeColor="text1"/>
          <w:lang w:val="en-GB"/>
        </w:rPr>
        <w:t xml:space="preserve"> and a</w:t>
      </w:r>
      <w:r w:rsidR="006D57B3" w:rsidRPr="0071567C">
        <w:rPr>
          <w:rFonts w:ascii="Palatino Linotype" w:hAnsi="Palatino Linotype"/>
          <w:color w:val="000000" w:themeColor="text1"/>
          <w:lang w:val="en-GB"/>
        </w:rPr>
        <w:t xml:space="preserve">s a </w:t>
      </w:r>
      <w:r w:rsidR="00E94879" w:rsidRPr="0071567C">
        <w:rPr>
          <w:rFonts w:ascii="Palatino Linotype" w:hAnsi="Palatino Linotype"/>
          <w:color w:val="000000" w:themeColor="text1"/>
          <w:lang w:val="en-GB"/>
        </w:rPr>
        <w:t>deterrence to moral hazard</w:t>
      </w:r>
      <w:r w:rsidR="004674B3" w:rsidRPr="0071567C">
        <w:rPr>
          <w:rFonts w:ascii="Palatino Linotype" w:hAnsi="Palatino Linotype"/>
          <w:color w:val="000000" w:themeColor="text1"/>
          <w:lang w:val="en-GB"/>
        </w:rPr>
        <w:t>.</w:t>
      </w:r>
      <w:r w:rsidR="00736E07" w:rsidRPr="0071567C">
        <w:rPr>
          <w:rStyle w:val="FootnoteReference"/>
          <w:rFonts w:ascii="Palatino Linotype" w:hAnsi="Palatino Linotype"/>
          <w:color w:val="000000" w:themeColor="text1"/>
          <w:lang w:val="en-GB"/>
        </w:rPr>
        <w:footnoteReference w:id="16"/>
      </w:r>
    </w:p>
    <w:p w:rsidR="00DF22E0" w:rsidRPr="0071567C" w:rsidRDefault="00DF22E0" w:rsidP="00E67C64">
      <w:pPr>
        <w:spacing w:line="480" w:lineRule="auto"/>
        <w:jc w:val="both"/>
        <w:rPr>
          <w:rFonts w:ascii="Palatino Linotype" w:hAnsi="Palatino Linotype"/>
          <w:color w:val="000000" w:themeColor="text1"/>
          <w:lang w:val="en-GB"/>
        </w:rPr>
      </w:pPr>
    </w:p>
    <w:p w:rsidR="00DF22E0" w:rsidRPr="0071567C" w:rsidRDefault="00DF22E0" w:rsidP="00E67C64">
      <w:pPr>
        <w:pStyle w:val="ListParagraph"/>
        <w:numPr>
          <w:ilvl w:val="0"/>
          <w:numId w:val="8"/>
        </w:numPr>
        <w:spacing w:line="480" w:lineRule="auto"/>
        <w:jc w:val="both"/>
        <w:outlineLvl w:val="0"/>
        <w:rPr>
          <w:rFonts w:ascii="Palatino Linotype" w:hAnsi="Palatino Linotype"/>
          <w:b/>
          <w:color w:val="000000"/>
          <w:szCs w:val="24"/>
          <w:lang w:val="en-GB"/>
        </w:rPr>
      </w:pPr>
      <w:r w:rsidRPr="0071567C">
        <w:rPr>
          <w:rFonts w:ascii="Palatino Linotype" w:hAnsi="Palatino Linotype"/>
          <w:b/>
          <w:color w:val="000000"/>
          <w:szCs w:val="24"/>
          <w:lang w:val="en-GB"/>
        </w:rPr>
        <w:t>N</w:t>
      </w:r>
      <w:r w:rsidR="00635F38" w:rsidRPr="0071567C">
        <w:rPr>
          <w:rFonts w:ascii="Palatino Linotype" w:hAnsi="Palatino Linotype"/>
          <w:b/>
          <w:color w:val="000000"/>
          <w:szCs w:val="24"/>
          <w:lang w:val="en-GB"/>
        </w:rPr>
        <w:t>ational</w:t>
      </w:r>
      <w:r w:rsidRPr="0071567C">
        <w:rPr>
          <w:rFonts w:ascii="Palatino Linotype" w:hAnsi="Palatino Linotype"/>
          <w:b/>
          <w:color w:val="000000"/>
          <w:szCs w:val="24"/>
          <w:lang w:val="en-GB"/>
        </w:rPr>
        <w:t xml:space="preserve"> </w:t>
      </w:r>
      <w:r w:rsidR="00523ABA" w:rsidRPr="0071567C">
        <w:rPr>
          <w:rFonts w:ascii="Palatino Linotype" w:hAnsi="Palatino Linotype"/>
          <w:b/>
          <w:color w:val="000000"/>
          <w:szCs w:val="24"/>
          <w:lang w:val="en-GB"/>
        </w:rPr>
        <w:t>l</w:t>
      </w:r>
      <w:r w:rsidR="00635F38" w:rsidRPr="0071567C">
        <w:rPr>
          <w:rFonts w:ascii="Palatino Linotype" w:hAnsi="Palatino Linotype"/>
          <w:b/>
          <w:color w:val="000000"/>
          <w:szCs w:val="24"/>
          <w:lang w:val="en-GB"/>
        </w:rPr>
        <w:t>egal</w:t>
      </w:r>
      <w:r w:rsidRPr="0071567C">
        <w:rPr>
          <w:rFonts w:ascii="Palatino Linotype" w:hAnsi="Palatino Linotype"/>
          <w:b/>
          <w:color w:val="000000"/>
          <w:szCs w:val="24"/>
          <w:lang w:val="en-GB"/>
        </w:rPr>
        <w:t xml:space="preserve"> </w:t>
      </w:r>
      <w:r w:rsidR="00523ABA" w:rsidRPr="0071567C">
        <w:rPr>
          <w:rFonts w:ascii="Palatino Linotype" w:hAnsi="Palatino Linotype"/>
          <w:b/>
          <w:color w:val="000000"/>
          <w:szCs w:val="24"/>
          <w:lang w:val="en-GB"/>
        </w:rPr>
        <w:t>e</w:t>
      </w:r>
      <w:r w:rsidR="00635F38" w:rsidRPr="0071567C">
        <w:rPr>
          <w:rFonts w:ascii="Palatino Linotype" w:hAnsi="Palatino Linotype"/>
          <w:b/>
          <w:color w:val="000000"/>
          <w:szCs w:val="24"/>
          <w:lang w:val="en-GB"/>
        </w:rPr>
        <w:t>ducation</w:t>
      </w:r>
      <w:r w:rsidR="00F34232" w:rsidRPr="0071567C">
        <w:rPr>
          <w:rFonts w:ascii="Palatino Linotype" w:hAnsi="Palatino Linotype"/>
          <w:b/>
          <w:color w:val="000000"/>
          <w:szCs w:val="24"/>
          <w:lang w:val="en-GB"/>
        </w:rPr>
        <w:t>al</w:t>
      </w:r>
      <w:r w:rsidRPr="0071567C">
        <w:rPr>
          <w:rFonts w:ascii="Palatino Linotype" w:hAnsi="Palatino Linotype"/>
          <w:b/>
          <w:color w:val="000000"/>
          <w:szCs w:val="24"/>
          <w:lang w:val="en-GB"/>
        </w:rPr>
        <w:t xml:space="preserve"> </w:t>
      </w:r>
      <w:r w:rsidR="00523ABA" w:rsidRPr="0071567C">
        <w:rPr>
          <w:rFonts w:ascii="Palatino Linotype" w:hAnsi="Palatino Linotype"/>
          <w:b/>
          <w:color w:val="000000"/>
          <w:szCs w:val="24"/>
          <w:lang w:val="en-GB"/>
        </w:rPr>
        <w:t>models</w:t>
      </w:r>
      <w:r w:rsidR="00635F38" w:rsidRPr="0071567C">
        <w:rPr>
          <w:rFonts w:ascii="Palatino Linotype" w:hAnsi="Palatino Linotype"/>
          <w:b/>
          <w:color w:val="000000"/>
          <w:szCs w:val="24"/>
          <w:lang w:val="en-GB"/>
        </w:rPr>
        <w:t>: a case of fragmentation</w:t>
      </w:r>
      <w:r w:rsidRPr="0071567C">
        <w:rPr>
          <w:rFonts w:ascii="Palatino Linotype" w:hAnsi="Palatino Linotype"/>
          <w:b/>
          <w:color w:val="000000"/>
          <w:szCs w:val="24"/>
          <w:lang w:val="en-GB"/>
        </w:rPr>
        <w:t>?</w:t>
      </w:r>
    </w:p>
    <w:p w:rsidR="00792E92" w:rsidRPr="0071567C" w:rsidRDefault="00DF22E0" w:rsidP="00E67C64">
      <w:pPr>
        <w:spacing w:line="480" w:lineRule="auto"/>
        <w:jc w:val="both"/>
        <w:rPr>
          <w:rFonts w:ascii="Palatino Linotype" w:hAnsi="Palatino Linotype"/>
          <w:color w:val="000000"/>
          <w:lang w:val="en-GB"/>
        </w:rPr>
      </w:pPr>
      <w:r w:rsidRPr="0071567C">
        <w:rPr>
          <w:rFonts w:ascii="Palatino Linotype" w:hAnsi="Palatino Linotype"/>
          <w:color w:val="000000"/>
          <w:lang w:val="en-GB"/>
        </w:rPr>
        <w:t xml:space="preserve">Member </w:t>
      </w:r>
      <w:r w:rsidR="004674B3" w:rsidRPr="0071567C">
        <w:rPr>
          <w:rFonts w:ascii="Palatino Linotype" w:hAnsi="Palatino Linotype"/>
          <w:color w:val="000000"/>
          <w:lang w:val="en-GB"/>
        </w:rPr>
        <w:t xml:space="preserve">states </w:t>
      </w:r>
      <w:r w:rsidRPr="0071567C">
        <w:rPr>
          <w:rFonts w:ascii="Palatino Linotype" w:hAnsi="Palatino Linotype"/>
          <w:color w:val="000000"/>
          <w:lang w:val="en-GB"/>
        </w:rPr>
        <w:t xml:space="preserve">have the right to regulate professional services and the primary responsibility of defining the framework in which professionals operate; therefore, </w:t>
      </w:r>
      <w:r w:rsidR="00303219" w:rsidRPr="0071567C">
        <w:rPr>
          <w:rFonts w:ascii="Palatino Linotype" w:hAnsi="Palatino Linotype"/>
          <w:color w:val="000000"/>
          <w:lang w:val="en-GB"/>
        </w:rPr>
        <w:t>the regulation of</w:t>
      </w:r>
      <w:r w:rsidRPr="0071567C">
        <w:rPr>
          <w:rFonts w:ascii="Palatino Linotype" w:hAnsi="Palatino Linotype"/>
          <w:color w:val="000000"/>
          <w:lang w:val="en-GB"/>
        </w:rPr>
        <w:t xml:space="preserve"> legal education</w:t>
      </w:r>
      <w:r w:rsidR="00303219" w:rsidRPr="0071567C">
        <w:rPr>
          <w:rFonts w:ascii="Palatino Linotype" w:hAnsi="Palatino Linotype"/>
          <w:color w:val="000000"/>
          <w:lang w:val="en-GB"/>
        </w:rPr>
        <w:t xml:space="preserve"> is</w:t>
      </w:r>
      <w:r w:rsidR="004674B3" w:rsidRPr="0071567C">
        <w:rPr>
          <w:rFonts w:ascii="Palatino Linotype" w:hAnsi="Palatino Linotype"/>
          <w:color w:val="000000"/>
          <w:lang w:val="en-GB"/>
        </w:rPr>
        <w:t xml:space="preserve"> also</w:t>
      </w:r>
      <w:r w:rsidRPr="0071567C">
        <w:rPr>
          <w:rFonts w:ascii="Palatino Linotype" w:hAnsi="Palatino Linotype"/>
          <w:color w:val="000000"/>
          <w:lang w:val="en-GB"/>
        </w:rPr>
        <w:t xml:space="preserve">, first </w:t>
      </w:r>
      <w:r w:rsidR="004674B3" w:rsidRPr="0071567C">
        <w:rPr>
          <w:rFonts w:ascii="Palatino Linotype" w:hAnsi="Palatino Linotype"/>
          <w:color w:val="000000"/>
          <w:lang w:val="en-GB"/>
        </w:rPr>
        <w:t>and foremost</w:t>
      </w:r>
      <w:r w:rsidRPr="0071567C">
        <w:rPr>
          <w:rFonts w:ascii="Palatino Linotype" w:hAnsi="Palatino Linotype"/>
          <w:color w:val="000000"/>
          <w:lang w:val="en-GB"/>
        </w:rPr>
        <w:t xml:space="preserve">, a national matter. </w:t>
      </w:r>
      <w:r w:rsidR="009304A3" w:rsidRPr="0071567C">
        <w:rPr>
          <w:rFonts w:ascii="Palatino Linotype" w:hAnsi="Palatino Linotype"/>
          <w:color w:val="000000"/>
          <w:lang w:val="en-GB"/>
        </w:rPr>
        <w:t xml:space="preserve">For that reason, it is not surprising to find </w:t>
      </w:r>
      <w:r w:rsidR="00FE1BF9" w:rsidRPr="0071567C">
        <w:rPr>
          <w:rFonts w:ascii="Palatino Linotype" w:hAnsi="Palatino Linotype"/>
          <w:color w:val="000000"/>
          <w:lang w:val="en-GB"/>
        </w:rPr>
        <w:t>many</w:t>
      </w:r>
      <w:r w:rsidR="009304A3" w:rsidRPr="0071567C">
        <w:rPr>
          <w:rFonts w:ascii="Palatino Linotype" w:hAnsi="Palatino Linotype"/>
          <w:color w:val="000000"/>
          <w:lang w:val="en-GB"/>
        </w:rPr>
        <w:t xml:space="preserve"> differences among </w:t>
      </w:r>
      <w:r w:rsidR="005F403F" w:rsidRPr="0071567C">
        <w:rPr>
          <w:rFonts w:ascii="Palatino Linotype" w:hAnsi="Palatino Linotype"/>
          <w:color w:val="000000"/>
          <w:lang w:val="en-GB"/>
        </w:rPr>
        <w:t>the</w:t>
      </w:r>
      <w:r w:rsidR="009304A3" w:rsidRPr="0071567C">
        <w:rPr>
          <w:rFonts w:ascii="Palatino Linotype" w:hAnsi="Palatino Linotype"/>
          <w:color w:val="000000"/>
          <w:lang w:val="en-GB"/>
        </w:rPr>
        <w:t xml:space="preserve"> national legal education model</w:t>
      </w:r>
      <w:r w:rsidR="005F403F" w:rsidRPr="0071567C">
        <w:rPr>
          <w:rFonts w:ascii="Palatino Linotype" w:hAnsi="Palatino Linotype"/>
          <w:color w:val="000000"/>
          <w:lang w:val="en-GB"/>
        </w:rPr>
        <w:t>s</w:t>
      </w:r>
      <w:r w:rsidR="009304A3" w:rsidRPr="0071567C">
        <w:rPr>
          <w:rFonts w:ascii="Palatino Linotype" w:hAnsi="Palatino Linotype"/>
          <w:color w:val="000000"/>
          <w:lang w:val="en-GB"/>
        </w:rPr>
        <w:t xml:space="preserve"> </w:t>
      </w:r>
      <w:r w:rsidR="005F403F" w:rsidRPr="0071567C">
        <w:rPr>
          <w:rFonts w:ascii="Palatino Linotype" w:hAnsi="Palatino Linotype"/>
          <w:color w:val="000000"/>
          <w:lang w:val="en-GB"/>
        </w:rPr>
        <w:t xml:space="preserve">existing in Europe: each </w:t>
      </w:r>
      <w:r w:rsidR="004674B3" w:rsidRPr="0071567C">
        <w:rPr>
          <w:rFonts w:ascii="Palatino Linotype" w:hAnsi="Palatino Linotype"/>
          <w:color w:val="000000"/>
          <w:lang w:val="en-GB"/>
        </w:rPr>
        <w:t xml:space="preserve">member state </w:t>
      </w:r>
      <w:r w:rsidRPr="0071567C">
        <w:rPr>
          <w:rFonts w:ascii="Palatino Linotype" w:hAnsi="Palatino Linotype"/>
          <w:color w:val="000000"/>
          <w:lang w:val="en-GB"/>
        </w:rPr>
        <w:t xml:space="preserve">has its own education and training pathway </w:t>
      </w:r>
      <w:r w:rsidR="00303219" w:rsidRPr="0071567C">
        <w:rPr>
          <w:rFonts w:ascii="Palatino Linotype" w:hAnsi="Palatino Linotype"/>
          <w:color w:val="000000"/>
          <w:lang w:val="en-GB"/>
        </w:rPr>
        <w:t xml:space="preserve">to be followed </w:t>
      </w:r>
      <w:r w:rsidRPr="0071567C">
        <w:rPr>
          <w:rFonts w:ascii="Palatino Linotype" w:hAnsi="Palatino Linotype"/>
          <w:color w:val="000000"/>
          <w:lang w:val="en-GB"/>
        </w:rPr>
        <w:t xml:space="preserve">in order to become a lawyer, and this pathway varies from </w:t>
      </w:r>
      <w:r w:rsidR="00303219" w:rsidRPr="0071567C">
        <w:rPr>
          <w:rFonts w:ascii="Palatino Linotype" w:hAnsi="Palatino Linotype"/>
          <w:color w:val="000000"/>
          <w:lang w:val="en-GB"/>
        </w:rPr>
        <w:t xml:space="preserve">one </w:t>
      </w:r>
      <w:r w:rsidRPr="0071567C">
        <w:rPr>
          <w:rFonts w:ascii="Palatino Linotype" w:hAnsi="Palatino Linotype"/>
          <w:color w:val="000000"/>
          <w:lang w:val="en-GB"/>
        </w:rPr>
        <w:t xml:space="preserve">country to </w:t>
      </w:r>
      <w:r w:rsidR="00303219" w:rsidRPr="0071567C">
        <w:rPr>
          <w:rFonts w:ascii="Palatino Linotype" w:hAnsi="Palatino Linotype"/>
          <w:color w:val="000000"/>
          <w:lang w:val="en-GB"/>
        </w:rPr>
        <w:t>another</w:t>
      </w:r>
      <w:r w:rsidRPr="0071567C">
        <w:rPr>
          <w:rFonts w:ascii="Palatino Linotype" w:hAnsi="Palatino Linotype"/>
          <w:color w:val="000000"/>
          <w:lang w:val="en-GB"/>
        </w:rPr>
        <w:t xml:space="preserve">. This </w:t>
      </w:r>
      <w:r w:rsidR="005F403F" w:rsidRPr="0071567C">
        <w:rPr>
          <w:rFonts w:ascii="Palatino Linotype" w:hAnsi="Palatino Linotype"/>
          <w:color w:val="000000"/>
          <w:lang w:val="en-GB"/>
        </w:rPr>
        <w:t xml:space="preserve">heterogeneous </w:t>
      </w:r>
      <w:r w:rsidRPr="0071567C">
        <w:rPr>
          <w:rFonts w:ascii="Palatino Linotype" w:hAnsi="Palatino Linotype"/>
          <w:color w:val="000000"/>
          <w:lang w:val="en-GB"/>
        </w:rPr>
        <w:t>situation can turn into a potential obstacle to</w:t>
      </w:r>
      <w:r w:rsidR="004674B3" w:rsidRPr="0071567C">
        <w:rPr>
          <w:rFonts w:ascii="Palatino Linotype" w:hAnsi="Palatino Linotype"/>
          <w:color w:val="000000"/>
          <w:lang w:val="en-GB"/>
        </w:rPr>
        <w:t xml:space="preserve"> having</w:t>
      </w:r>
      <w:r w:rsidRPr="0071567C">
        <w:rPr>
          <w:rFonts w:ascii="Palatino Linotype" w:hAnsi="Palatino Linotype"/>
          <w:color w:val="000000"/>
          <w:lang w:val="en-GB"/>
        </w:rPr>
        <w:t xml:space="preserve"> a common level of the quality</w:t>
      </w:r>
      <w:r w:rsidR="004674B3" w:rsidRPr="0071567C">
        <w:rPr>
          <w:rFonts w:ascii="Palatino Linotype" w:hAnsi="Palatino Linotype"/>
          <w:color w:val="000000"/>
          <w:lang w:val="en-GB"/>
        </w:rPr>
        <w:t xml:space="preserve"> of services</w:t>
      </w:r>
      <w:r w:rsidRPr="0071567C">
        <w:rPr>
          <w:rFonts w:ascii="Palatino Linotype" w:hAnsi="Palatino Linotype"/>
          <w:color w:val="000000"/>
          <w:lang w:val="en-GB"/>
        </w:rPr>
        <w:t xml:space="preserve"> offered in the internal market.</w:t>
      </w:r>
    </w:p>
    <w:p w:rsidR="0092671E" w:rsidRPr="0071567C" w:rsidRDefault="00F43B7D" w:rsidP="00E67C64">
      <w:pPr>
        <w:spacing w:line="480" w:lineRule="auto"/>
        <w:jc w:val="both"/>
        <w:rPr>
          <w:rFonts w:ascii="Palatino Linotype" w:hAnsi="Palatino Linotype"/>
          <w:color w:val="000000" w:themeColor="text1"/>
          <w:lang w:val="en-GB"/>
        </w:rPr>
      </w:pPr>
      <w:r w:rsidRPr="0071567C">
        <w:rPr>
          <w:rFonts w:ascii="Palatino Linotype" w:hAnsi="Palatino Linotype"/>
          <w:color w:val="000000"/>
          <w:lang w:val="en-GB"/>
        </w:rPr>
        <w:t>Among the</w:t>
      </w:r>
      <w:r w:rsidR="00DF22E0" w:rsidRPr="0071567C">
        <w:rPr>
          <w:rFonts w:ascii="Palatino Linotype" w:hAnsi="Palatino Linotype"/>
          <w:color w:val="000000" w:themeColor="text1"/>
          <w:lang w:val="en-GB"/>
        </w:rPr>
        <w:t xml:space="preserve"> main criteria </w:t>
      </w:r>
      <w:r w:rsidR="005F403F" w:rsidRPr="0071567C">
        <w:rPr>
          <w:rFonts w:ascii="Palatino Linotype" w:hAnsi="Palatino Linotype"/>
          <w:color w:val="000000" w:themeColor="text1"/>
          <w:lang w:val="en-GB"/>
        </w:rPr>
        <w:t>differing</w:t>
      </w:r>
      <w:r w:rsidR="00DF22E0" w:rsidRPr="0071567C">
        <w:rPr>
          <w:rFonts w:ascii="Palatino Linotype" w:hAnsi="Palatino Linotype"/>
          <w:color w:val="000000" w:themeColor="text1"/>
          <w:lang w:val="en-GB"/>
        </w:rPr>
        <w:t xml:space="preserve"> from </w:t>
      </w:r>
      <w:r w:rsidR="004674B3" w:rsidRPr="0071567C">
        <w:rPr>
          <w:rFonts w:ascii="Palatino Linotype" w:hAnsi="Palatino Linotype"/>
          <w:color w:val="000000" w:themeColor="text1"/>
          <w:lang w:val="en-GB"/>
        </w:rPr>
        <w:t xml:space="preserve">member state </w:t>
      </w:r>
      <w:r w:rsidR="00DF22E0" w:rsidRPr="0071567C">
        <w:rPr>
          <w:rFonts w:ascii="Palatino Linotype" w:hAnsi="Palatino Linotype"/>
          <w:color w:val="000000" w:themeColor="text1"/>
          <w:lang w:val="en-GB"/>
        </w:rPr>
        <w:t xml:space="preserve">to </w:t>
      </w:r>
      <w:r w:rsidR="004674B3" w:rsidRPr="0071567C">
        <w:rPr>
          <w:rFonts w:ascii="Palatino Linotype" w:hAnsi="Palatino Linotype"/>
          <w:color w:val="000000" w:themeColor="text1"/>
          <w:lang w:val="en-GB"/>
        </w:rPr>
        <w:t xml:space="preserve">member state, </w:t>
      </w:r>
      <w:r w:rsidRPr="0071567C">
        <w:rPr>
          <w:rFonts w:ascii="Palatino Linotype" w:hAnsi="Palatino Linotype"/>
          <w:color w:val="000000" w:themeColor="text1"/>
          <w:lang w:val="en-GB"/>
        </w:rPr>
        <w:t xml:space="preserve">there </w:t>
      </w:r>
      <w:r w:rsidR="00DF22E0" w:rsidRPr="0071567C">
        <w:rPr>
          <w:rFonts w:ascii="Palatino Linotype" w:hAnsi="Palatino Linotype"/>
          <w:color w:val="000000" w:themeColor="text1"/>
          <w:lang w:val="en-GB"/>
        </w:rPr>
        <w:t>are: a) the duration of the licensing procedure, with a range from around six to almost nine years (like in Slovenia)</w:t>
      </w:r>
      <w:r w:rsidR="004674B3" w:rsidRPr="0071567C">
        <w:rPr>
          <w:rFonts w:ascii="Palatino Linotype" w:hAnsi="Palatino Linotype"/>
          <w:color w:val="000000" w:themeColor="text1"/>
          <w:lang w:val="en-GB"/>
        </w:rPr>
        <w:t>;</w:t>
      </w:r>
      <w:r w:rsidR="00DF22E0" w:rsidRPr="0071567C">
        <w:rPr>
          <w:rStyle w:val="FootnoteReference"/>
          <w:rFonts w:ascii="Palatino Linotype" w:hAnsi="Palatino Linotype"/>
          <w:color w:val="000000" w:themeColor="text1"/>
          <w:lang w:val="en-GB"/>
        </w:rPr>
        <w:footnoteReference w:id="17"/>
      </w:r>
      <w:r w:rsidRPr="0071567C">
        <w:rPr>
          <w:rFonts w:ascii="Palatino Linotype" w:hAnsi="Palatino Linotype"/>
          <w:color w:val="000000" w:themeColor="text1"/>
          <w:lang w:val="en-GB"/>
        </w:rPr>
        <w:t xml:space="preserve"> </w:t>
      </w:r>
      <w:r w:rsidR="00DF22E0" w:rsidRPr="0071567C">
        <w:rPr>
          <w:rFonts w:ascii="Palatino Linotype" w:hAnsi="Palatino Linotype"/>
          <w:color w:val="000000" w:themeColor="text1"/>
          <w:lang w:val="en-GB"/>
        </w:rPr>
        <w:t>b) the intensity of the entry controls</w:t>
      </w:r>
      <w:r w:rsidR="00792E92" w:rsidRPr="0071567C">
        <w:rPr>
          <w:rFonts w:ascii="Palatino Linotype" w:hAnsi="Palatino Linotype"/>
          <w:color w:val="000000" w:themeColor="text1"/>
          <w:lang w:val="en-GB"/>
        </w:rPr>
        <w:t>:</w:t>
      </w:r>
      <w:r w:rsidR="00DF22E0" w:rsidRPr="0071567C">
        <w:rPr>
          <w:rFonts w:ascii="Palatino Linotype" w:hAnsi="Palatino Linotype"/>
          <w:color w:val="000000" w:themeColor="text1"/>
          <w:lang w:val="en-GB"/>
        </w:rPr>
        <w:t xml:space="preserve"> some </w:t>
      </w:r>
      <w:r w:rsidR="004674B3" w:rsidRPr="0071567C">
        <w:rPr>
          <w:rFonts w:ascii="Palatino Linotype" w:hAnsi="Palatino Linotype"/>
          <w:color w:val="000000" w:themeColor="text1"/>
          <w:lang w:val="en-GB"/>
        </w:rPr>
        <w:t xml:space="preserve">member states </w:t>
      </w:r>
      <w:r w:rsidR="00DF22E0" w:rsidRPr="0071567C">
        <w:rPr>
          <w:rFonts w:ascii="Palatino Linotype" w:hAnsi="Palatino Linotype"/>
          <w:color w:val="000000" w:themeColor="text1"/>
          <w:lang w:val="en-GB"/>
        </w:rPr>
        <w:t xml:space="preserve">impose </w:t>
      </w:r>
      <w:r w:rsidR="002F3292" w:rsidRPr="0071567C">
        <w:rPr>
          <w:rFonts w:ascii="Palatino Linotype" w:hAnsi="Palatino Linotype"/>
          <w:color w:val="000000" w:themeColor="text1"/>
          <w:lang w:val="en-GB"/>
        </w:rPr>
        <w:t xml:space="preserve">an </w:t>
      </w:r>
      <w:r w:rsidR="005F403F" w:rsidRPr="0071567C">
        <w:rPr>
          <w:rFonts w:ascii="Palatino Linotype" w:hAnsi="Palatino Linotype"/>
          <w:color w:val="000000" w:themeColor="text1"/>
          <w:lang w:val="en-GB"/>
        </w:rPr>
        <w:t>‘</w:t>
      </w:r>
      <w:r w:rsidR="00DF22E0" w:rsidRPr="0071567C">
        <w:rPr>
          <w:rFonts w:ascii="Palatino Linotype" w:hAnsi="Palatino Linotype"/>
          <w:color w:val="000000" w:themeColor="text1"/>
          <w:lang w:val="en-GB"/>
        </w:rPr>
        <w:t>incoming and outgoing’</w:t>
      </w:r>
      <w:r w:rsidR="005F403F" w:rsidRPr="0071567C">
        <w:rPr>
          <w:rFonts w:ascii="Palatino Linotype" w:hAnsi="Palatino Linotype"/>
          <w:color w:val="000000" w:themeColor="text1"/>
          <w:lang w:val="en-GB"/>
        </w:rPr>
        <w:t xml:space="preserve"> selection </w:t>
      </w:r>
      <w:r w:rsidR="00DF22E0" w:rsidRPr="0071567C">
        <w:rPr>
          <w:rFonts w:ascii="Palatino Linotype" w:hAnsi="Palatino Linotype"/>
          <w:color w:val="000000" w:themeColor="text1"/>
          <w:lang w:val="en-GB"/>
        </w:rPr>
        <w:t>in order to become</w:t>
      </w:r>
      <w:r w:rsidR="004674B3" w:rsidRPr="0071567C">
        <w:rPr>
          <w:rFonts w:ascii="Palatino Linotype" w:hAnsi="Palatino Linotype"/>
          <w:color w:val="000000" w:themeColor="text1"/>
          <w:lang w:val="en-GB"/>
        </w:rPr>
        <w:t xml:space="preserve"> a</w:t>
      </w:r>
      <w:r w:rsidR="00DF22E0" w:rsidRPr="0071567C">
        <w:rPr>
          <w:rFonts w:ascii="Palatino Linotype" w:hAnsi="Palatino Linotype"/>
          <w:color w:val="000000" w:themeColor="text1"/>
          <w:lang w:val="en-GB"/>
        </w:rPr>
        <w:t xml:space="preserve"> lawyer</w:t>
      </w:r>
      <w:r w:rsidR="0027530E" w:rsidRPr="0071567C">
        <w:rPr>
          <w:rFonts w:ascii="Palatino Linotype" w:hAnsi="Palatino Linotype"/>
          <w:color w:val="000000" w:themeColor="text1"/>
          <w:lang w:val="en-GB"/>
        </w:rPr>
        <w:t>. In</w:t>
      </w:r>
      <w:r w:rsidR="00DF22E0" w:rsidRPr="0071567C">
        <w:rPr>
          <w:rFonts w:ascii="Palatino Linotype" w:hAnsi="Palatino Linotype"/>
          <w:color w:val="000000" w:themeColor="text1"/>
          <w:lang w:val="en-GB"/>
        </w:rPr>
        <w:t xml:space="preserve"> particular, </w:t>
      </w:r>
      <w:r w:rsidR="0027530E" w:rsidRPr="0071567C">
        <w:rPr>
          <w:rFonts w:ascii="Palatino Linotype" w:hAnsi="Palatino Linotype"/>
          <w:color w:val="000000" w:themeColor="text1"/>
          <w:lang w:val="en-GB"/>
        </w:rPr>
        <w:t>in order to start vocational training</w:t>
      </w:r>
      <w:r w:rsidR="004674B3" w:rsidRPr="0071567C">
        <w:rPr>
          <w:rFonts w:ascii="Palatino Linotype" w:hAnsi="Palatino Linotype"/>
          <w:color w:val="000000" w:themeColor="text1"/>
          <w:lang w:val="en-GB"/>
        </w:rPr>
        <w:t xml:space="preserve"> in</w:t>
      </w:r>
      <w:r w:rsidR="0027530E" w:rsidRPr="0071567C">
        <w:rPr>
          <w:rFonts w:ascii="Palatino Linotype" w:hAnsi="Palatino Linotype"/>
          <w:color w:val="000000" w:themeColor="text1"/>
          <w:lang w:val="en-GB"/>
        </w:rPr>
        <w:t xml:space="preserve"> </w:t>
      </w:r>
      <w:r w:rsidR="00DF22E0" w:rsidRPr="0071567C">
        <w:rPr>
          <w:rFonts w:ascii="Palatino Linotype" w:hAnsi="Palatino Linotype"/>
          <w:color w:val="000000" w:themeColor="text1"/>
          <w:lang w:val="en-GB"/>
        </w:rPr>
        <w:t>law</w:t>
      </w:r>
      <w:r w:rsidR="004674B3" w:rsidRPr="0071567C">
        <w:rPr>
          <w:rFonts w:ascii="Palatino Linotype" w:hAnsi="Palatino Linotype"/>
          <w:color w:val="000000" w:themeColor="text1"/>
          <w:lang w:val="en-GB"/>
        </w:rPr>
        <w:t>,</w:t>
      </w:r>
      <w:r w:rsidR="00DF22E0" w:rsidRPr="0071567C">
        <w:rPr>
          <w:rFonts w:ascii="Palatino Linotype" w:hAnsi="Palatino Linotype"/>
          <w:color w:val="000000" w:themeColor="text1"/>
          <w:lang w:val="en-GB"/>
        </w:rPr>
        <w:t xml:space="preserve"> </w:t>
      </w:r>
      <w:r w:rsidR="00792E92" w:rsidRPr="0071567C">
        <w:rPr>
          <w:rFonts w:ascii="Palatino Linotype" w:hAnsi="Palatino Linotype"/>
          <w:color w:val="000000" w:themeColor="text1"/>
          <w:lang w:val="en-GB"/>
        </w:rPr>
        <w:t xml:space="preserve">graduates </w:t>
      </w:r>
      <w:r w:rsidR="0047327E" w:rsidRPr="0071567C">
        <w:rPr>
          <w:rFonts w:ascii="Palatino Linotype" w:hAnsi="Palatino Linotype"/>
          <w:color w:val="000000" w:themeColor="text1"/>
          <w:lang w:val="en-GB"/>
        </w:rPr>
        <w:t xml:space="preserve">may be </w:t>
      </w:r>
      <w:r w:rsidR="00792E92" w:rsidRPr="0071567C">
        <w:rPr>
          <w:rFonts w:ascii="Palatino Linotype" w:hAnsi="Palatino Linotype"/>
          <w:color w:val="000000" w:themeColor="text1"/>
          <w:lang w:val="en-GB"/>
        </w:rPr>
        <w:t xml:space="preserve">required to pass an exam at the end of </w:t>
      </w:r>
      <w:r w:rsidR="00792E92" w:rsidRPr="0071567C">
        <w:rPr>
          <w:rFonts w:ascii="Palatino Linotype" w:hAnsi="Palatino Linotype"/>
          <w:color w:val="000000" w:themeColor="text1"/>
          <w:lang w:val="en-GB"/>
        </w:rPr>
        <w:lastRenderedPageBreak/>
        <w:t>the</w:t>
      </w:r>
      <w:r w:rsidR="0047327E" w:rsidRPr="0071567C">
        <w:rPr>
          <w:rFonts w:ascii="Palatino Linotype" w:hAnsi="Palatino Linotype"/>
          <w:color w:val="000000" w:themeColor="text1"/>
          <w:lang w:val="en-GB"/>
        </w:rPr>
        <w:t>ir</w:t>
      </w:r>
      <w:r w:rsidR="00792E92" w:rsidRPr="0071567C">
        <w:rPr>
          <w:rFonts w:ascii="Palatino Linotype" w:hAnsi="Palatino Linotype"/>
          <w:color w:val="000000" w:themeColor="text1"/>
          <w:lang w:val="en-GB"/>
        </w:rPr>
        <w:t xml:space="preserve"> university studies</w:t>
      </w:r>
      <w:r w:rsidR="004674B3" w:rsidRPr="0071567C">
        <w:rPr>
          <w:rFonts w:ascii="Palatino Linotype" w:hAnsi="Palatino Linotype"/>
          <w:color w:val="000000" w:themeColor="text1"/>
          <w:lang w:val="en-GB"/>
        </w:rPr>
        <w:t>,</w:t>
      </w:r>
      <w:r w:rsidR="00DF22E0" w:rsidRPr="0071567C">
        <w:rPr>
          <w:rFonts w:ascii="Palatino Linotype" w:hAnsi="Palatino Linotype"/>
          <w:color w:val="000000" w:themeColor="text1"/>
          <w:lang w:val="en-GB"/>
        </w:rPr>
        <w:t xml:space="preserve"> and a second </w:t>
      </w:r>
      <w:r w:rsidR="0027530E" w:rsidRPr="0071567C">
        <w:rPr>
          <w:rFonts w:ascii="Palatino Linotype" w:hAnsi="Palatino Linotype"/>
          <w:color w:val="000000" w:themeColor="text1"/>
          <w:lang w:val="en-GB"/>
        </w:rPr>
        <w:t>exam has to be taken</w:t>
      </w:r>
      <w:r w:rsidR="00DF22E0" w:rsidRPr="0071567C">
        <w:rPr>
          <w:rFonts w:ascii="Palatino Linotype" w:hAnsi="Palatino Linotype"/>
          <w:color w:val="000000" w:themeColor="text1"/>
          <w:lang w:val="en-GB"/>
        </w:rPr>
        <w:t xml:space="preserve"> at the end of the traineeship</w:t>
      </w:r>
      <w:r w:rsidR="0027530E" w:rsidRPr="0071567C">
        <w:rPr>
          <w:rFonts w:ascii="Palatino Linotype" w:hAnsi="Palatino Linotype"/>
          <w:color w:val="000000" w:themeColor="text1"/>
          <w:lang w:val="en-GB"/>
        </w:rPr>
        <w:t xml:space="preserve"> for</w:t>
      </w:r>
      <w:r w:rsidR="00DF22E0" w:rsidRPr="0071567C">
        <w:rPr>
          <w:rFonts w:ascii="Palatino Linotype" w:hAnsi="Palatino Linotype"/>
          <w:color w:val="000000" w:themeColor="text1"/>
          <w:lang w:val="en-GB"/>
        </w:rPr>
        <w:t xml:space="preserve"> becom</w:t>
      </w:r>
      <w:r w:rsidR="0027530E" w:rsidRPr="0071567C">
        <w:rPr>
          <w:rFonts w:ascii="Palatino Linotype" w:hAnsi="Palatino Linotype"/>
          <w:color w:val="000000" w:themeColor="text1"/>
          <w:lang w:val="en-GB"/>
        </w:rPr>
        <w:t>ing</w:t>
      </w:r>
      <w:r w:rsidR="00DF22E0" w:rsidRPr="0071567C">
        <w:rPr>
          <w:rFonts w:ascii="Palatino Linotype" w:hAnsi="Palatino Linotype"/>
          <w:color w:val="000000" w:themeColor="text1"/>
          <w:lang w:val="en-GB"/>
        </w:rPr>
        <w:t xml:space="preserve"> a </w:t>
      </w:r>
      <w:r w:rsidR="00792E92" w:rsidRPr="0071567C">
        <w:rPr>
          <w:rFonts w:ascii="Palatino Linotype" w:hAnsi="Palatino Linotype"/>
          <w:color w:val="000000" w:themeColor="text1"/>
          <w:lang w:val="en-GB"/>
        </w:rPr>
        <w:t>lawyer</w:t>
      </w:r>
      <w:r w:rsidR="00DF22E0" w:rsidRPr="0071567C">
        <w:rPr>
          <w:rFonts w:ascii="Palatino Linotype" w:hAnsi="Palatino Linotype"/>
          <w:color w:val="000000" w:themeColor="text1"/>
          <w:lang w:val="en-GB"/>
        </w:rPr>
        <w:t xml:space="preserve">. </w:t>
      </w:r>
      <w:r w:rsidR="002F3292" w:rsidRPr="0071567C">
        <w:rPr>
          <w:rFonts w:ascii="Palatino Linotype" w:eastAsiaTheme="minorHAnsi" w:hAnsi="Palatino Linotype"/>
          <w:lang w:val="en-GB" w:eastAsia="en-US"/>
        </w:rPr>
        <w:t xml:space="preserve">For example, a </w:t>
      </w:r>
      <w:r w:rsidR="00792E92" w:rsidRPr="0071567C">
        <w:rPr>
          <w:rFonts w:ascii="Palatino Linotype" w:eastAsiaTheme="minorHAnsi" w:hAnsi="Palatino Linotype"/>
          <w:lang w:val="en-GB" w:eastAsia="en-US"/>
        </w:rPr>
        <w:t>dual bar exam</w:t>
      </w:r>
      <w:r w:rsidR="002F3292" w:rsidRPr="0071567C">
        <w:rPr>
          <w:rFonts w:ascii="Palatino Linotype" w:eastAsiaTheme="minorHAnsi" w:hAnsi="Palatino Linotype"/>
          <w:lang w:val="en-GB" w:eastAsia="en-US"/>
        </w:rPr>
        <w:t xml:space="preserve"> </w:t>
      </w:r>
      <w:r w:rsidR="00792E92" w:rsidRPr="0071567C">
        <w:rPr>
          <w:rFonts w:ascii="Palatino Linotype" w:eastAsiaTheme="minorHAnsi" w:hAnsi="Palatino Linotype"/>
          <w:lang w:val="en-GB" w:eastAsia="en-US"/>
        </w:rPr>
        <w:t xml:space="preserve">is required by the </w:t>
      </w:r>
      <w:r w:rsidR="00DF22E0" w:rsidRPr="0071567C">
        <w:rPr>
          <w:rFonts w:ascii="Palatino Linotype" w:hAnsi="Palatino Linotype"/>
          <w:color w:val="000000" w:themeColor="text1"/>
          <w:lang w:val="en-GB"/>
        </w:rPr>
        <w:t>German regulation</w:t>
      </w:r>
      <w:r w:rsidR="004674B3" w:rsidRPr="0071567C">
        <w:rPr>
          <w:rFonts w:ascii="Palatino Linotype" w:hAnsi="Palatino Linotype"/>
          <w:color w:val="000000" w:themeColor="text1"/>
          <w:lang w:val="en-GB"/>
        </w:rPr>
        <w:t>,</w:t>
      </w:r>
      <w:r w:rsidR="00792E92" w:rsidRPr="0071567C">
        <w:rPr>
          <w:rStyle w:val="FootnoteReference"/>
          <w:rFonts w:ascii="Palatino Linotype" w:hAnsi="Palatino Linotype"/>
          <w:color w:val="000000" w:themeColor="text1"/>
          <w:lang w:val="en-GB"/>
        </w:rPr>
        <w:footnoteReference w:id="18"/>
      </w:r>
      <w:r w:rsidR="00DF22E0" w:rsidRPr="0071567C">
        <w:rPr>
          <w:rFonts w:ascii="Palatino Linotype" w:hAnsi="Palatino Linotype"/>
          <w:color w:val="000000" w:themeColor="text1"/>
          <w:lang w:val="en-GB"/>
        </w:rPr>
        <w:t xml:space="preserve"> as well as </w:t>
      </w:r>
      <w:r w:rsidR="00792E92" w:rsidRPr="0071567C">
        <w:rPr>
          <w:rFonts w:ascii="Palatino Linotype" w:hAnsi="Palatino Linotype"/>
          <w:color w:val="000000" w:themeColor="text1"/>
          <w:lang w:val="en-GB"/>
        </w:rPr>
        <w:t>by the</w:t>
      </w:r>
      <w:r w:rsidR="00DF22E0" w:rsidRPr="0071567C">
        <w:rPr>
          <w:rFonts w:ascii="Palatino Linotype" w:hAnsi="Palatino Linotype"/>
          <w:color w:val="000000" w:themeColor="text1"/>
          <w:lang w:val="en-GB"/>
        </w:rPr>
        <w:t xml:space="preserve"> Polish one</w:t>
      </w:r>
      <w:r w:rsidR="004674B3" w:rsidRPr="0071567C">
        <w:rPr>
          <w:rFonts w:ascii="Palatino Linotype" w:hAnsi="Palatino Linotype"/>
          <w:color w:val="000000" w:themeColor="text1"/>
          <w:lang w:val="en-GB"/>
        </w:rPr>
        <w:t>.</w:t>
      </w:r>
      <w:r w:rsidR="00792E92" w:rsidRPr="0071567C">
        <w:rPr>
          <w:rStyle w:val="FootnoteReference"/>
          <w:rFonts w:ascii="Palatino Linotype" w:hAnsi="Palatino Linotype"/>
          <w:color w:val="000000" w:themeColor="text1"/>
          <w:lang w:val="en-GB"/>
        </w:rPr>
        <w:footnoteReference w:id="19"/>
      </w:r>
      <w:r w:rsidR="00DF22E0" w:rsidRPr="0071567C">
        <w:rPr>
          <w:rFonts w:ascii="Palatino Linotype" w:hAnsi="Palatino Linotype"/>
          <w:iCs/>
          <w:color w:val="000000" w:themeColor="text1"/>
          <w:lang w:val="en-GB"/>
        </w:rPr>
        <w:t xml:space="preserve"> </w:t>
      </w:r>
      <w:r w:rsidR="002F3292" w:rsidRPr="0071567C">
        <w:rPr>
          <w:rFonts w:ascii="Palatino Linotype" w:hAnsi="Palatino Linotype"/>
          <w:iCs/>
          <w:color w:val="000000" w:themeColor="text1"/>
          <w:lang w:val="en-GB"/>
        </w:rPr>
        <w:t xml:space="preserve">On the other side, some other </w:t>
      </w:r>
      <w:r w:rsidR="0047327E" w:rsidRPr="0071567C">
        <w:rPr>
          <w:rFonts w:ascii="Palatino Linotype" w:hAnsi="Palatino Linotype"/>
          <w:iCs/>
          <w:color w:val="000000" w:themeColor="text1"/>
          <w:lang w:val="en-GB"/>
        </w:rPr>
        <w:t>member states</w:t>
      </w:r>
      <w:r w:rsidR="00DF22E0" w:rsidRPr="0071567C">
        <w:rPr>
          <w:rFonts w:ascii="Palatino Linotype" w:hAnsi="Palatino Linotype"/>
          <w:iCs/>
          <w:color w:val="000000" w:themeColor="text1"/>
          <w:lang w:val="en-GB"/>
        </w:rPr>
        <w:t xml:space="preserve">, like Italy, impose one single entry selection, </w:t>
      </w:r>
      <w:r w:rsidR="00303219" w:rsidRPr="0071567C">
        <w:rPr>
          <w:rFonts w:ascii="Palatino Linotype" w:hAnsi="Palatino Linotype"/>
          <w:iCs/>
          <w:color w:val="000000" w:themeColor="text1"/>
          <w:lang w:val="en-GB"/>
        </w:rPr>
        <w:t>i.e.</w:t>
      </w:r>
      <w:r w:rsidR="00DF22E0" w:rsidRPr="0071567C">
        <w:rPr>
          <w:rFonts w:ascii="Palatino Linotype" w:hAnsi="Palatino Linotype"/>
          <w:iCs/>
          <w:color w:val="000000" w:themeColor="text1"/>
          <w:lang w:val="en-GB"/>
        </w:rPr>
        <w:t xml:space="preserve"> a</w:t>
      </w:r>
      <w:r w:rsidR="008E0D9A" w:rsidRPr="0071567C">
        <w:rPr>
          <w:rFonts w:ascii="Palatino Linotype" w:hAnsi="Palatino Linotype"/>
          <w:iCs/>
          <w:color w:val="000000" w:themeColor="text1"/>
          <w:lang w:val="en-GB"/>
        </w:rPr>
        <w:t>n exam</w:t>
      </w:r>
      <w:r w:rsidR="00DF22E0" w:rsidRPr="0071567C">
        <w:rPr>
          <w:rFonts w:ascii="Palatino Linotype" w:hAnsi="Palatino Linotype"/>
          <w:iCs/>
          <w:color w:val="000000" w:themeColor="text1"/>
          <w:lang w:val="en-GB"/>
        </w:rPr>
        <w:t xml:space="preserve"> at the end of the traineeship. In some case</w:t>
      </w:r>
      <w:r w:rsidR="00303219" w:rsidRPr="0071567C">
        <w:rPr>
          <w:rFonts w:ascii="Palatino Linotype" w:hAnsi="Palatino Linotype"/>
          <w:iCs/>
          <w:color w:val="000000" w:themeColor="text1"/>
          <w:lang w:val="en-GB"/>
        </w:rPr>
        <w:t>s</w:t>
      </w:r>
      <w:r w:rsidR="00DF22E0" w:rsidRPr="0071567C">
        <w:rPr>
          <w:rFonts w:ascii="Palatino Linotype" w:hAnsi="Palatino Linotype"/>
          <w:iCs/>
          <w:color w:val="000000" w:themeColor="text1"/>
          <w:lang w:val="en-GB"/>
        </w:rPr>
        <w:t xml:space="preserve"> the exam</w:t>
      </w:r>
      <w:r w:rsidR="008E0D9A" w:rsidRPr="0071567C">
        <w:rPr>
          <w:rFonts w:ascii="Palatino Linotype" w:hAnsi="Palatino Linotype"/>
          <w:iCs/>
          <w:color w:val="000000" w:themeColor="text1"/>
          <w:lang w:val="en-GB"/>
        </w:rPr>
        <w:t>ination</w:t>
      </w:r>
      <w:r w:rsidR="00DF22E0" w:rsidRPr="0071567C">
        <w:rPr>
          <w:rFonts w:ascii="Palatino Linotype" w:hAnsi="Palatino Linotype"/>
          <w:iCs/>
          <w:color w:val="000000" w:themeColor="text1"/>
          <w:lang w:val="en-GB"/>
        </w:rPr>
        <w:t xml:space="preserve"> is </w:t>
      </w:r>
      <w:r w:rsidR="0047327E" w:rsidRPr="0071567C">
        <w:rPr>
          <w:rFonts w:ascii="Palatino Linotype" w:hAnsi="Palatino Linotype"/>
          <w:iCs/>
          <w:color w:val="000000" w:themeColor="text1"/>
          <w:lang w:val="en-GB"/>
        </w:rPr>
        <w:t xml:space="preserve">taken </w:t>
      </w:r>
      <w:r w:rsidR="00DF22E0" w:rsidRPr="0071567C">
        <w:rPr>
          <w:rFonts w:ascii="Palatino Linotype" w:hAnsi="Palatino Linotype"/>
          <w:iCs/>
          <w:color w:val="000000" w:themeColor="text1"/>
          <w:lang w:val="en-GB"/>
        </w:rPr>
        <w:t>before the end of the training (</w:t>
      </w:r>
      <w:r w:rsidR="002F3292" w:rsidRPr="0071567C">
        <w:rPr>
          <w:rFonts w:ascii="Palatino Linotype" w:hAnsi="Palatino Linotype"/>
          <w:iCs/>
          <w:color w:val="000000" w:themeColor="text1"/>
          <w:lang w:val="en-GB"/>
        </w:rPr>
        <w:t>this is, for example, the case of</w:t>
      </w:r>
      <w:r w:rsidR="00DF22E0" w:rsidRPr="0071567C">
        <w:rPr>
          <w:rFonts w:ascii="Palatino Linotype" w:hAnsi="Palatino Linotype"/>
          <w:iCs/>
          <w:color w:val="000000" w:themeColor="text1"/>
          <w:lang w:val="en-GB"/>
        </w:rPr>
        <w:t xml:space="preserve"> Belgi</w:t>
      </w:r>
      <w:r w:rsidR="002F3292" w:rsidRPr="0071567C">
        <w:rPr>
          <w:rFonts w:ascii="Palatino Linotype" w:hAnsi="Palatino Linotype"/>
          <w:iCs/>
          <w:color w:val="000000" w:themeColor="text1"/>
          <w:lang w:val="en-GB"/>
        </w:rPr>
        <w:t>an regulation</w:t>
      </w:r>
      <w:r w:rsidR="00DF22E0" w:rsidRPr="0071567C">
        <w:rPr>
          <w:rFonts w:ascii="Palatino Linotype" w:hAnsi="Palatino Linotype"/>
          <w:iCs/>
          <w:color w:val="000000" w:themeColor="text1"/>
          <w:lang w:val="en-GB"/>
        </w:rPr>
        <w:t>)</w:t>
      </w:r>
      <w:r w:rsidR="002F3292" w:rsidRPr="0071567C">
        <w:rPr>
          <w:rFonts w:ascii="Palatino Linotype" w:hAnsi="Palatino Linotype"/>
          <w:iCs/>
          <w:color w:val="000000" w:themeColor="text1"/>
          <w:lang w:val="en-GB"/>
        </w:rPr>
        <w:t xml:space="preserve">. </w:t>
      </w:r>
      <w:r w:rsidR="00DF22E0" w:rsidRPr="0071567C">
        <w:rPr>
          <w:rFonts w:ascii="Palatino Linotype" w:hAnsi="Palatino Linotype"/>
          <w:color w:val="000000" w:themeColor="text1"/>
          <w:lang w:val="en-GB"/>
        </w:rPr>
        <w:t xml:space="preserve">In some </w:t>
      </w:r>
      <w:r w:rsidR="002F3292" w:rsidRPr="0071567C">
        <w:rPr>
          <w:rFonts w:ascii="Palatino Linotype" w:hAnsi="Palatino Linotype"/>
          <w:color w:val="000000" w:themeColor="text1"/>
          <w:lang w:val="en-GB"/>
        </w:rPr>
        <w:t>jurisdictions</w:t>
      </w:r>
      <w:r w:rsidR="00DF22E0" w:rsidRPr="0071567C">
        <w:rPr>
          <w:rFonts w:ascii="Palatino Linotype" w:hAnsi="Palatino Linotype"/>
          <w:color w:val="000000" w:themeColor="text1"/>
          <w:lang w:val="en-GB"/>
        </w:rPr>
        <w:t xml:space="preserve">, periodic exams during the training are compulsory (like in Poland). In some </w:t>
      </w:r>
      <w:r w:rsidR="00303219" w:rsidRPr="0071567C">
        <w:rPr>
          <w:rFonts w:ascii="Palatino Linotype" w:hAnsi="Palatino Linotype"/>
          <w:color w:val="000000" w:themeColor="text1"/>
          <w:lang w:val="en-GB"/>
        </w:rPr>
        <w:t xml:space="preserve">other </w:t>
      </w:r>
      <w:r w:rsidR="0047327E" w:rsidRPr="0071567C">
        <w:rPr>
          <w:rFonts w:ascii="Palatino Linotype" w:hAnsi="Palatino Linotype"/>
          <w:color w:val="000000" w:themeColor="text1"/>
          <w:lang w:val="en-GB"/>
        </w:rPr>
        <w:t>m</w:t>
      </w:r>
      <w:r w:rsidR="002F3292" w:rsidRPr="0071567C">
        <w:rPr>
          <w:rFonts w:ascii="Palatino Linotype" w:hAnsi="Palatino Linotype"/>
          <w:color w:val="000000" w:themeColor="text1"/>
          <w:lang w:val="en-GB"/>
        </w:rPr>
        <w:t xml:space="preserve">ember </w:t>
      </w:r>
      <w:r w:rsidR="0047327E" w:rsidRPr="0071567C">
        <w:rPr>
          <w:rFonts w:ascii="Palatino Linotype" w:hAnsi="Palatino Linotype"/>
          <w:color w:val="000000" w:themeColor="text1"/>
          <w:lang w:val="en-GB"/>
        </w:rPr>
        <w:t>s</w:t>
      </w:r>
      <w:r w:rsidR="002F3292" w:rsidRPr="0071567C">
        <w:rPr>
          <w:rFonts w:ascii="Palatino Linotype" w:hAnsi="Palatino Linotype"/>
          <w:color w:val="000000" w:themeColor="text1"/>
          <w:lang w:val="en-GB"/>
        </w:rPr>
        <w:t>tate</w:t>
      </w:r>
      <w:r w:rsidR="00DF22E0" w:rsidRPr="0071567C">
        <w:rPr>
          <w:rFonts w:ascii="Palatino Linotype" w:hAnsi="Palatino Linotype"/>
          <w:color w:val="000000" w:themeColor="text1"/>
          <w:lang w:val="en-GB"/>
        </w:rPr>
        <w:t>s</w:t>
      </w:r>
      <w:r w:rsidR="00303219" w:rsidRPr="0071567C">
        <w:rPr>
          <w:rFonts w:ascii="Palatino Linotype" w:hAnsi="Palatino Linotype"/>
          <w:color w:val="000000" w:themeColor="text1"/>
          <w:lang w:val="en-GB"/>
        </w:rPr>
        <w:t>,</w:t>
      </w:r>
      <w:r w:rsidR="002F3292" w:rsidRPr="0071567C">
        <w:rPr>
          <w:rFonts w:ascii="Palatino Linotype" w:hAnsi="Palatino Linotype"/>
          <w:color w:val="000000" w:themeColor="text1"/>
          <w:lang w:val="en-GB"/>
        </w:rPr>
        <w:t xml:space="preserve"> </w:t>
      </w:r>
      <w:r w:rsidR="00DF22E0" w:rsidRPr="0071567C">
        <w:rPr>
          <w:rFonts w:ascii="Palatino Linotype" w:hAnsi="Palatino Linotype"/>
          <w:color w:val="000000" w:themeColor="text1"/>
          <w:lang w:val="en-GB"/>
        </w:rPr>
        <w:t>before or during the professional traineeship</w:t>
      </w:r>
      <w:r w:rsidR="00303219" w:rsidRPr="0071567C">
        <w:rPr>
          <w:rFonts w:ascii="Palatino Linotype" w:hAnsi="Palatino Linotype"/>
          <w:color w:val="000000" w:themeColor="text1"/>
          <w:lang w:val="en-GB"/>
        </w:rPr>
        <w:t>,</w:t>
      </w:r>
      <w:r w:rsidR="002F3292" w:rsidRPr="0071567C">
        <w:rPr>
          <w:rFonts w:ascii="Palatino Linotype" w:hAnsi="Palatino Linotype"/>
          <w:color w:val="000000" w:themeColor="text1"/>
          <w:lang w:val="en-GB"/>
        </w:rPr>
        <w:t xml:space="preserve"> </w:t>
      </w:r>
      <w:r w:rsidR="00DF22E0" w:rsidRPr="0071567C">
        <w:rPr>
          <w:rFonts w:ascii="Palatino Linotype" w:hAnsi="Palatino Linotype"/>
          <w:lang w:val="en-GB"/>
        </w:rPr>
        <w:t>additional training, vocational courses, notably on matters not covered at all in the university curriculum, such as professional ethics,</w:t>
      </w:r>
      <w:r w:rsidR="00DF22E0" w:rsidRPr="0071567C">
        <w:rPr>
          <w:rFonts w:ascii="Palatino Linotype" w:hAnsi="Palatino Linotype"/>
          <w:color w:val="000000" w:themeColor="text1"/>
          <w:lang w:val="en-GB"/>
        </w:rPr>
        <w:t xml:space="preserve"> are require</w:t>
      </w:r>
      <w:r w:rsidR="002F3292" w:rsidRPr="0071567C">
        <w:rPr>
          <w:rFonts w:ascii="Palatino Linotype" w:hAnsi="Palatino Linotype"/>
          <w:color w:val="000000" w:themeColor="text1"/>
          <w:lang w:val="en-GB"/>
        </w:rPr>
        <w:t>d; c) the connection with the education</w:t>
      </w:r>
      <w:r w:rsidR="0092671E" w:rsidRPr="0071567C">
        <w:rPr>
          <w:rFonts w:ascii="Palatino Linotype" w:hAnsi="Palatino Linotype"/>
          <w:color w:val="000000" w:themeColor="text1"/>
          <w:lang w:val="en-GB"/>
        </w:rPr>
        <w:t>al</w:t>
      </w:r>
      <w:r w:rsidR="002F3292" w:rsidRPr="0071567C">
        <w:rPr>
          <w:rFonts w:ascii="Palatino Linotype" w:hAnsi="Palatino Linotype"/>
          <w:color w:val="000000" w:themeColor="text1"/>
          <w:lang w:val="en-GB"/>
        </w:rPr>
        <w:t xml:space="preserve"> system </w:t>
      </w:r>
      <w:r w:rsidR="0092671E" w:rsidRPr="0071567C">
        <w:rPr>
          <w:rFonts w:ascii="Palatino Linotype" w:hAnsi="Palatino Linotype"/>
          <w:color w:val="000000" w:themeColor="text1"/>
          <w:lang w:val="en-GB"/>
        </w:rPr>
        <w:t>imposed</w:t>
      </w:r>
      <w:r w:rsidR="002F3292" w:rsidRPr="0071567C">
        <w:rPr>
          <w:rFonts w:ascii="Palatino Linotype" w:hAnsi="Palatino Linotype"/>
          <w:color w:val="000000" w:themeColor="text1"/>
          <w:lang w:val="en-GB"/>
        </w:rPr>
        <w:t xml:space="preserve"> for other legal professions: </w:t>
      </w:r>
      <w:r w:rsidR="0092671E" w:rsidRPr="0071567C">
        <w:rPr>
          <w:rFonts w:ascii="Palatino Linotype" w:hAnsi="Palatino Linotype"/>
          <w:color w:val="000000" w:themeColor="text1"/>
          <w:lang w:val="en-GB"/>
        </w:rPr>
        <w:t>the English and the German systems</w:t>
      </w:r>
      <w:r w:rsidR="002F3292" w:rsidRPr="0071567C">
        <w:rPr>
          <w:rFonts w:ascii="Palatino Linotype" w:hAnsi="Palatino Linotype"/>
          <w:color w:val="000000" w:themeColor="text1"/>
          <w:lang w:val="en-GB"/>
        </w:rPr>
        <w:t xml:space="preserve"> might be seen as the two extremes – </w:t>
      </w:r>
      <w:r w:rsidR="0092671E" w:rsidRPr="0071567C">
        <w:rPr>
          <w:rFonts w:ascii="Palatino Linotype" w:hAnsi="Palatino Linotype"/>
          <w:color w:val="000000" w:themeColor="text1"/>
          <w:lang w:val="en-GB"/>
        </w:rPr>
        <w:t>on one side,</w:t>
      </w:r>
      <w:r w:rsidR="0047327E" w:rsidRPr="0071567C">
        <w:rPr>
          <w:rFonts w:ascii="Palatino Linotype" w:hAnsi="Palatino Linotype"/>
          <w:color w:val="000000" w:themeColor="text1"/>
          <w:lang w:val="en-GB"/>
        </w:rPr>
        <w:t xml:space="preserve"> the</w:t>
      </w:r>
      <w:r w:rsidR="0092671E" w:rsidRPr="0071567C">
        <w:rPr>
          <w:rFonts w:ascii="Palatino Linotype" w:hAnsi="Palatino Linotype"/>
          <w:color w:val="000000" w:themeColor="text1"/>
          <w:lang w:val="en-GB"/>
        </w:rPr>
        <w:t xml:space="preserve"> UK impose</w:t>
      </w:r>
      <w:r w:rsidR="008E0D9A" w:rsidRPr="0071567C">
        <w:rPr>
          <w:rFonts w:ascii="Palatino Linotype" w:hAnsi="Palatino Linotype"/>
          <w:color w:val="000000" w:themeColor="text1"/>
          <w:lang w:val="en-GB"/>
        </w:rPr>
        <w:t>s</w:t>
      </w:r>
      <w:r w:rsidR="0092671E" w:rsidRPr="0071567C">
        <w:rPr>
          <w:rFonts w:ascii="Palatino Linotype" w:hAnsi="Palatino Linotype"/>
          <w:color w:val="000000" w:themeColor="text1"/>
          <w:lang w:val="en-GB"/>
        </w:rPr>
        <w:t xml:space="preserve"> separate educational and professional paths to the two branches of the legal profession, i.e. barrister and solicitors; </w:t>
      </w:r>
      <w:r w:rsidR="002F3292" w:rsidRPr="0071567C">
        <w:rPr>
          <w:rFonts w:ascii="Palatino Linotype" w:hAnsi="Palatino Linotype"/>
          <w:color w:val="000000" w:themeColor="text1"/>
          <w:lang w:val="en-GB"/>
        </w:rPr>
        <w:t xml:space="preserve">on the other side, the </w:t>
      </w:r>
      <w:r w:rsidR="0092671E" w:rsidRPr="0071567C">
        <w:rPr>
          <w:rFonts w:ascii="Palatino Linotype" w:hAnsi="Palatino Linotype"/>
          <w:color w:val="000000" w:themeColor="text1"/>
          <w:lang w:val="en-GB"/>
        </w:rPr>
        <w:t>G</w:t>
      </w:r>
      <w:r w:rsidR="002F3292" w:rsidRPr="0071567C">
        <w:rPr>
          <w:rFonts w:ascii="Palatino Linotype" w:hAnsi="Palatino Linotype"/>
          <w:color w:val="000000" w:themeColor="text1"/>
          <w:lang w:val="en-GB"/>
        </w:rPr>
        <w:t xml:space="preserve">erman </w:t>
      </w:r>
      <w:r w:rsidR="0092671E" w:rsidRPr="0071567C">
        <w:rPr>
          <w:rFonts w:ascii="Palatino Linotype" w:hAnsi="Palatino Linotype"/>
          <w:color w:val="000000" w:themeColor="text1"/>
          <w:lang w:val="en-GB"/>
        </w:rPr>
        <w:t>m</w:t>
      </w:r>
      <w:r w:rsidR="002F3292" w:rsidRPr="0071567C">
        <w:rPr>
          <w:rFonts w:ascii="Palatino Linotype" w:hAnsi="Palatino Linotype"/>
          <w:color w:val="000000" w:themeColor="text1"/>
          <w:lang w:val="en-GB"/>
        </w:rPr>
        <w:t>odel</w:t>
      </w:r>
      <w:r w:rsidR="0092671E" w:rsidRPr="0071567C">
        <w:rPr>
          <w:rFonts w:ascii="Palatino Linotype" w:hAnsi="Palatino Linotype"/>
          <w:color w:val="000000" w:themeColor="text1"/>
          <w:lang w:val="en-GB"/>
        </w:rPr>
        <w:t xml:space="preserve"> require</w:t>
      </w:r>
      <w:r w:rsidR="008E0D9A" w:rsidRPr="0071567C">
        <w:rPr>
          <w:rFonts w:ascii="Palatino Linotype" w:hAnsi="Palatino Linotype"/>
          <w:color w:val="000000" w:themeColor="text1"/>
          <w:lang w:val="en-GB"/>
        </w:rPr>
        <w:t>s</w:t>
      </w:r>
      <w:r w:rsidR="0092671E" w:rsidRPr="0071567C">
        <w:rPr>
          <w:rFonts w:ascii="Palatino Linotype" w:hAnsi="Palatino Linotype"/>
          <w:color w:val="000000" w:themeColor="text1"/>
          <w:lang w:val="en-GB"/>
        </w:rPr>
        <w:t xml:space="preserve"> a common education for all the traditional juridical professions in order to create the so-called </w:t>
      </w:r>
      <w:r w:rsidR="0092671E" w:rsidRPr="0071567C">
        <w:rPr>
          <w:rFonts w:ascii="Palatino Linotype" w:hAnsi="Palatino Linotype"/>
          <w:i/>
          <w:iCs/>
          <w:color w:val="000000" w:themeColor="text1"/>
          <w:lang w:val="en-GB"/>
        </w:rPr>
        <w:t>Einheitsjurist</w:t>
      </w:r>
      <w:r w:rsidR="0092671E" w:rsidRPr="0071567C">
        <w:rPr>
          <w:rFonts w:ascii="Palatino Linotype" w:hAnsi="Palatino Linotype"/>
          <w:iCs/>
          <w:color w:val="000000" w:themeColor="text1"/>
          <w:lang w:val="en-GB"/>
        </w:rPr>
        <w:t>,</w:t>
      </w:r>
      <w:r w:rsidR="0092671E" w:rsidRPr="0071567C">
        <w:rPr>
          <w:rFonts w:ascii="Palatino Linotype" w:hAnsi="Palatino Linotype"/>
          <w:i/>
          <w:iCs/>
          <w:color w:val="000000" w:themeColor="text1"/>
          <w:lang w:val="en-GB"/>
        </w:rPr>
        <w:t xml:space="preserve"> </w:t>
      </w:r>
      <w:r w:rsidR="0092671E" w:rsidRPr="0071567C">
        <w:rPr>
          <w:rFonts w:ascii="Palatino Linotype" w:hAnsi="Palatino Linotype"/>
          <w:iCs/>
          <w:color w:val="000000" w:themeColor="text1"/>
          <w:lang w:val="en-GB"/>
        </w:rPr>
        <w:t xml:space="preserve">a jurist </w:t>
      </w:r>
      <w:r w:rsidR="0047327E" w:rsidRPr="0071567C">
        <w:rPr>
          <w:rFonts w:ascii="Palatino Linotype" w:hAnsi="Palatino Linotype"/>
          <w:iCs/>
          <w:color w:val="000000" w:themeColor="text1"/>
          <w:lang w:val="en-GB"/>
        </w:rPr>
        <w:t xml:space="preserve">who </w:t>
      </w:r>
      <w:r w:rsidR="0092671E" w:rsidRPr="0071567C">
        <w:rPr>
          <w:rFonts w:ascii="Palatino Linotype" w:hAnsi="Palatino Linotype"/>
          <w:iCs/>
          <w:color w:val="000000" w:themeColor="text1"/>
          <w:lang w:val="en-GB"/>
        </w:rPr>
        <w:t xml:space="preserve">is able to work as a judge as well as a lawyer; d) the importance reserved to the continuous professional development: </w:t>
      </w:r>
      <w:r w:rsidR="00303219" w:rsidRPr="0071567C">
        <w:rPr>
          <w:rFonts w:ascii="Palatino Linotype" w:hAnsi="Palatino Linotype"/>
          <w:iCs/>
          <w:color w:val="000000" w:themeColor="text1"/>
          <w:lang w:val="en-GB"/>
        </w:rPr>
        <w:t>although</w:t>
      </w:r>
      <w:r w:rsidR="0092671E" w:rsidRPr="0071567C">
        <w:rPr>
          <w:rFonts w:ascii="Palatino Linotype" w:hAnsi="Palatino Linotype"/>
          <w:iCs/>
          <w:color w:val="000000" w:themeColor="text1"/>
          <w:lang w:val="en-GB"/>
        </w:rPr>
        <w:t xml:space="preserve"> it is mandatory in the majority of </w:t>
      </w:r>
      <w:r w:rsidR="0047327E" w:rsidRPr="0071567C">
        <w:rPr>
          <w:rFonts w:ascii="Palatino Linotype" w:hAnsi="Palatino Linotype"/>
          <w:iCs/>
          <w:color w:val="000000" w:themeColor="text1"/>
          <w:lang w:val="en-GB"/>
        </w:rPr>
        <w:t>member states</w:t>
      </w:r>
      <w:r w:rsidR="0092671E" w:rsidRPr="0071567C">
        <w:rPr>
          <w:rFonts w:ascii="Palatino Linotype" w:hAnsi="Palatino Linotype"/>
          <w:iCs/>
          <w:color w:val="000000" w:themeColor="text1"/>
          <w:lang w:val="en-GB"/>
        </w:rPr>
        <w:t>, in some of them it remains on voluntary basis</w:t>
      </w:r>
      <w:r w:rsidR="0047327E" w:rsidRPr="0071567C">
        <w:rPr>
          <w:rFonts w:ascii="Palatino Linotype" w:hAnsi="Palatino Linotype"/>
          <w:iCs/>
          <w:color w:val="000000" w:themeColor="text1"/>
          <w:lang w:val="en-GB"/>
        </w:rPr>
        <w:t>.</w:t>
      </w:r>
      <w:r w:rsidR="0092671E" w:rsidRPr="0071567C">
        <w:rPr>
          <w:rStyle w:val="FootnoteReference"/>
          <w:rFonts w:ascii="Palatino Linotype" w:hAnsi="Palatino Linotype"/>
          <w:iCs/>
          <w:color w:val="000000" w:themeColor="text1"/>
          <w:lang w:val="en-GB"/>
        </w:rPr>
        <w:footnoteReference w:id="20"/>
      </w:r>
      <w:r w:rsidR="0092671E" w:rsidRPr="0071567C">
        <w:rPr>
          <w:rFonts w:ascii="Palatino Linotype" w:hAnsi="Palatino Linotype"/>
          <w:iCs/>
          <w:color w:val="000000" w:themeColor="text1"/>
          <w:lang w:val="en-GB"/>
        </w:rPr>
        <w:t xml:space="preserve"> </w:t>
      </w:r>
    </w:p>
    <w:p w:rsidR="00DF22E0" w:rsidRPr="0071567C" w:rsidRDefault="008E0D9A" w:rsidP="00E67C64">
      <w:pPr>
        <w:spacing w:line="480" w:lineRule="auto"/>
        <w:jc w:val="both"/>
        <w:rPr>
          <w:rFonts w:ascii="Palatino Linotype" w:hAnsi="Palatino Linotype"/>
          <w:iCs/>
          <w:color w:val="000000" w:themeColor="text1"/>
          <w:lang w:val="en-GB"/>
        </w:rPr>
      </w:pPr>
      <w:r w:rsidRPr="0071567C">
        <w:rPr>
          <w:rFonts w:ascii="Palatino Linotype" w:hAnsi="Palatino Linotype"/>
          <w:color w:val="000000" w:themeColor="text1"/>
          <w:lang w:val="en-GB"/>
        </w:rPr>
        <w:lastRenderedPageBreak/>
        <w:t xml:space="preserve">This brief </w:t>
      </w:r>
      <w:r w:rsidRPr="0071567C">
        <w:rPr>
          <w:rFonts w:ascii="Palatino Linotype" w:hAnsi="Palatino Linotype"/>
          <w:i/>
          <w:color w:val="000000" w:themeColor="text1"/>
          <w:lang w:val="en-GB"/>
        </w:rPr>
        <w:t>excursus</w:t>
      </w:r>
      <w:r w:rsidRPr="0071567C">
        <w:rPr>
          <w:rFonts w:ascii="Palatino Linotype" w:hAnsi="Palatino Linotype"/>
          <w:color w:val="000000" w:themeColor="text1"/>
          <w:lang w:val="en-GB"/>
        </w:rPr>
        <w:t xml:space="preserve"> on the main traits of the </w:t>
      </w:r>
      <w:r w:rsidRPr="0071567C">
        <w:rPr>
          <w:rFonts w:ascii="Palatino Linotype" w:hAnsi="Palatino Linotype"/>
          <w:iCs/>
          <w:color w:val="000000" w:themeColor="text1"/>
          <w:lang w:val="en-GB"/>
        </w:rPr>
        <w:t>actual national educational models leads us to the conclusion that it is not possible to infer the existence of a common European model of delivering legal education and training.</w:t>
      </w:r>
      <w:r w:rsidR="00DF22E0" w:rsidRPr="0071567C">
        <w:rPr>
          <w:rFonts w:ascii="Palatino Linotype" w:hAnsi="Palatino Linotype"/>
          <w:iCs/>
          <w:color w:val="000000" w:themeColor="text1"/>
          <w:lang w:val="en-GB"/>
        </w:rPr>
        <w:t xml:space="preserve"> However, a historical comparative analysis can offer a different point of view on this topic that allows </w:t>
      </w:r>
      <w:r w:rsidR="00E73839" w:rsidRPr="0071567C">
        <w:rPr>
          <w:rFonts w:ascii="Palatino Linotype" w:hAnsi="Palatino Linotype"/>
          <w:iCs/>
          <w:color w:val="000000" w:themeColor="text1"/>
          <w:lang w:val="en-GB"/>
        </w:rPr>
        <w:t xml:space="preserve">us </w:t>
      </w:r>
      <w:r w:rsidR="00DF22E0" w:rsidRPr="0071567C">
        <w:rPr>
          <w:rFonts w:ascii="Palatino Linotype" w:hAnsi="Palatino Linotype"/>
          <w:iCs/>
          <w:color w:val="000000" w:themeColor="text1"/>
          <w:lang w:val="en-GB"/>
        </w:rPr>
        <w:t>to see an increasing convergence in legal education in Europe</w:t>
      </w:r>
      <w:r w:rsidR="00F43B7D" w:rsidRPr="0071567C">
        <w:rPr>
          <w:rFonts w:ascii="Palatino Linotype" w:hAnsi="Palatino Linotype"/>
          <w:iCs/>
          <w:color w:val="000000" w:themeColor="text1"/>
          <w:lang w:val="en-GB"/>
        </w:rPr>
        <w:t xml:space="preserve">, especially as regards the </w:t>
      </w:r>
      <w:r w:rsidRPr="0071567C">
        <w:rPr>
          <w:rFonts w:ascii="Palatino Linotype" w:hAnsi="Palatino Linotype"/>
          <w:iCs/>
          <w:color w:val="000000" w:themeColor="text1"/>
          <w:lang w:val="en-GB"/>
        </w:rPr>
        <w:t xml:space="preserve">continental </w:t>
      </w:r>
      <w:r w:rsidR="00F43B7D" w:rsidRPr="0071567C">
        <w:rPr>
          <w:rFonts w:ascii="Palatino Linotype" w:hAnsi="Palatino Linotype"/>
          <w:iCs/>
          <w:color w:val="000000" w:themeColor="text1"/>
          <w:lang w:val="en-GB"/>
        </w:rPr>
        <w:t>civil law tradition</w:t>
      </w:r>
      <w:r w:rsidR="00DF22E0" w:rsidRPr="0071567C">
        <w:rPr>
          <w:rFonts w:ascii="Palatino Linotype" w:hAnsi="Palatino Linotype"/>
          <w:iCs/>
          <w:color w:val="000000" w:themeColor="text1"/>
          <w:lang w:val="en-GB"/>
        </w:rPr>
        <w:t>.</w:t>
      </w:r>
    </w:p>
    <w:p w:rsidR="00DF22E0" w:rsidRPr="0071567C" w:rsidRDefault="00DF22E0" w:rsidP="00E67C64">
      <w:pPr>
        <w:spacing w:line="480" w:lineRule="auto"/>
        <w:jc w:val="both"/>
        <w:rPr>
          <w:rFonts w:ascii="Palatino Linotype" w:hAnsi="Palatino Linotype"/>
          <w:color w:val="000000"/>
          <w:lang w:val="en-GB"/>
        </w:rPr>
      </w:pPr>
    </w:p>
    <w:p w:rsidR="00DF22E0" w:rsidRPr="0071567C" w:rsidRDefault="00635F38" w:rsidP="00E67C64">
      <w:pPr>
        <w:pStyle w:val="ListParagraph"/>
        <w:numPr>
          <w:ilvl w:val="0"/>
          <w:numId w:val="8"/>
        </w:numPr>
        <w:spacing w:line="480" w:lineRule="auto"/>
        <w:jc w:val="both"/>
        <w:outlineLvl w:val="0"/>
        <w:rPr>
          <w:rFonts w:ascii="Palatino Linotype" w:hAnsi="Palatino Linotype"/>
          <w:b/>
          <w:color w:val="000000"/>
          <w:szCs w:val="24"/>
          <w:lang w:val="en-GB"/>
        </w:rPr>
      </w:pPr>
      <w:r w:rsidRPr="0071567C">
        <w:rPr>
          <w:rFonts w:ascii="Palatino Linotype" w:hAnsi="Palatino Linotype"/>
          <w:b/>
          <w:color w:val="000000"/>
          <w:szCs w:val="24"/>
          <w:lang w:val="en-GB"/>
        </w:rPr>
        <w:t xml:space="preserve"> A </w:t>
      </w:r>
      <w:r w:rsidR="00523ABA" w:rsidRPr="0071567C">
        <w:rPr>
          <w:rFonts w:ascii="Palatino Linotype" w:hAnsi="Palatino Linotype"/>
          <w:b/>
          <w:color w:val="000000"/>
          <w:szCs w:val="24"/>
          <w:lang w:val="en-GB"/>
        </w:rPr>
        <w:t>comparative analysis</w:t>
      </w:r>
      <w:r w:rsidRPr="0071567C">
        <w:rPr>
          <w:rFonts w:ascii="Palatino Linotype" w:hAnsi="Palatino Linotype"/>
          <w:b/>
          <w:color w:val="000000"/>
          <w:szCs w:val="24"/>
          <w:lang w:val="en-GB"/>
        </w:rPr>
        <w:t xml:space="preserve">: </w:t>
      </w:r>
      <w:r w:rsidR="0047327E" w:rsidRPr="0071567C">
        <w:rPr>
          <w:rFonts w:ascii="Palatino Linotype" w:hAnsi="Palatino Linotype"/>
          <w:b/>
          <w:color w:val="000000"/>
          <w:szCs w:val="24"/>
          <w:lang w:val="en-GB"/>
        </w:rPr>
        <w:t xml:space="preserve">is </w:t>
      </w:r>
      <w:r w:rsidRPr="0071567C">
        <w:rPr>
          <w:rFonts w:ascii="Palatino Linotype" w:hAnsi="Palatino Linotype"/>
          <w:b/>
          <w:color w:val="000000"/>
          <w:szCs w:val="24"/>
          <w:lang w:val="en-GB"/>
        </w:rPr>
        <w:t xml:space="preserve">there </w:t>
      </w:r>
      <w:r w:rsidR="0047327E" w:rsidRPr="0071567C">
        <w:rPr>
          <w:rFonts w:ascii="Palatino Linotype" w:hAnsi="Palatino Linotype"/>
          <w:b/>
          <w:color w:val="000000"/>
          <w:szCs w:val="24"/>
          <w:lang w:val="en-GB"/>
        </w:rPr>
        <w:t>room</w:t>
      </w:r>
      <w:r w:rsidRPr="0071567C">
        <w:rPr>
          <w:rFonts w:ascii="Palatino Linotype" w:hAnsi="Palatino Linotype"/>
          <w:b/>
          <w:color w:val="000000"/>
          <w:szCs w:val="24"/>
          <w:lang w:val="en-GB"/>
        </w:rPr>
        <w:t xml:space="preserve"> for </w:t>
      </w:r>
      <w:r w:rsidR="00523ABA" w:rsidRPr="0071567C">
        <w:rPr>
          <w:rFonts w:ascii="Palatino Linotype" w:hAnsi="Palatino Linotype"/>
          <w:b/>
          <w:color w:val="000000"/>
          <w:szCs w:val="24"/>
          <w:lang w:val="en-GB"/>
        </w:rPr>
        <w:t>harmonization</w:t>
      </w:r>
      <w:r w:rsidR="00DF22E0" w:rsidRPr="0071567C">
        <w:rPr>
          <w:rFonts w:ascii="Palatino Linotype" w:hAnsi="Palatino Linotype"/>
          <w:b/>
          <w:color w:val="000000"/>
          <w:szCs w:val="24"/>
          <w:lang w:val="en-GB"/>
        </w:rPr>
        <w:t>?</w:t>
      </w:r>
    </w:p>
    <w:p w:rsidR="00FE3175" w:rsidRPr="0071567C" w:rsidRDefault="0047327E" w:rsidP="00E67C64">
      <w:pPr>
        <w:spacing w:line="480" w:lineRule="auto"/>
        <w:jc w:val="both"/>
        <w:rPr>
          <w:rFonts w:ascii="Palatino Linotype" w:hAnsi="Palatino Linotype"/>
          <w:lang w:val="en-GB"/>
        </w:rPr>
      </w:pPr>
      <w:r w:rsidRPr="0071567C">
        <w:rPr>
          <w:rFonts w:ascii="Palatino Linotype" w:hAnsi="Palatino Linotype"/>
          <w:lang w:val="en-GB"/>
        </w:rPr>
        <w:t>L</w:t>
      </w:r>
      <w:r w:rsidR="00C21EED" w:rsidRPr="0071567C">
        <w:rPr>
          <w:rFonts w:ascii="Palatino Linotype" w:hAnsi="Palatino Linotype"/>
          <w:color w:val="000000"/>
          <w:lang w:val="en-GB"/>
        </w:rPr>
        <w:t>egal education in continental Europe has</w:t>
      </w:r>
      <w:r w:rsidRPr="0071567C">
        <w:rPr>
          <w:rFonts w:ascii="Palatino Linotype" w:hAnsi="Palatino Linotype"/>
          <w:color w:val="000000"/>
          <w:lang w:val="en-GB"/>
        </w:rPr>
        <w:t xml:space="preserve"> long</w:t>
      </w:r>
      <w:r w:rsidR="00C21EED" w:rsidRPr="0071567C">
        <w:rPr>
          <w:rFonts w:ascii="Palatino Linotype" w:hAnsi="Palatino Linotype"/>
          <w:color w:val="000000"/>
          <w:lang w:val="en-GB"/>
        </w:rPr>
        <w:t xml:space="preserve"> since </w:t>
      </w:r>
      <w:r w:rsidR="00467323" w:rsidRPr="0071567C">
        <w:rPr>
          <w:rFonts w:ascii="Palatino Linotype" w:hAnsi="Palatino Linotype"/>
          <w:color w:val="000000"/>
          <w:lang w:val="en-GB"/>
        </w:rPr>
        <w:t xml:space="preserve">been </w:t>
      </w:r>
      <w:r w:rsidR="00C21EED" w:rsidRPr="0071567C">
        <w:rPr>
          <w:rFonts w:ascii="Palatino Linotype" w:hAnsi="Palatino Linotype"/>
          <w:color w:val="000000"/>
          <w:lang w:val="en-GB"/>
        </w:rPr>
        <w:t xml:space="preserve">associated </w:t>
      </w:r>
      <w:r w:rsidR="00467323" w:rsidRPr="0071567C">
        <w:rPr>
          <w:rFonts w:ascii="Palatino Linotype" w:hAnsi="Palatino Linotype"/>
          <w:color w:val="000000"/>
          <w:lang w:val="en-GB"/>
        </w:rPr>
        <w:t>with u</w:t>
      </w:r>
      <w:r w:rsidR="00C21EED" w:rsidRPr="0071567C">
        <w:rPr>
          <w:rFonts w:ascii="Palatino Linotype" w:hAnsi="Palatino Linotype"/>
          <w:color w:val="000000"/>
          <w:lang w:val="en-GB"/>
        </w:rPr>
        <w:t xml:space="preserve">niversity </w:t>
      </w:r>
      <w:r w:rsidR="00467323" w:rsidRPr="0071567C">
        <w:rPr>
          <w:rFonts w:ascii="Palatino Linotype" w:hAnsi="Palatino Linotype"/>
          <w:color w:val="000000"/>
          <w:lang w:val="en-GB"/>
        </w:rPr>
        <w:t>education.</w:t>
      </w:r>
      <w:r w:rsidR="00FE50E9" w:rsidRPr="0071567C">
        <w:rPr>
          <w:rStyle w:val="FootnoteReference"/>
          <w:rFonts w:ascii="Palatino Linotype" w:hAnsi="Palatino Linotype"/>
          <w:color w:val="000000"/>
          <w:lang w:val="en-GB"/>
        </w:rPr>
        <w:footnoteReference w:id="21"/>
      </w:r>
      <w:r w:rsidR="00C21EED" w:rsidRPr="0071567C">
        <w:rPr>
          <w:rFonts w:ascii="Palatino Linotype" w:hAnsi="Palatino Linotype"/>
          <w:color w:val="000000"/>
          <w:lang w:val="en-GB"/>
        </w:rPr>
        <w:t xml:space="preserve"> </w:t>
      </w:r>
      <w:r w:rsidR="00F43B7D" w:rsidRPr="0071567C">
        <w:rPr>
          <w:rFonts w:ascii="Palatino Linotype" w:hAnsi="Palatino Linotype"/>
          <w:color w:val="000000"/>
          <w:lang w:val="en-GB"/>
        </w:rPr>
        <w:t>T</w:t>
      </w:r>
      <w:r w:rsidR="00C21EED" w:rsidRPr="0071567C">
        <w:rPr>
          <w:rFonts w:ascii="Palatino Linotype" w:hAnsi="Palatino Linotype"/>
          <w:color w:val="000000"/>
          <w:lang w:val="en-GB"/>
        </w:rPr>
        <w:t>he Italian tradition</w:t>
      </w:r>
      <w:r w:rsidR="00F43B7D" w:rsidRPr="0071567C">
        <w:rPr>
          <w:rFonts w:ascii="Palatino Linotype" w:hAnsi="Palatino Linotype"/>
          <w:color w:val="000000"/>
          <w:lang w:val="en-GB"/>
        </w:rPr>
        <w:t xml:space="preserve"> might be taken as</w:t>
      </w:r>
      <w:r w:rsidR="00467323" w:rsidRPr="0071567C">
        <w:rPr>
          <w:rFonts w:ascii="Palatino Linotype" w:hAnsi="Palatino Linotype"/>
          <w:color w:val="000000"/>
          <w:lang w:val="en-GB"/>
        </w:rPr>
        <w:t xml:space="preserve"> a</w:t>
      </w:r>
      <w:r w:rsidR="00F43B7D" w:rsidRPr="0071567C">
        <w:rPr>
          <w:rFonts w:ascii="Palatino Linotype" w:hAnsi="Palatino Linotype"/>
          <w:color w:val="000000"/>
          <w:lang w:val="en-GB"/>
        </w:rPr>
        <w:t xml:space="preserve"> paradigm</w:t>
      </w:r>
      <w:r w:rsidR="00C21EED" w:rsidRPr="0071567C">
        <w:rPr>
          <w:rFonts w:ascii="Palatino Linotype" w:hAnsi="Palatino Linotype"/>
          <w:color w:val="000000"/>
          <w:lang w:val="en-GB"/>
        </w:rPr>
        <w:t xml:space="preserve">. Legal education has its origin in the </w:t>
      </w:r>
      <w:r w:rsidR="00467323" w:rsidRPr="0071567C">
        <w:rPr>
          <w:rFonts w:ascii="Palatino Linotype" w:hAnsi="Palatino Linotype"/>
          <w:color w:val="000000"/>
          <w:lang w:val="en-GB"/>
        </w:rPr>
        <w:t>Middle Ages</w:t>
      </w:r>
      <w:r w:rsidR="00C412E4" w:rsidRPr="0071567C">
        <w:rPr>
          <w:rFonts w:ascii="Palatino Linotype" w:hAnsi="Palatino Linotype"/>
          <w:color w:val="000000"/>
          <w:lang w:val="en-GB"/>
        </w:rPr>
        <w:t xml:space="preserve">, </w:t>
      </w:r>
      <w:r w:rsidR="00C21EED" w:rsidRPr="0071567C">
        <w:rPr>
          <w:rFonts w:ascii="Palatino Linotype" w:hAnsi="Palatino Linotype"/>
          <w:color w:val="000000"/>
          <w:lang w:val="en-GB"/>
        </w:rPr>
        <w:t xml:space="preserve">when the first university was founded in Bologna. </w:t>
      </w:r>
      <w:r w:rsidR="00C21EED" w:rsidRPr="0071567C">
        <w:rPr>
          <w:rFonts w:ascii="Palatino Linotype" w:hAnsi="Palatino Linotype"/>
          <w:lang w:val="en-GB"/>
        </w:rPr>
        <w:t>T</w:t>
      </w:r>
      <w:r w:rsidR="00FE3175" w:rsidRPr="0071567C">
        <w:rPr>
          <w:rFonts w:ascii="Palatino Linotype" w:hAnsi="Palatino Linotype"/>
          <w:lang w:val="en-GB"/>
        </w:rPr>
        <w:t>he didactic method forged by the School of Bologna in 1088 was designed for legal scholars who needed to find and teach the ‘right’ solutions</w:t>
      </w:r>
      <w:r w:rsidR="00467323" w:rsidRPr="0071567C">
        <w:rPr>
          <w:rFonts w:ascii="Palatino Linotype" w:hAnsi="Palatino Linotype"/>
          <w:lang w:val="en-GB"/>
        </w:rPr>
        <w:t>.</w:t>
      </w:r>
      <w:r w:rsidR="00FE3175" w:rsidRPr="0071567C">
        <w:rPr>
          <w:rStyle w:val="FootnoteReference"/>
          <w:rFonts w:ascii="Palatino Linotype" w:hAnsi="Palatino Linotype"/>
          <w:lang w:val="en-GB"/>
        </w:rPr>
        <w:footnoteReference w:id="22"/>
      </w:r>
      <w:r w:rsidR="00FE3175" w:rsidRPr="0071567C">
        <w:rPr>
          <w:rFonts w:ascii="Palatino Linotype" w:hAnsi="Palatino Linotype"/>
          <w:lang w:val="en-GB"/>
        </w:rPr>
        <w:t xml:space="preserve"> Law was taught as a model or structure, completely cut off from any practical consideration – such as the needs of the client or the means of resolving disputes. Such a conception has influenced both the nature of the</w:t>
      </w:r>
      <w:r w:rsidR="00467323" w:rsidRPr="0071567C">
        <w:rPr>
          <w:rFonts w:ascii="Palatino Linotype" w:hAnsi="Palatino Linotype"/>
          <w:lang w:val="en-GB"/>
        </w:rPr>
        <w:t xml:space="preserve"> teaching of</w:t>
      </w:r>
      <w:r w:rsidR="00FE3175" w:rsidRPr="0071567C">
        <w:rPr>
          <w:rFonts w:ascii="Palatino Linotype" w:hAnsi="Palatino Linotype"/>
          <w:lang w:val="en-GB"/>
        </w:rPr>
        <w:t xml:space="preserve"> law, giving it a theory-based and conceptual character, </w:t>
      </w:r>
      <w:r w:rsidR="00467323" w:rsidRPr="0071567C">
        <w:rPr>
          <w:rFonts w:ascii="Palatino Linotype" w:hAnsi="Palatino Linotype"/>
          <w:lang w:val="en-GB"/>
        </w:rPr>
        <w:t>and</w:t>
      </w:r>
      <w:r w:rsidR="00FE3175" w:rsidRPr="0071567C">
        <w:rPr>
          <w:rFonts w:ascii="Palatino Linotype" w:hAnsi="Palatino Linotype"/>
          <w:lang w:val="en-GB"/>
        </w:rPr>
        <w:t xml:space="preserve"> the essence of European continental law itself. </w:t>
      </w:r>
    </w:p>
    <w:p w:rsidR="00C21EED" w:rsidRPr="0071567C" w:rsidRDefault="00FE3175" w:rsidP="00E67C64">
      <w:pPr>
        <w:autoSpaceDE w:val="0"/>
        <w:autoSpaceDN w:val="0"/>
        <w:adjustRightInd w:val="0"/>
        <w:spacing w:line="480" w:lineRule="auto"/>
        <w:jc w:val="both"/>
        <w:rPr>
          <w:rFonts w:ascii="Palatino Linotype" w:hAnsi="Palatino Linotype"/>
          <w:lang w:val="en-GB"/>
        </w:rPr>
      </w:pPr>
      <w:r w:rsidRPr="0071567C">
        <w:rPr>
          <w:rFonts w:ascii="Palatino Linotype" w:hAnsi="Palatino Linotype"/>
          <w:lang w:val="en-GB"/>
        </w:rPr>
        <w:t>During the Napoleonic period this framework shifted a little in favo</w:t>
      </w:r>
      <w:r w:rsidR="00867618" w:rsidRPr="0071567C">
        <w:rPr>
          <w:rFonts w:ascii="Palatino Linotype" w:hAnsi="Palatino Linotype"/>
          <w:lang w:val="en-GB"/>
        </w:rPr>
        <w:t>u</w:t>
      </w:r>
      <w:r w:rsidRPr="0071567C">
        <w:rPr>
          <w:rFonts w:ascii="Palatino Linotype" w:hAnsi="Palatino Linotype"/>
          <w:lang w:val="en-GB"/>
        </w:rPr>
        <w:t xml:space="preserve">r of the </w:t>
      </w:r>
      <w:r w:rsidR="009C280A" w:rsidRPr="0071567C">
        <w:rPr>
          <w:rFonts w:ascii="Palatino Linotype" w:hAnsi="Palatino Linotype"/>
          <w:lang w:val="en-GB"/>
        </w:rPr>
        <w:t>professionalization</w:t>
      </w:r>
      <w:r w:rsidRPr="0071567C">
        <w:rPr>
          <w:rFonts w:ascii="Palatino Linotype" w:hAnsi="Palatino Linotype"/>
          <w:lang w:val="en-GB"/>
        </w:rPr>
        <w:t xml:space="preserve"> of a ‘legal class’ and </w:t>
      </w:r>
      <w:r w:rsidR="00867618" w:rsidRPr="0071567C">
        <w:rPr>
          <w:rFonts w:ascii="Palatino Linotype" w:hAnsi="Palatino Linotype"/>
          <w:lang w:val="en-GB"/>
        </w:rPr>
        <w:t>‘</w:t>
      </w:r>
      <w:r w:rsidRPr="0071567C">
        <w:rPr>
          <w:rFonts w:ascii="Palatino Linotype" w:hAnsi="Palatino Linotype"/>
          <w:lang w:val="en-GB"/>
        </w:rPr>
        <w:t>a new socialization based upon competency</w:t>
      </w:r>
      <w:r w:rsidR="00867618" w:rsidRPr="0071567C">
        <w:rPr>
          <w:rFonts w:ascii="Palatino Linotype" w:hAnsi="Palatino Linotype"/>
          <w:lang w:val="en-GB"/>
        </w:rPr>
        <w:t>’.</w:t>
      </w:r>
      <w:r w:rsidRPr="0071567C">
        <w:rPr>
          <w:rStyle w:val="FootnoteReference"/>
          <w:rFonts w:ascii="Palatino Linotype" w:hAnsi="Palatino Linotype"/>
          <w:lang w:val="en-GB"/>
        </w:rPr>
        <w:footnoteReference w:id="23"/>
      </w:r>
      <w:r w:rsidR="00C21EED" w:rsidRPr="0071567C">
        <w:rPr>
          <w:rFonts w:ascii="Palatino Linotype" w:hAnsi="Palatino Linotype"/>
          <w:lang w:val="en-GB"/>
        </w:rPr>
        <w:t xml:space="preserve"> </w:t>
      </w:r>
      <w:r w:rsidR="00C412E4" w:rsidRPr="0071567C">
        <w:rPr>
          <w:rFonts w:ascii="Palatino Linotype" w:hAnsi="Palatino Linotype"/>
          <w:lang w:val="en-GB"/>
        </w:rPr>
        <w:lastRenderedPageBreak/>
        <w:t>D</w:t>
      </w:r>
      <w:r w:rsidR="00C21EED" w:rsidRPr="0071567C">
        <w:rPr>
          <w:rFonts w:ascii="Palatino Linotype" w:hAnsi="Palatino Linotype"/>
          <w:color w:val="000000"/>
          <w:lang w:val="en-GB"/>
        </w:rPr>
        <w:t xml:space="preserve">uring the </w:t>
      </w:r>
      <w:r w:rsidR="00867618" w:rsidRPr="0071567C">
        <w:rPr>
          <w:rFonts w:ascii="Palatino Linotype" w:hAnsi="Palatino Linotype"/>
          <w:color w:val="000000"/>
          <w:lang w:val="en-GB"/>
        </w:rPr>
        <w:t xml:space="preserve">eighteenth </w:t>
      </w:r>
      <w:r w:rsidR="00C21EED" w:rsidRPr="0071567C">
        <w:rPr>
          <w:rFonts w:ascii="Palatino Linotype" w:hAnsi="Palatino Linotype"/>
          <w:color w:val="000000"/>
          <w:lang w:val="en-GB"/>
        </w:rPr>
        <w:t>century</w:t>
      </w:r>
      <w:r w:rsidR="00867618" w:rsidRPr="0071567C">
        <w:rPr>
          <w:rFonts w:ascii="Palatino Linotype" w:hAnsi="Palatino Linotype"/>
          <w:color w:val="000000"/>
          <w:lang w:val="en-GB"/>
        </w:rPr>
        <w:t>,</w:t>
      </w:r>
      <w:r w:rsidR="00C21EED" w:rsidRPr="0071567C">
        <w:rPr>
          <w:rFonts w:ascii="Palatino Linotype" w:hAnsi="Palatino Linotype"/>
          <w:color w:val="000000"/>
          <w:lang w:val="en-GB"/>
        </w:rPr>
        <w:t xml:space="preserve"> training courses and examination</w:t>
      </w:r>
      <w:r w:rsidR="00867618" w:rsidRPr="0071567C">
        <w:rPr>
          <w:rFonts w:ascii="Palatino Linotype" w:hAnsi="Palatino Linotype"/>
          <w:color w:val="000000"/>
          <w:lang w:val="en-GB"/>
        </w:rPr>
        <w:t>s</w:t>
      </w:r>
      <w:r w:rsidR="00C21EED" w:rsidRPr="0071567C">
        <w:rPr>
          <w:rFonts w:ascii="Palatino Linotype" w:hAnsi="Palatino Linotype"/>
          <w:color w:val="000000"/>
          <w:lang w:val="en-GB"/>
        </w:rPr>
        <w:t xml:space="preserve"> were gradually established. </w:t>
      </w:r>
      <w:r w:rsidR="00C21EED" w:rsidRPr="0071567C">
        <w:rPr>
          <w:rFonts w:ascii="Palatino Linotype" w:hAnsi="Palatino Linotype"/>
          <w:lang w:val="en-GB"/>
        </w:rPr>
        <w:t>F</w:t>
      </w:r>
      <w:r w:rsidRPr="0071567C">
        <w:rPr>
          <w:rFonts w:ascii="Palatino Linotype" w:hAnsi="Palatino Linotype"/>
          <w:lang w:val="en-GB"/>
        </w:rPr>
        <w:t xml:space="preserve">urthermore, successive law reforms introduced post-university traineeships and exams as requirements for entry to the legal professions. </w:t>
      </w:r>
      <w:r w:rsidR="00C21EED" w:rsidRPr="0071567C">
        <w:rPr>
          <w:rFonts w:ascii="Palatino Linotype" w:hAnsi="Palatino Linotype"/>
          <w:color w:val="000000"/>
          <w:lang w:val="en-GB"/>
        </w:rPr>
        <w:t xml:space="preserve">At the end of the </w:t>
      </w:r>
      <w:r w:rsidR="007D1AF7" w:rsidRPr="0071567C">
        <w:rPr>
          <w:rFonts w:ascii="Palatino Linotype" w:hAnsi="Palatino Linotype"/>
          <w:color w:val="000000"/>
          <w:lang w:val="en-GB"/>
        </w:rPr>
        <w:t xml:space="preserve">nineteenth </w:t>
      </w:r>
      <w:r w:rsidR="00C21EED" w:rsidRPr="0071567C">
        <w:rPr>
          <w:rFonts w:ascii="Palatino Linotype" w:hAnsi="Palatino Linotype"/>
          <w:color w:val="000000"/>
          <w:lang w:val="en-GB"/>
        </w:rPr>
        <w:t>century</w:t>
      </w:r>
      <w:r w:rsidR="007D1AF7" w:rsidRPr="0071567C">
        <w:rPr>
          <w:rFonts w:ascii="Palatino Linotype" w:hAnsi="Palatino Linotype"/>
          <w:color w:val="000000"/>
          <w:lang w:val="en-GB"/>
        </w:rPr>
        <w:t>,</w:t>
      </w:r>
      <w:r w:rsidR="00C21EED" w:rsidRPr="0071567C">
        <w:rPr>
          <w:rFonts w:ascii="Palatino Linotype" w:hAnsi="Palatino Linotype"/>
          <w:color w:val="000000"/>
          <w:lang w:val="en-GB"/>
        </w:rPr>
        <w:t xml:space="preserve"> the legal education system started to be articulated in</w:t>
      </w:r>
      <w:r w:rsidR="007D1AF7" w:rsidRPr="0071567C">
        <w:rPr>
          <w:rFonts w:ascii="Palatino Linotype" w:hAnsi="Palatino Linotype"/>
          <w:color w:val="000000"/>
          <w:lang w:val="en-GB"/>
        </w:rPr>
        <w:t xml:space="preserve"> the</w:t>
      </w:r>
      <w:r w:rsidR="00C21EED" w:rsidRPr="0071567C">
        <w:rPr>
          <w:rFonts w:ascii="Palatino Linotype" w:hAnsi="Palatino Linotype"/>
          <w:color w:val="000000"/>
          <w:lang w:val="en-GB"/>
        </w:rPr>
        <w:t xml:space="preserve"> law degree, a</w:t>
      </w:r>
      <w:r w:rsidR="00E73839" w:rsidRPr="0071567C">
        <w:rPr>
          <w:rFonts w:ascii="Palatino Linotype" w:hAnsi="Palatino Linotype"/>
          <w:color w:val="000000"/>
          <w:lang w:val="en-GB"/>
        </w:rPr>
        <w:t xml:space="preserve"> period of</w:t>
      </w:r>
      <w:r w:rsidR="00C21EED" w:rsidRPr="0071567C">
        <w:rPr>
          <w:rFonts w:ascii="Palatino Linotype" w:hAnsi="Palatino Linotype"/>
          <w:color w:val="000000"/>
          <w:lang w:val="en-GB"/>
        </w:rPr>
        <w:t xml:space="preserve"> training followed by a final test.</w:t>
      </w:r>
      <w:r w:rsidR="00C21EED" w:rsidRPr="0071567C">
        <w:rPr>
          <w:rFonts w:ascii="Palatino Linotype" w:hAnsi="Palatino Linotype"/>
          <w:lang w:val="en-GB"/>
        </w:rPr>
        <w:t xml:space="preserve"> </w:t>
      </w:r>
      <w:r w:rsidRPr="0071567C">
        <w:rPr>
          <w:rFonts w:ascii="Palatino Linotype" w:hAnsi="Palatino Linotype"/>
          <w:lang w:val="en-GB"/>
        </w:rPr>
        <w:t xml:space="preserve">It has been said that </w:t>
      </w:r>
      <w:r w:rsidR="00867618" w:rsidRPr="0071567C">
        <w:rPr>
          <w:rFonts w:ascii="Palatino Linotype" w:hAnsi="Palatino Linotype"/>
          <w:lang w:val="en-GB"/>
        </w:rPr>
        <w:t>‘</w:t>
      </w:r>
      <w:r w:rsidRPr="0071567C">
        <w:rPr>
          <w:rFonts w:ascii="Palatino Linotype" w:hAnsi="Palatino Linotype"/>
          <w:lang w:val="en-GB"/>
        </w:rPr>
        <w:t>the application of the law to practical cases requires a very particular ability that can only be gained through practice</w:t>
      </w:r>
      <w:r w:rsidR="00867618" w:rsidRPr="0071567C">
        <w:rPr>
          <w:rFonts w:ascii="Palatino Linotype" w:hAnsi="Palatino Linotype"/>
          <w:lang w:val="en-GB"/>
        </w:rPr>
        <w:t>’.</w:t>
      </w:r>
      <w:r w:rsidRPr="0071567C">
        <w:rPr>
          <w:rStyle w:val="FootnoteReference"/>
          <w:rFonts w:ascii="Palatino Linotype" w:hAnsi="Palatino Linotype"/>
          <w:lang w:val="en-GB"/>
        </w:rPr>
        <w:footnoteReference w:id="24"/>
      </w:r>
      <w:r w:rsidRPr="0071567C">
        <w:rPr>
          <w:rFonts w:ascii="Palatino Linotype" w:hAnsi="Palatino Linotype"/>
          <w:lang w:val="en-GB"/>
        </w:rPr>
        <w:t xml:space="preserve"> </w:t>
      </w:r>
    </w:p>
    <w:p w:rsidR="00C21EED" w:rsidRPr="0071567C" w:rsidRDefault="00C21EED" w:rsidP="00E67C64">
      <w:pPr>
        <w:autoSpaceDE w:val="0"/>
        <w:autoSpaceDN w:val="0"/>
        <w:adjustRightInd w:val="0"/>
        <w:spacing w:line="480" w:lineRule="auto"/>
        <w:jc w:val="both"/>
        <w:rPr>
          <w:rFonts w:ascii="Palatino Linotype" w:hAnsi="Palatino Linotype"/>
          <w:lang w:val="en-GB"/>
        </w:rPr>
      </w:pPr>
      <w:r w:rsidRPr="0071567C">
        <w:rPr>
          <w:rFonts w:ascii="Palatino Linotype" w:hAnsi="Palatino Linotype"/>
          <w:lang w:val="en-GB"/>
        </w:rPr>
        <w:t xml:space="preserve">As a consequence, in continental Europe, and in the civil law tradition, </w:t>
      </w:r>
      <w:r w:rsidR="007D0E2D" w:rsidRPr="0071567C">
        <w:rPr>
          <w:rFonts w:ascii="Palatino Linotype" w:hAnsi="Palatino Linotype"/>
          <w:lang w:val="en-GB"/>
        </w:rPr>
        <w:t>despite the specific</w:t>
      </w:r>
      <w:r w:rsidR="007D1AF7" w:rsidRPr="0071567C">
        <w:rPr>
          <w:rFonts w:ascii="Palatino Linotype" w:hAnsi="Palatino Linotype"/>
          <w:lang w:val="en-GB"/>
        </w:rPr>
        <w:t>ally</w:t>
      </w:r>
      <w:r w:rsidR="007D0E2D" w:rsidRPr="0071567C">
        <w:rPr>
          <w:rFonts w:ascii="Palatino Linotype" w:hAnsi="Palatino Linotype"/>
          <w:lang w:val="en-GB"/>
        </w:rPr>
        <w:t xml:space="preserve"> academic root</w:t>
      </w:r>
      <w:r w:rsidR="007D1AF7" w:rsidRPr="0071567C">
        <w:rPr>
          <w:rFonts w:ascii="Palatino Linotype" w:hAnsi="Palatino Linotype"/>
          <w:lang w:val="en-GB"/>
        </w:rPr>
        <w:t>s</w:t>
      </w:r>
      <w:r w:rsidR="007D0E2D" w:rsidRPr="0071567C">
        <w:rPr>
          <w:rFonts w:ascii="Palatino Linotype" w:hAnsi="Palatino Linotype"/>
          <w:lang w:val="en-GB"/>
        </w:rPr>
        <w:t xml:space="preserve">, </w:t>
      </w:r>
      <w:r w:rsidRPr="0071567C">
        <w:rPr>
          <w:rFonts w:ascii="Palatino Linotype" w:hAnsi="Palatino Linotype"/>
          <w:lang w:val="en-GB"/>
        </w:rPr>
        <w:t xml:space="preserve">we have </w:t>
      </w:r>
      <w:r w:rsidR="007D1AF7" w:rsidRPr="0071567C">
        <w:rPr>
          <w:rFonts w:ascii="Palatino Linotype" w:hAnsi="Palatino Linotype"/>
          <w:lang w:val="en-GB"/>
        </w:rPr>
        <w:t xml:space="preserve">seen </w:t>
      </w:r>
      <w:r w:rsidRPr="0071567C">
        <w:rPr>
          <w:rFonts w:ascii="Palatino Linotype" w:hAnsi="Palatino Linotype"/>
          <w:lang w:val="en-GB"/>
        </w:rPr>
        <w:t>over the centur</w:t>
      </w:r>
      <w:r w:rsidR="0027530E" w:rsidRPr="0071567C">
        <w:rPr>
          <w:rFonts w:ascii="Palatino Linotype" w:hAnsi="Palatino Linotype"/>
          <w:lang w:val="en-GB"/>
        </w:rPr>
        <w:t>ies</w:t>
      </w:r>
      <w:r w:rsidRPr="0071567C">
        <w:rPr>
          <w:rFonts w:ascii="Palatino Linotype" w:hAnsi="Palatino Linotype"/>
          <w:lang w:val="en-GB"/>
        </w:rPr>
        <w:t xml:space="preserve"> the emergence and consolidation of a process of </w:t>
      </w:r>
      <w:r w:rsidR="009C280A" w:rsidRPr="0071567C">
        <w:rPr>
          <w:rFonts w:ascii="Palatino Linotype" w:hAnsi="Palatino Linotype"/>
          <w:lang w:val="en-GB"/>
        </w:rPr>
        <w:t>professionalization</w:t>
      </w:r>
      <w:r w:rsidRPr="0071567C">
        <w:rPr>
          <w:rFonts w:ascii="Palatino Linotype" w:hAnsi="Palatino Linotype"/>
          <w:lang w:val="en-GB"/>
        </w:rPr>
        <w:t xml:space="preserve"> that </w:t>
      </w:r>
      <w:r w:rsidR="00E14E76" w:rsidRPr="0071567C">
        <w:rPr>
          <w:rFonts w:ascii="Palatino Linotype" w:hAnsi="Palatino Linotype"/>
          <w:lang w:val="en-GB"/>
        </w:rPr>
        <w:t>has ensured</w:t>
      </w:r>
      <w:r w:rsidRPr="0071567C">
        <w:rPr>
          <w:rFonts w:ascii="Palatino Linotype" w:hAnsi="Palatino Linotype"/>
          <w:lang w:val="en-GB"/>
        </w:rPr>
        <w:t xml:space="preserve"> </w:t>
      </w:r>
      <w:r w:rsidR="007D1AF7" w:rsidRPr="0071567C">
        <w:rPr>
          <w:rFonts w:ascii="Palatino Linotype" w:hAnsi="Palatino Linotype"/>
          <w:lang w:val="en-GB"/>
        </w:rPr>
        <w:t xml:space="preserve">that </w:t>
      </w:r>
      <w:r w:rsidRPr="0071567C">
        <w:rPr>
          <w:rFonts w:ascii="Palatino Linotype" w:hAnsi="Palatino Linotype"/>
          <w:lang w:val="en-GB"/>
        </w:rPr>
        <w:t xml:space="preserve">professional bodies retain ultimate regulatory control over access to professional titles. </w:t>
      </w:r>
    </w:p>
    <w:p w:rsidR="007D0E2D" w:rsidRPr="0071567C" w:rsidRDefault="007D0E2D" w:rsidP="00E67C64">
      <w:pPr>
        <w:autoSpaceDE w:val="0"/>
        <w:autoSpaceDN w:val="0"/>
        <w:adjustRightInd w:val="0"/>
        <w:spacing w:line="480" w:lineRule="auto"/>
        <w:jc w:val="both"/>
        <w:rPr>
          <w:rFonts w:ascii="Palatino Linotype" w:hAnsi="Palatino Linotype"/>
          <w:color w:val="000000" w:themeColor="text1"/>
          <w:lang w:val="en-GB"/>
        </w:rPr>
      </w:pPr>
      <w:r w:rsidRPr="0071567C">
        <w:rPr>
          <w:rFonts w:ascii="Palatino Linotype" w:hAnsi="Palatino Linotype"/>
          <w:lang w:val="en-GB"/>
        </w:rPr>
        <w:t>C</w:t>
      </w:r>
      <w:r w:rsidRPr="0071567C">
        <w:rPr>
          <w:rFonts w:ascii="Palatino Linotype" w:hAnsi="Palatino Linotype"/>
          <w:color w:val="000000"/>
          <w:lang w:val="en-GB"/>
        </w:rPr>
        <w:t xml:space="preserve">ontrary to the continental tradition, English legal education and training was born </w:t>
      </w:r>
      <w:r w:rsidR="0064052F" w:rsidRPr="0071567C">
        <w:rPr>
          <w:rFonts w:ascii="Palatino Linotype" w:hAnsi="Palatino Linotype"/>
          <w:color w:val="000000"/>
          <w:lang w:val="en-GB"/>
        </w:rPr>
        <w:t xml:space="preserve">as </w:t>
      </w:r>
      <w:r w:rsidRPr="0071567C">
        <w:rPr>
          <w:rFonts w:ascii="Palatino Linotype" w:hAnsi="Palatino Linotype"/>
          <w:color w:val="000000"/>
          <w:lang w:val="en-GB"/>
        </w:rPr>
        <w:t xml:space="preserve">a product of the legal profession </w:t>
      </w:r>
      <w:r w:rsidR="008C3CB3" w:rsidRPr="0071567C">
        <w:rPr>
          <w:rFonts w:ascii="Palatino Linotype" w:hAnsi="Palatino Linotype"/>
          <w:color w:val="000000"/>
          <w:lang w:val="en-GB"/>
        </w:rPr>
        <w:t>and</w:t>
      </w:r>
      <w:r w:rsidRPr="0071567C">
        <w:rPr>
          <w:rFonts w:ascii="Palatino Linotype" w:hAnsi="Palatino Linotype"/>
          <w:color w:val="000000"/>
          <w:lang w:val="en-GB"/>
        </w:rPr>
        <w:t xml:space="preserve"> the Inns of Court</w:t>
      </w:r>
      <w:r w:rsidR="0064052F" w:rsidRPr="0071567C">
        <w:rPr>
          <w:rFonts w:ascii="Palatino Linotype" w:hAnsi="Palatino Linotype"/>
          <w:color w:val="000000"/>
          <w:lang w:val="en-GB"/>
        </w:rPr>
        <w:t>.</w:t>
      </w:r>
      <w:r w:rsidR="003B3709" w:rsidRPr="0071567C">
        <w:rPr>
          <w:rStyle w:val="FootnoteReference"/>
          <w:rFonts w:ascii="Palatino Linotype" w:hAnsi="Palatino Linotype"/>
          <w:color w:val="000000"/>
          <w:lang w:val="en-GB"/>
        </w:rPr>
        <w:footnoteReference w:id="25"/>
      </w:r>
      <w:r w:rsidRPr="0071567C">
        <w:rPr>
          <w:rFonts w:ascii="Palatino Linotype" w:hAnsi="Palatino Linotype"/>
          <w:color w:val="000000"/>
          <w:lang w:val="en-GB"/>
        </w:rPr>
        <w:t xml:space="preserve"> </w:t>
      </w:r>
      <w:r w:rsidR="0064052F" w:rsidRPr="0071567C">
        <w:rPr>
          <w:rFonts w:ascii="Palatino Linotype" w:hAnsi="Palatino Linotype"/>
          <w:color w:val="000000"/>
          <w:lang w:val="en-GB"/>
        </w:rPr>
        <w:t xml:space="preserve">In </w:t>
      </w:r>
      <w:r w:rsidRPr="0071567C">
        <w:rPr>
          <w:rFonts w:ascii="Palatino Linotype" w:hAnsi="Palatino Linotype"/>
          <w:color w:val="000000"/>
          <w:lang w:val="en-GB"/>
        </w:rPr>
        <w:t>the beginning, university legal education in England was almost inexistent. As a matter of fact, the modern legal education system in England and Wales has been shaped in part by a series of reforms that began only by the mid-nineteenth century</w:t>
      </w:r>
      <w:r w:rsidR="004E64F6" w:rsidRPr="0071567C">
        <w:rPr>
          <w:rFonts w:ascii="Palatino Linotype" w:hAnsi="Palatino Linotype"/>
          <w:color w:val="000000"/>
          <w:lang w:val="en-GB"/>
        </w:rPr>
        <w:t xml:space="preserve">. From </w:t>
      </w:r>
      <w:r w:rsidR="008C3CB3" w:rsidRPr="0071567C">
        <w:rPr>
          <w:rFonts w:ascii="Palatino Linotype" w:hAnsi="Palatino Linotype"/>
          <w:color w:val="000000"/>
          <w:lang w:val="en-GB"/>
        </w:rPr>
        <w:t xml:space="preserve">the </w:t>
      </w:r>
      <w:r w:rsidR="004E64F6" w:rsidRPr="0071567C">
        <w:rPr>
          <w:rFonts w:ascii="Palatino Linotype" w:hAnsi="Palatino Linotype"/>
          <w:color w:val="000000"/>
          <w:lang w:val="en-GB"/>
        </w:rPr>
        <w:t>mid-</w:t>
      </w:r>
      <w:r w:rsidR="007D1AF7" w:rsidRPr="0071567C">
        <w:rPr>
          <w:rFonts w:ascii="Palatino Linotype" w:hAnsi="Palatino Linotype"/>
          <w:color w:val="000000"/>
          <w:lang w:val="en-GB"/>
        </w:rPr>
        <w:t xml:space="preserve">twentieth </w:t>
      </w:r>
      <w:r w:rsidR="008C3CB3" w:rsidRPr="0071567C">
        <w:rPr>
          <w:rFonts w:ascii="Palatino Linotype" w:hAnsi="Palatino Linotype"/>
          <w:color w:val="000000"/>
          <w:lang w:val="en-GB"/>
        </w:rPr>
        <w:t>century</w:t>
      </w:r>
      <w:r w:rsidRPr="0071567C">
        <w:rPr>
          <w:rFonts w:ascii="Palatino Linotype" w:hAnsi="Palatino Linotype"/>
          <w:color w:val="000000"/>
          <w:lang w:val="en-GB"/>
        </w:rPr>
        <w:t>, some government reports</w:t>
      </w:r>
      <w:r w:rsidR="00005F76" w:rsidRPr="0071567C">
        <w:rPr>
          <w:rStyle w:val="FootnoteReference"/>
          <w:rFonts w:ascii="Palatino Linotype" w:hAnsi="Palatino Linotype"/>
          <w:color w:val="000000"/>
          <w:lang w:val="en-GB"/>
        </w:rPr>
        <w:footnoteReference w:id="26"/>
      </w:r>
      <w:r w:rsidRPr="0071567C">
        <w:rPr>
          <w:rFonts w:ascii="Palatino Linotype" w:hAnsi="Palatino Linotype"/>
          <w:color w:val="000000"/>
          <w:lang w:val="en-GB"/>
        </w:rPr>
        <w:t xml:space="preserve"> </w:t>
      </w:r>
      <w:r w:rsidR="008C3CB3" w:rsidRPr="0071567C">
        <w:rPr>
          <w:rFonts w:ascii="Palatino Linotype" w:hAnsi="Palatino Linotype"/>
          <w:color w:val="000000"/>
          <w:lang w:val="en-GB"/>
        </w:rPr>
        <w:lastRenderedPageBreak/>
        <w:t xml:space="preserve">started to </w:t>
      </w:r>
      <w:r w:rsidRPr="0071567C">
        <w:rPr>
          <w:rFonts w:ascii="Palatino Linotype" w:hAnsi="Palatino Linotype"/>
          <w:color w:val="000000"/>
          <w:lang w:val="en-GB"/>
        </w:rPr>
        <w:t xml:space="preserve">criticize the state of legal education, </w:t>
      </w:r>
      <w:r w:rsidR="004E64F6" w:rsidRPr="0071567C">
        <w:rPr>
          <w:rFonts w:ascii="Palatino Linotype" w:hAnsi="Palatino Linotype"/>
          <w:color w:val="000000"/>
          <w:lang w:val="en-GB"/>
        </w:rPr>
        <w:t xml:space="preserve">warning of </w:t>
      </w:r>
      <w:r w:rsidRPr="0071567C">
        <w:rPr>
          <w:rFonts w:ascii="Palatino Linotype" w:hAnsi="Palatino Linotype"/>
          <w:color w:val="000000"/>
          <w:lang w:val="en-GB"/>
        </w:rPr>
        <w:t xml:space="preserve">the poor standards in legal education, </w:t>
      </w:r>
      <w:r w:rsidR="004E64F6" w:rsidRPr="0071567C">
        <w:rPr>
          <w:rFonts w:ascii="Palatino Linotype" w:hAnsi="Palatino Linotype"/>
          <w:color w:val="000000"/>
          <w:lang w:val="en-GB"/>
        </w:rPr>
        <w:t xml:space="preserve">recognizing </w:t>
      </w:r>
      <w:r w:rsidRPr="0071567C">
        <w:rPr>
          <w:rFonts w:ascii="Palatino Linotype" w:hAnsi="Palatino Linotype"/>
          <w:color w:val="000000"/>
          <w:lang w:val="en-GB"/>
        </w:rPr>
        <w:t xml:space="preserve">the inefficiency of the system, the need </w:t>
      </w:r>
      <w:r w:rsidR="004E64F6" w:rsidRPr="0071567C">
        <w:rPr>
          <w:rFonts w:ascii="Palatino Linotype" w:hAnsi="Palatino Linotype"/>
          <w:color w:val="000000"/>
          <w:lang w:val="en-GB"/>
        </w:rPr>
        <w:t>for</w:t>
      </w:r>
      <w:r w:rsidRPr="0071567C">
        <w:rPr>
          <w:rFonts w:ascii="Palatino Linotype" w:hAnsi="Palatino Linotype"/>
          <w:color w:val="000000"/>
          <w:lang w:val="en-GB"/>
        </w:rPr>
        <w:t xml:space="preserve"> reform of legal education and the possibility </w:t>
      </w:r>
      <w:r w:rsidR="004E64F6" w:rsidRPr="0071567C">
        <w:rPr>
          <w:rFonts w:ascii="Palatino Linotype" w:hAnsi="Palatino Linotype"/>
          <w:color w:val="000000"/>
          <w:lang w:val="en-GB"/>
        </w:rPr>
        <w:t xml:space="preserve">of introducing </w:t>
      </w:r>
      <w:r w:rsidRPr="0071567C">
        <w:rPr>
          <w:rFonts w:ascii="Palatino Linotype" w:hAnsi="Palatino Linotype"/>
          <w:color w:val="000000"/>
          <w:lang w:val="en-GB"/>
        </w:rPr>
        <w:t xml:space="preserve">an entry method </w:t>
      </w:r>
      <w:r w:rsidR="004E64F6" w:rsidRPr="0071567C">
        <w:rPr>
          <w:rFonts w:ascii="Palatino Linotype" w:hAnsi="Palatino Linotype"/>
          <w:color w:val="000000"/>
          <w:lang w:val="en-GB"/>
        </w:rPr>
        <w:t xml:space="preserve">that would </w:t>
      </w:r>
      <w:r w:rsidRPr="0071567C">
        <w:rPr>
          <w:rFonts w:ascii="Palatino Linotype" w:hAnsi="Palatino Linotype"/>
          <w:color w:val="000000"/>
          <w:lang w:val="en-GB"/>
        </w:rPr>
        <w:t>evaluate not only the practical training but also the university studies. In 1971, the Ormrod report</w:t>
      </w:r>
      <w:r w:rsidR="008C3CB3" w:rsidRPr="0071567C">
        <w:rPr>
          <w:rStyle w:val="FootnoteReference"/>
          <w:rFonts w:ascii="Palatino Linotype" w:hAnsi="Palatino Linotype"/>
          <w:color w:val="000000"/>
          <w:lang w:val="en-GB"/>
        </w:rPr>
        <w:footnoteReference w:id="27"/>
      </w:r>
      <w:r w:rsidRPr="0071567C">
        <w:rPr>
          <w:rFonts w:ascii="Palatino Linotype" w:hAnsi="Palatino Linotype"/>
          <w:color w:val="000000"/>
          <w:lang w:val="en-GB"/>
        </w:rPr>
        <w:t xml:space="preserve"> advocate</w:t>
      </w:r>
      <w:r w:rsidR="004E64F6" w:rsidRPr="0071567C">
        <w:rPr>
          <w:rFonts w:ascii="Palatino Linotype" w:hAnsi="Palatino Linotype"/>
          <w:color w:val="000000"/>
          <w:lang w:val="en-GB"/>
        </w:rPr>
        <w:t>d</w:t>
      </w:r>
      <w:r w:rsidRPr="0071567C">
        <w:rPr>
          <w:rFonts w:ascii="Palatino Linotype" w:hAnsi="Palatino Linotype"/>
          <w:color w:val="000000"/>
          <w:lang w:val="en-GB"/>
        </w:rPr>
        <w:t xml:space="preserve"> the introduction of a three-stage model of legal education: an academic stage, a professional stage and a continuing stage. The normal academic stage has become the law degree, or its equivalent. </w:t>
      </w:r>
      <w:r w:rsidR="00B63012" w:rsidRPr="0071567C">
        <w:rPr>
          <w:rFonts w:ascii="Palatino Linotype" w:hAnsi="Palatino Linotype"/>
          <w:lang w:val="en-US"/>
        </w:rPr>
        <w:t xml:space="preserve">In the wake of the Ormrod report, </w:t>
      </w:r>
      <w:r w:rsidRPr="0071567C">
        <w:rPr>
          <w:rFonts w:ascii="Palatino Linotype" w:hAnsi="Palatino Linotype"/>
          <w:color w:val="000000"/>
          <w:lang w:val="en-GB"/>
        </w:rPr>
        <w:t xml:space="preserve">the law degree was confirmed as the </w:t>
      </w:r>
      <w:r w:rsidR="004E64F6" w:rsidRPr="0071567C">
        <w:rPr>
          <w:rFonts w:ascii="Palatino Linotype" w:hAnsi="Palatino Linotype"/>
          <w:color w:val="000000"/>
          <w:lang w:val="en-GB"/>
        </w:rPr>
        <w:t xml:space="preserve">standard </w:t>
      </w:r>
      <w:r w:rsidRPr="0071567C">
        <w:rPr>
          <w:rFonts w:ascii="Palatino Linotype" w:hAnsi="Palatino Linotype"/>
          <w:color w:val="000000"/>
          <w:lang w:val="en-GB"/>
        </w:rPr>
        <w:t xml:space="preserve">mode of entry </w:t>
      </w:r>
      <w:r w:rsidR="004E64F6" w:rsidRPr="0071567C">
        <w:rPr>
          <w:rFonts w:ascii="Palatino Linotype" w:hAnsi="Palatino Linotype"/>
          <w:color w:val="000000"/>
          <w:lang w:val="en-GB"/>
        </w:rPr>
        <w:t>in</w:t>
      </w:r>
      <w:r w:rsidRPr="0071567C">
        <w:rPr>
          <w:rFonts w:ascii="Palatino Linotype" w:hAnsi="Palatino Linotype"/>
          <w:color w:val="000000"/>
          <w:lang w:val="en-GB"/>
        </w:rPr>
        <w:t>to the profession</w:t>
      </w:r>
      <w:r w:rsidR="00B63012" w:rsidRPr="0071567C">
        <w:rPr>
          <w:rFonts w:ascii="Palatino Linotype" w:hAnsi="Palatino Linotype"/>
          <w:color w:val="000000"/>
          <w:lang w:val="en-GB"/>
        </w:rPr>
        <w:t xml:space="preserve"> also by the reports that followed</w:t>
      </w:r>
      <w:r w:rsidR="003B3709" w:rsidRPr="0071567C">
        <w:rPr>
          <w:rStyle w:val="FootnoteReference"/>
          <w:rFonts w:ascii="Palatino Linotype" w:hAnsi="Palatino Linotype"/>
          <w:color w:val="000000"/>
          <w:lang w:val="en-GB"/>
        </w:rPr>
        <w:footnoteReference w:id="28"/>
      </w:r>
      <w:r w:rsidR="00901BE3" w:rsidRPr="0071567C">
        <w:rPr>
          <w:rFonts w:ascii="Palatino Linotype" w:hAnsi="Palatino Linotype"/>
          <w:color w:val="000000"/>
          <w:lang w:val="en-GB"/>
        </w:rPr>
        <w:t xml:space="preserve"> (</w:t>
      </w:r>
      <w:r w:rsidRPr="0071567C">
        <w:rPr>
          <w:rFonts w:ascii="Palatino Linotype" w:hAnsi="Palatino Linotype"/>
          <w:color w:val="000000"/>
          <w:lang w:val="en-GB"/>
        </w:rPr>
        <w:t xml:space="preserve">almost </w:t>
      </w:r>
      <w:r w:rsidRPr="0071567C">
        <w:rPr>
          <w:rFonts w:ascii="Palatino Linotype" w:hAnsi="Palatino Linotype"/>
          <w:color w:val="000000" w:themeColor="text1"/>
          <w:lang w:val="en-GB"/>
        </w:rPr>
        <w:t xml:space="preserve">until the </w:t>
      </w:r>
      <w:r w:rsidR="0027530E" w:rsidRPr="0071567C">
        <w:rPr>
          <w:rFonts w:ascii="Palatino Linotype" w:hAnsi="Palatino Linotype"/>
          <w:lang w:val="en-GB"/>
        </w:rPr>
        <w:t>solicitors qualifying exam (SQE</w:t>
      </w:r>
      <w:r w:rsidR="0027530E" w:rsidRPr="0071567C">
        <w:rPr>
          <w:rFonts w:ascii="Palatino Linotype" w:hAnsi="Palatino Linotype"/>
          <w:color w:val="000000" w:themeColor="text1"/>
          <w:lang w:val="en-GB"/>
        </w:rPr>
        <w:t xml:space="preserve">) </w:t>
      </w:r>
      <w:r w:rsidRPr="0071567C">
        <w:rPr>
          <w:rFonts w:ascii="Palatino Linotype" w:hAnsi="Palatino Linotype"/>
          <w:color w:val="000000" w:themeColor="text1"/>
          <w:lang w:val="en-GB"/>
        </w:rPr>
        <w:t xml:space="preserve">announced reform </w:t>
      </w:r>
      <w:r w:rsidR="004E64F6" w:rsidRPr="0071567C">
        <w:rPr>
          <w:rFonts w:ascii="Palatino Linotype" w:hAnsi="Palatino Linotype"/>
          <w:color w:val="000000" w:themeColor="text1"/>
          <w:lang w:val="en-GB"/>
        </w:rPr>
        <w:t>–</w:t>
      </w:r>
      <w:r w:rsidR="00901BE3" w:rsidRPr="0071567C">
        <w:rPr>
          <w:rFonts w:ascii="Palatino Linotype" w:hAnsi="Palatino Linotype"/>
          <w:color w:val="000000" w:themeColor="text1"/>
          <w:lang w:val="en-GB"/>
        </w:rPr>
        <w:t xml:space="preserve"> </w:t>
      </w:r>
      <w:r w:rsidRPr="0071567C">
        <w:rPr>
          <w:rFonts w:ascii="Palatino Linotype" w:hAnsi="Palatino Linotype"/>
          <w:color w:val="000000" w:themeColor="text1"/>
          <w:lang w:val="en-GB"/>
        </w:rPr>
        <w:t xml:space="preserve">see </w:t>
      </w:r>
      <w:r w:rsidRPr="0071567C">
        <w:rPr>
          <w:rFonts w:ascii="Palatino Linotype" w:hAnsi="Palatino Linotype"/>
          <w:i/>
          <w:color w:val="000000" w:themeColor="text1"/>
          <w:lang w:val="en-GB"/>
        </w:rPr>
        <w:t>infra</w:t>
      </w:r>
      <w:r w:rsidRPr="0071567C">
        <w:rPr>
          <w:rFonts w:ascii="Palatino Linotype" w:hAnsi="Palatino Linotype"/>
          <w:color w:val="000000" w:themeColor="text1"/>
          <w:lang w:val="en-GB"/>
        </w:rPr>
        <w:t xml:space="preserve">). </w:t>
      </w:r>
    </w:p>
    <w:p w:rsidR="008861AE" w:rsidRPr="0071567C" w:rsidRDefault="007D0E2D" w:rsidP="00E67C64">
      <w:pPr>
        <w:autoSpaceDE w:val="0"/>
        <w:autoSpaceDN w:val="0"/>
        <w:adjustRightInd w:val="0"/>
        <w:spacing w:line="480" w:lineRule="auto"/>
        <w:jc w:val="both"/>
        <w:rPr>
          <w:rFonts w:ascii="Palatino Linotype" w:hAnsi="Palatino Linotype"/>
          <w:lang w:val="en-GB"/>
        </w:rPr>
      </w:pPr>
      <w:r w:rsidRPr="0071567C">
        <w:rPr>
          <w:rFonts w:ascii="Palatino Linotype" w:hAnsi="Palatino Linotype"/>
          <w:color w:val="000000" w:themeColor="text1"/>
          <w:lang w:val="en-GB"/>
        </w:rPr>
        <w:t xml:space="preserve">As a consequence, in the common law tradition, </w:t>
      </w:r>
      <w:r w:rsidRPr="0071567C">
        <w:rPr>
          <w:rFonts w:ascii="Palatino Linotype" w:hAnsi="Palatino Linotype"/>
          <w:lang w:val="en-GB"/>
        </w:rPr>
        <w:t>we have witnessed an opposite evolution compared to the civil law tradition, with the emergence and consolidation of law as an academic discipline</w:t>
      </w:r>
      <w:r w:rsidR="00347CF7" w:rsidRPr="0071567C">
        <w:rPr>
          <w:rFonts w:ascii="Palatino Linotype" w:hAnsi="Palatino Linotype"/>
          <w:lang w:val="en-GB"/>
        </w:rPr>
        <w:t xml:space="preserve">, despite </w:t>
      </w:r>
      <w:r w:rsidR="0027530E" w:rsidRPr="0071567C">
        <w:rPr>
          <w:rFonts w:ascii="Palatino Linotype" w:hAnsi="Palatino Linotype"/>
          <w:lang w:val="en-GB"/>
        </w:rPr>
        <w:t>its</w:t>
      </w:r>
      <w:r w:rsidR="00347CF7" w:rsidRPr="0071567C">
        <w:rPr>
          <w:rFonts w:ascii="Palatino Linotype" w:hAnsi="Palatino Linotype"/>
          <w:lang w:val="en-GB"/>
        </w:rPr>
        <w:t xml:space="preserve"> origin</w:t>
      </w:r>
      <w:r w:rsidR="00281924" w:rsidRPr="0071567C">
        <w:rPr>
          <w:rFonts w:ascii="Palatino Linotype" w:hAnsi="Palatino Linotype"/>
          <w:lang w:val="en-GB"/>
        </w:rPr>
        <w:t>s being</w:t>
      </w:r>
      <w:r w:rsidR="00347CF7" w:rsidRPr="0071567C">
        <w:rPr>
          <w:rFonts w:ascii="Palatino Linotype" w:hAnsi="Palatino Linotype"/>
          <w:lang w:val="en-GB"/>
        </w:rPr>
        <w:t xml:space="preserve"> </w:t>
      </w:r>
      <w:r w:rsidR="0027530E" w:rsidRPr="0071567C">
        <w:rPr>
          <w:rFonts w:ascii="Palatino Linotype" w:hAnsi="Palatino Linotype"/>
          <w:lang w:val="en-GB"/>
        </w:rPr>
        <w:t xml:space="preserve">essentially </w:t>
      </w:r>
      <w:r w:rsidR="00347CF7" w:rsidRPr="0071567C">
        <w:rPr>
          <w:rFonts w:ascii="Palatino Linotype" w:hAnsi="Palatino Linotype"/>
          <w:lang w:val="en-GB"/>
        </w:rPr>
        <w:t>anchored to the professional wor</w:t>
      </w:r>
      <w:r w:rsidR="0027530E" w:rsidRPr="0071567C">
        <w:rPr>
          <w:rFonts w:ascii="Palatino Linotype" w:hAnsi="Palatino Linotype"/>
          <w:lang w:val="en-GB"/>
        </w:rPr>
        <w:t>l</w:t>
      </w:r>
      <w:r w:rsidR="00347CF7" w:rsidRPr="0071567C">
        <w:rPr>
          <w:rFonts w:ascii="Palatino Linotype" w:hAnsi="Palatino Linotype"/>
          <w:lang w:val="en-GB"/>
        </w:rPr>
        <w:t>d.</w:t>
      </w:r>
      <w:r w:rsidRPr="0071567C">
        <w:rPr>
          <w:rFonts w:ascii="Palatino Linotype" w:hAnsi="Palatino Linotype"/>
          <w:lang w:val="en-GB"/>
        </w:rPr>
        <w:t xml:space="preserve"> </w:t>
      </w:r>
    </w:p>
    <w:p w:rsidR="0077483F" w:rsidRPr="0071567C" w:rsidRDefault="008861AE" w:rsidP="00E67C64">
      <w:pPr>
        <w:autoSpaceDE w:val="0"/>
        <w:autoSpaceDN w:val="0"/>
        <w:adjustRightInd w:val="0"/>
        <w:spacing w:line="480" w:lineRule="auto"/>
        <w:jc w:val="both"/>
        <w:rPr>
          <w:rFonts w:ascii="Palatino Linotype" w:hAnsi="Palatino Linotype"/>
          <w:color w:val="000000"/>
          <w:lang w:val="en-GB"/>
        </w:rPr>
      </w:pPr>
      <w:r w:rsidRPr="0071567C">
        <w:rPr>
          <w:rFonts w:ascii="Palatino Linotype" w:hAnsi="Palatino Linotype"/>
          <w:color w:val="000000"/>
          <w:lang w:val="en-GB"/>
        </w:rPr>
        <w:t>The historical evolution of the different macro-traditions of legal education gives evidence that even if the starting point</w:t>
      </w:r>
      <w:r w:rsidR="00B10588" w:rsidRPr="0071567C">
        <w:rPr>
          <w:rFonts w:ascii="Palatino Linotype" w:hAnsi="Palatino Linotype"/>
          <w:color w:val="000000"/>
          <w:lang w:val="en-GB"/>
        </w:rPr>
        <w:t>s</w:t>
      </w:r>
      <w:r w:rsidRPr="0071567C">
        <w:rPr>
          <w:rFonts w:ascii="Palatino Linotype" w:hAnsi="Palatino Linotype"/>
          <w:color w:val="000000"/>
          <w:lang w:val="en-GB"/>
        </w:rPr>
        <w:t xml:space="preserve"> are very distant, even opposite, there are some common trends in the evolution that harmonize European legal education</w:t>
      </w:r>
      <w:r w:rsidR="0027530E" w:rsidRPr="0071567C">
        <w:rPr>
          <w:rFonts w:ascii="Palatino Linotype" w:hAnsi="Palatino Linotype"/>
          <w:color w:val="000000"/>
          <w:lang w:val="en-GB"/>
        </w:rPr>
        <w:t>. I</w:t>
      </w:r>
      <w:r w:rsidRPr="0071567C">
        <w:rPr>
          <w:rFonts w:ascii="Palatino Linotype" w:hAnsi="Palatino Linotype"/>
          <w:color w:val="000000"/>
          <w:lang w:val="en-GB"/>
        </w:rPr>
        <w:t>n particular</w:t>
      </w:r>
      <w:r w:rsidR="0094687D" w:rsidRPr="0071567C">
        <w:rPr>
          <w:rFonts w:ascii="Palatino Linotype" w:hAnsi="Palatino Linotype"/>
          <w:color w:val="000000"/>
          <w:lang w:val="en-GB"/>
        </w:rPr>
        <w:t>,</w:t>
      </w:r>
      <w:r w:rsidRPr="0071567C">
        <w:rPr>
          <w:rFonts w:ascii="Palatino Linotype" w:hAnsi="Palatino Linotype"/>
          <w:color w:val="000000"/>
          <w:lang w:val="en-GB"/>
        </w:rPr>
        <w:t xml:space="preserve"> every system </w:t>
      </w:r>
      <w:r w:rsidR="00281924" w:rsidRPr="0071567C">
        <w:rPr>
          <w:rFonts w:ascii="Palatino Linotype" w:hAnsi="Palatino Linotype"/>
          <w:color w:val="000000"/>
          <w:lang w:val="en-GB"/>
        </w:rPr>
        <w:t xml:space="preserve">has </w:t>
      </w:r>
      <w:r w:rsidRPr="0071567C">
        <w:rPr>
          <w:rFonts w:ascii="Palatino Linotype" w:hAnsi="Palatino Linotype"/>
          <w:color w:val="000000"/>
          <w:lang w:val="en-GB"/>
        </w:rPr>
        <w:t>created over the</w:t>
      </w:r>
      <w:r w:rsidR="00281924" w:rsidRPr="0071567C">
        <w:rPr>
          <w:rFonts w:ascii="Palatino Linotype" w:hAnsi="Palatino Linotype"/>
          <w:color w:val="000000"/>
          <w:lang w:val="en-GB"/>
        </w:rPr>
        <w:t xml:space="preserve"> </w:t>
      </w:r>
      <w:r w:rsidRPr="0071567C">
        <w:rPr>
          <w:rFonts w:ascii="Palatino Linotype" w:hAnsi="Palatino Linotype"/>
          <w:color w:val="000000"/>
          <w:lang w:val="en-GB"/>
        </w:rPr>
        <w:t>centur</w:t>
      </w:r>
      <w:r w:rsidR="00B7178C" w:rsidRPr="0071567C">
        <w:rPr>
          <w:rFonts w:ascii="Palatino Linotype" w:hAnsi="Palatino Linotype"/>
          <w:color w:val="000000"/>
          <w:lang w:val="en-GB"/>
        </w:rPr>
        <w:t>ies</w:t>
      </w:r>
      <w:r w:rsidRPr="0071567C">
        <w:rPr>
          <w:rFonts w:ascii="Palatino Linotype" w:hAnsi="Palatino Linotype"/>
          <w:color w:val="000000"/>
          <w:lang w:val="en-GB"/>
        </w:rPr>
        <w:t xml:space="preserve"> a pathway to enter the legal profession that ensures both the academic education and the professional training/practical experience, combining the theoretical knowledge with practical aspects. </w:t>
      </w:r>
      <w:r w:rsidR="00901BE3" w:rsidRPr="0071567C">
        <w:rPr>
          <w:rFonts w:ascii="Palatino Linotype" w:hAnsi="Palatino Linotype"/>
          <w:lang w:val="en-GB"/>
        </w:rPr>
        <w:t>Moreover, t</w:t>
      </w:r>
      <w:r w:rsidRPr="0071567C">
        <w:rPr>
          <w:rFonts w:ascii="Palatino Linotype" w:hAnsi="Palatino Linotype"/>
          <w:lang w:val="en-GB"/>
        </w:rPr>
        <w:t xml:space="preserve">hese profound changes of the </w:t>
      </w:r>
      <w:r w:rsidRPr="0071567C">
        <w:rPr>
          <w:rFonts w:ascii="Palatino Linotype" w:hAnsi="Palatino Linotype"/>
          <w:lang w:val="en-GB"/>
        </w:rPr>
        <w:lastRenderedPageBreak/>
        <w:t xml:space="preserve">educational systems have led, in civil law as well </w:t>
      </w:r>
      <w:r w:rsidR="0027530E" w:rsidRPr="0071567C">
        <w:rPr>
          <w:rFonts w:ascii="Palatino Linotype" w:hAnsi="Palatino Linotype"/>
          <w:lang w:val="en-GB"/>
        </w:rPr>
        <w:t xml:space="preserve">as </w:t>
      </w:r>
      <w:r w:rsidRPr="0071567C">
        <w:rPr>
          <w:rFonts w:ascii="Palatino Linotype" w:hAnsi="Palatino Linotype"/>
          <w:lang w:val="en-GB"/>
        </w:rPr>
        <w:t>in</w:t>
      </w:r>
      <w:r w:rsidR="00281924" w:rsidRPr="0071567C">
        <w:rPr>
          <w:rFonts w:ascii="Palatino Linotype" w:hAnsi="Palatino Linotype"/>
          <w:lang w:val="en-GB"/>
        </w:rPr>
        <w:t xml:space="preserve"> the</w:t>
      </w:r>
      <w:r w:rsidRPr="0071567C">
        <w:rPr>
          <w:rFonts w:ascii="Palatino Linotype" w:hAnsi="Palatino Linotype"/>
          <w:lang w:val="en-GB"/>
        </w:rPr>
        <w:t xml:space="preserve"> common law tradition, to the construction of different stages of education and training which have created distinct spheres of influence for the different stakeholders.</w:t>
      </w:r>
      <w:r w:rsidR="00901BE3" w:rsidRPr="0071567C">
        <w:rPr>
          <w:rFonts w:ascii="Palatino Linotype" w:hAnsi="Palatino Linotype"/>
          <w:lang w:val="en-GB"/>
        </w:rPr>
        <w:t xml:space="preserve"> </w:t>
      </w:r>
      <w:r w:rsidRPr="0071567C">
        <w:rPr>
          <w:rFonts w:ascii="Palatino Linotype" w:hAnsi="Palatino Linotype"/>
          <w:lang w:val="en-GB"/>
        </w:rPr>
        <w:t xml:space="preserve">Usually </w:t>
      </w:r>
      <w:r w:rsidR="00281924" w:rsidRPr="0071567C">
        <w:rPr>
          <w:rFonts w:ascii="Palatino Linotype" w:hAnsi="Palatino Linotype"/>
          <w:lang w:val="en-GB"/>
        </w:rPr>
        <w:t>law schools</w:t>
      </w:r>
      <w:r w:rsidRPr="0071567C">
        <w:rPr>
          <w:rFonts w:ascii="Palatino Linotype" w:hAnsi="Palatino Linotype"/>
          <w:lang w:val="en-GB"/>
        </w:rPr>
        <w:t xml:space="preserve">, as liberal institutions, </w:t>
      </w:r>
      <w:r w:rsidR="00901BE3" w:rsidRPr="0071567C">
        <w:rPr>
          <w:rFonts w:ascii="Palatino Linotype" w:hAnsi="Palatino Linotype"/>
          <w:lang w:val="en-GB"/>
        </w:rPr>
        <w:t>retain as</w:t>
      </w:r>
      <w:r w:rsidRPr="0071567C">
        <w:rPr>
          <w:rFonts w:ascii="Palatino Linotype" w:hAnsi="Palatino Linotype"/>
          <w:lang w:val="en-GB"/>
        </w:rPr>
        <w:t xml:space="preserve"> primary goal</w:t>
      </w:r>
      <w:r w:rsidR="00901BE3" w:rsidRPr="0071567C">
        <w:rPr>
          <w:rFonts w:ascii="Palatino Linotype" w:hAnsi="Palatino Linotype"/>
          <w:lang w:val="en-GB"/>
        </w:rPr>
        <w:t>s</w:t>
      </w:r>
      <w:r w:rsidRPr="0071567C">
        <w:rPr>
          <w:rFonts w:ascii="Palatino Linotype" w:hAnsi="Palatino Linotype"/>
          <w:lang w:val="en-GB"/>
        </w:rPr>
        <w:t xml:space="preserve"> </w:t>
      </w:r>
      <w:r w:rsidR="00901BE3" w:rsidRPr="0071567C">
        <w:rPr>
          <w:rFonts w:ascii="Palatino Linotype" w:hAnsi="Palatino Linotype"/>
          <w:lang w:val="en-GB"/>
        </w:rPr>
        <w:t xml:space="preserve">the promotion and production of legal culture, </w:t>
      </w:r>
      <w:r w:rsidRPr="0071567C">
        <w:rPr>
          <w:rFonts w:ascii="Palatino Linotype" w:hAnsi="Palatino Linotype"/>
          <w:lang w:val="en-GB"/>
        </w:rPr>
        <w:t>the transmission of legal knowledge and the development of students’ analytical and critical reasoning skills</w:t>
      </w:r>
      <w:r w:rsidR="00281924" w:rsidRPr="0071567C">
        <w:rPr>
          <w:rFonts w:ascii="Palatino Linotype" w:hAnsi="Palatino Linotype"/>
          <w:lang w:val="en-GB"/>
        </w:rPr>
        <w:t>.</w:t>
      </w:r>
      <w:r w:rsidR="00901BE3" w:rsidRPr="0071567C">
        <w:rPr>
          <w:rStyle w:val="FootnoteReference"/>
          <w:rFonts w:ascii="Palatino Linotype" w:hAnsi="Palatino Linotype"/>
          <w:lang w:val="en-GB"/>
        </w:rPr>
        <w:footnoteReference w:id="29"/>
      </w:r>
      <w:r w:rsidR="00901BE3" w:rsidRPr="0071567C">
        <w:rPr>
          <w:rFonts w:ascii="Palatino Linotype" w:hAnsi="Palatino Linotype"/>
          <w:lang w:val="en-GB"/>
        </w:rPr>
        <w:t xml:space="preserve"> </w:t>
      </w:r>
      <w:r w:rsidRPr="0071567C">
        <w:rPr>
          <w:rFonts w:ascii="Palatino Linotype" w:hAnsi="Palatino Linotype"/>
          <w:color w:val="000000"/>
          <w:lang w:val="en-GB"/>
        </w:rPr>
        <w:t xml:space="preserve">On the other hand, </w:t>
      </w:r>
      <w:r w:rsidR="00281924" w:rsidRPr="0071567C">
        <w:rPr>
          <w:rFonts w:ascii="Palatino Linotype" w:hAnsi="Palatino Linotype"/>
          <w:color w:val="000000"/>
          <w:lang w:val="en-GB"/>
        </w:rPr>
        <w:t xml:space="preserve">bar associations </w:t>
      </w:r>
      <w:r w:rsidR="00007043" w:rsidRPr="0071567C">
        <w:rPr>
          <w:rFonts w:ascii="Palatino Linotype" w:hAnsi="Palatino Linotype"/>
          <w:color w:val="000000"/>
          <w:lang w:val="en-GB"/>
        </w:rPr>
        <w:t>have the mission to equip graduates with</w:t>
      </w:r>
      <w:r w:rsidRPr="0071567C">
        <w:rPr>
          <w:rFonts w:ascii="Palatino Linotype" w:hAnsi="Palatino Linotype"/>
          <w:color w:val="000000"/>
          <w:lang w:val="en-GB"/>
        </w:rPr>
        <w:t xml:space="preserve"> the </w:t>
      </w:r>
      <w:r w:rsidRPr="0071567C">
        <w:rPr>
          <w:rFonts w:ascii="Palatino Linotype" w:hAnsi="Palatino Linotype"/>
          <w:lang w:val="en-GB"/>
        </w:rPr>
        <w:t xml:space="preserve">understanding and acquisition of </w:t>
      </w:r>
      <w:r w:rsidRPr="0071567C">
        <w:rPr>
          <w:rFonts w:ascii="Palatino Linotype" w:hAnsi="Palatino Linotype"/>
          <w:color w:val="000000"/>
          <w:lang w:val="en-GB"/>
        </w:rPr>
        <w:t>practical legal skills and competence, and potentially legal ethics,</w:t>
      </w:r>
      <w:r w:rsidRPr="0071567C">
        <w:rPr>
          <w:rFonts w:ascii="Palatino Linotype" w:hAnsi="Palatino Linotype"/>
          <w:lang w:val="en-GB"/>
        </w:rPr>
        <w:t xml:space="preserve"> </w:t>
      </w:r>
      <w:r w:rsidRPr="0071567C">
        <w:rPr>
          <w:rFonts w:ascii="Palatino Linotype" w:hAnsi="Palatino Linotype"/>
          <w:color w:val="000000"/>
          <w:lang w:val="en-GB"/>
        </w:rPr>
        <w:t>throughout vocational stages, traineeship</w:t>
      </w:r>
      <w:r w:rsidR="004B1613" w:rsidRPr="0071567C">
        <w:rPr>
          <w:rFonts w:ascii="Palatino Linotype" w:hAnsi="Palatino Linotype"/>
          <w:color w:val="000000"/>
          <w:lang w:val="en-GB"/>
        </w:rPr>
        <w:t xml:space="preserve"> and/or</w:t>
      </w:r>
      <w:r w:rsidRPr="0071567C">
        <w:rPr>
          <w:rFonts w:ascii="Palatino Linotype" w:hAnsi="Palatino Linotype"/>
          <w:color w:val="000000"/>
          <w:lang w:val="en-GB"/>
        </w:rPr>
        <w:t xml:space="preserve"> exam</w:t>
      </w:r>
      <w:r w:rsidR="004B1613" w:rsidRPr="0071567C">
        <w:rPr>
          <w:rFonts w:ascii="Palatino Linotype" w:hAnsi="Palatino Linotype"/>
          <w:color w:val="000000"/>
          <w:lang w:val="en-GB"/>
        </w:rPr>
        <w:t>(s)</w:t>
      </w:r>
      <w:r w:rsidRPr="0071567C">
        <w:rPr>
          <w:rFonts w:ascii="Palatino Linotype" w:hAnsi="Palatino Linotype"/>
          <w:color w:val="000000"/>
          <w:lang w:val="en-GB"/>
        </w:rPr>
        <w:t xml:space="preserve">. </w:t>
      </w:r>
    </w:p>
    <w:p w:rsidR="00007043" w:rsidRPr="0071567C" w:rsidRDefault="008C1EAF" w:rsidP="00E67C64">
      <w:pPr>
        <w:pStyle w:val="ListParagraph"/>
        <w:numPr>
          <w:ilvl w:val="0"/>
          <w:numId w:val="8"/>
        </w:numPr>
        <w:autoSpaceDE w:val="0"/>
        <w:autoSpaceDN w:val="0"/>
        <w:adjustRightInd w:val="0"/>
        <w:spacing w:line="480" w:lineRule="auto"/>
        <w:jc w:val="both"/>
        <w:rPr>
          <w:rFonts w:ascii="Palatino Linotype" w:hAnsi="Palatino Linotype"/>
          <w:b/>
          <w:color w:val="000000"/>
          <w:szCs w:val="24"/>
          <w:lang w:val="en-GB"/>
        </w:rPr>
      </w:pPr>
      <w:r w:rsidRPr="0071567C">
        <w:rPr>
          <w:rFonts w:ascii="Palatino Linotype" w:hAnsi="Palatino Linotype"/>
          <w:b/>
          <w:color w:val="000000"/>
          <w:szCs w:val="24"/>
          <w:lang w:val="en-GB"/>
        </w:rPr>
        <w:t>Current critic</w:t>
      </w:r>
      <w:r w:rsidR="0027530E" w:rsidRPr="0071567C">
        <w:rPr>
          <w:rFonts w:ascii="Palatino Linotype" w:hAnsi="Palatino Linotype"/>
          <w:b/>
          <w:color w:val="000000"/>
          <w:szCs w:val="24"/>
          <w:lang w:val="en-GB"/>
        </w:rPr>
        <w:t>i</w:t>
      </w:r>
      <w:r w:rsidRPr="0071567C">
        <w:rPr>
          <w:rFonts w:ascii="Palatino Linotype" w:hAnsi="Palatino Linotype"/>
          <w:b/>
          <w:color w:val="000000"/>
          <w:szCs w:val="24"/>
          <w:lang w:val="en-GB"/>
        </w:rPr>
        <w:t>s</w:t>
      </w:r>
      <w:r w:rsidR="0027530E" w:rsidRPr="0071567C">
        <w:rPr>
          <w:rFonts w:ascii="Palatino Linotype" w:hAnsi="Palatino Linotype"/>
          <w:b/>
          <w:color w:val="000000"/>
          <w:szCs w:val="24"/>
          <w:lang w:val="en-GB"/>
        </w:rPr>
        <w:t>ms</w:t>
      </w:r>
      <w:r w:rsidRPr="0071567C">
        <w:rPr>
          <w:rFonts w:ascii="Palatino Linotype" w:hAnsi="Palatino Linotype"/>
          <w:b/>
          <w:color w:val="000000"/>
          <w:szCs w:val="24"/>
          <w:lang w:val="en-GB"/>
        </w:rPr>
        <w:t xml:space="preserve"> </w:t>
      </w:r>
      <w:r w:rsidRPr="0071567C">
        <w:rPr>
          <w:rFonts w:ascii="Palatino Linotype" w:hAnsi="Palatino Linotype"/>
          <w:b/>
          <w:szCs w:val="24"/>
          <w:lang w:val="en-GB"/>
        </w:rPr>
        <w:t>and progressive trends in legal education</w:t>
      </w:r>
    </w:p>
    <w:p w:rsidR="002F1DC0" w:rsidRPr="0071567C" w:rsidRDefault="0077483F" w:rsidP="00E67C64">
      <w:pPr>
        <w:autoSpaceDE w:val="0"/>
        <w:autoSpaceDN w:val="0"/>
        <w:adjustRightInd w:val="0"/>
        <w:spacing w:line="480" w:lineRule="auto"/>
        <w:jc w:val="both"/>
        <w:rPr>
          <w:rFonts w:ascii="Palatino Linotype" w:eastAsiaTheme="minorHAnsi" w:hAnsi="Palatino Linotype"/>
          <w:i/>
          <w:lang w:val="en-GB" w:eastAsia="en-US"/>
        </w:rPr>
      </w:pPr>
      <w:r w:rsidRPr="0071567C">
        <w:rPr>
          <w:rFonts w:ascii="Palatino Linotype" w:hAnsi="Palatino Linotype"/>
          <w:color w:val="000000"/>
          <w:lang w:val="en-GB"/>
        </w:rPr>
        <w:t>Nevertheless, as history explains, the relationship among different stakeholders is not a stable one</w:t>
      </w:r>
      <w:r w:rsidR="00281924" w:rsidRPr="0071567C">
        <w:rPr>
          <w:rFonts w:ascii="Palatino Linotype" w:hAnsi="Palatino Linotype"/>
          <w:color w:val="000000"/>
          <w:lang w:val="en-GB"/>
        </w:rPr>
        <w:t>,</w:t>
      </w:r>
      <w:r w:rsidRPr="0071567C">
        <w:rPr>
          <w:rFonts w:ascii="Palatino Linotype" w:hAnsi="Palatino Linotype"/>
          <w:color w:val="000000"/>
          <w:lang w:val="en-GB"/>
        </w:rPr>
        <w:t xml:space="preserve"> and also</w:t>
      </w:r>
      <w:r w:rsidR="00281924" w:rsidRPr="0071567C">
        <w:rPr>
          <w:rFonts w:ascii="Palatino Linotype" w:hAnsi="Palatino Linotype"/>
          <w:color w:val="000000"/>
          <w:lang w:val="en-GB"/>
        </w:rPr>
        <w:t>,</w:t>
      </w:r>
      <w:r w:rsidRPr="0071567C">
        <w:rPr>
          <w:rFonts w:ascii="Palatino Linotype" w:hAnsi="Palatino Linotype"/>
          <w:color w:val="000000"/>
          <w:lang w:val="en-GB"/>
        </w:rPr>
        <w:t xml:space="preserve"> the </w:t>
      </w:r>
      <w:r w:rsidR="007C79AD" w:rsidRPr="0071567C">
        <w:rPr>
          <w:rFonts w:ascii="Palatino Linotype" w:hAnsi="Palatino Linotype"/>
          <w:color w:val="000000"/>
          <w:lang w:val="en-GB"/>
        </w:rPr>
        <w:t>three-</w:t>
      </w:r>
      <w:r w:rsidRPr="0071567C">
        <w:rPr>
          <w:rFonts w:ascii="Palatino Linotype" w:hAnsi="Palatino Linotype"/>
          <w:color w:val="000000"/>
          <w:lang w:val="en-GB"/>
        </w:rPr>
        <w:t xml:space="preserve">stage model </w:t>
      </w:r>
      <w:r w:rsidR="00281924" w:rsidRPr="0071567C">
        <w:rPr>
          <w:rFonts w:ascii="Palatino Linotype" w:hAnsi="Palatino Linotype"/>
          <w:color w:val="000000"/>
          <w:lang w:val="en-GB"/>
        </w:rPr>
        <w:t>–</w:t>
      </w:r>
      <w:r w:rsidRPr="0071567C">
        <w:rPr>
          <w:rFonts w:ascii="Palatino Linotype" w:hAnsi="Palatino Linotype"/>
          <w:color w:val="000000"/>
          <w:lang w:val="en-GB"/>
        </w:rPr>
        <w:t xml:space="preserve"> university degree</w:t>
      </w:r>
      <w:r w:rsidR="007C79AD" w:rsidRPr="0071567C">
        <w:rPr>
          <w:rFonts w:ascii="Palatino Linotype" w:hAnsi="Palatino Linotype"/>
          <w:color w:val="000000"/>
          <w:lang w:val="en-GB"/>
        </w:rPr>
        <w:t xml:space="preserve"> </w:t>
      </w:r>
      <w:r w:rsidRPr="0071567C">
        <w:rPr>
          <w:rFonts w:ascii="Palatino Linotype" w:hAnsi="Palatino Linotype"/>
          <w:color w:val="000000"/>
          <w:lang w:val="en-GB"/>
        </w:rPr>
        <w:t xml:space="preserve">/ vocational stage and training/exam(s) </w:t>
      </w:r>
      <w:r w:rsidR="00281924" w:rsidRPr="0071567C">
        <w:rPr>
          <w:rFonts w:ascii="Palatino Linotype" w:hAnsi="Palatino Linotype"/>
          <w:color w:val="000000"/>
          <w:lang w:val="en-GB"/>
        </w:rPr>
        <w:t>–</w:t>
      </w:r>
      <w:r w:rsidRPr="0071567C">
        <w:rPr>
          <w:rFonts w:ascii="Palatino Linotype" w:hAnsi="Palatino Linotype"/>
          <w:color w:val="000000"/>
          <w:lang w:val="en-GB"/>
        </w:rPr>
        <w:t xml:space="preserve"> is just an artificial division.</w:t>
      </w:r>
      <w:r w:rsidR="00901BE3" w:rsidRPr="0071567C">
        <w:rPr>
          <w:rFonts w:ascii="Palatino Linotype" w:hAnsi="Palatino Linotype"/>
          <w:color w:val="000000"/>
          <w:lang w:val="en-GB"/>
        </w:rPr>
        <w:t xml:space="preserve"> </w:t>
      </w:r>
      <w:r w:rsidRPr="0071567C">
        <w:rPr>
          <w:rFonts w:ascii="Palatino Linotype" w:hAnsi="Palatino Linotype"/>
          <w:color w:val="000000"/>
          <w:lang w:val="en-GB"/>
        </w:rPr>
        <w:t xml:space="preserve">What is more constant are the critics </w:t>
      </w:r>
      <w:r w:rsidR="00281924" w:rsidRPr="0071567C">
        <w:rPr>
          <w:rFonts w:ascii="Palatino Linotype" w:hAnsi="Palatino Linotype"/>
          <w:color w:val="000000"/>
          <w:lang w:val="en-GB"/>
        </w:rPr>
        <w:t xml:space="preserve">of </w:t>
      </w:r>
      <w:r w:rsidRPr="0071567C">
        <w:rPr>
          <w:rFonts w:ascii="Palatino Linotype" w:hAnsi="Palatino Linotype"/>
          <w:color w:val="000000"/>
          <w:lang w:val="en-GB"/>
        </w:rPr>
        <w:t xml:space="preserve">the legal educational system, the </w:t>
      </w:r>
      <w:r w:rsidRPr="0071567C">
        <w:rPr>
          <w:rFonts w:ascii="Palatino Linotype" w:hAnsi="Palatino Linotype"/>
          <w:lang w:val="en-GB"/>
        </w:rPr>
        <w:t xml:space="preserve">rethinking </w:t>
      </w:r>
      <w:r w:rsidR="00281924" w:rsidRPr="0071567C">
        <w:rPr>
          <w:rFonts w:ascii="Palatino Linotype" w:hAnsi="Palatino Linotype"/>
          <w:lang w:val="en-GB"/>
        </w:rPr>
        <w:t xml:space="preserve">of </w:t>
      </w:r>
      <w:r w:rsidRPr="0071567C">
        <w:rPr>
          <w:rFonts w:ascii="Palatino Linotype" w:hAnsi="Palatino Linotype"/>
          <w:lang w:val="en-GB"/>
        </w:rPr>
        <w:t>approaches to teaching and learning law</w:t>
      </w:r>
      <w:r w:rsidR="0027530E" w:rsidRPr="0071567C">
        <w:rPr>
          <w:rFonts w:ascii="Palatino Linotype" w:hAnsi="Palatino Linotype"/>
          <w:lang w:val="en-GB"/>
        </w:rPr>
        <w:t>,</w:t>
      </w:r>
      <w:r w:rsidRPr="0071567C">
        <w:rPr>
          <w:rFonts w:ascii="Palatino Linotype" w:hAnsi="Palatino Linotype"/>
          <w:lang w:val="en-GB"/>
        </w:rPr>
        <w:t xml:space="preserve"> in theory and in practice</w:t>
      </w:r>
      <w:r w:rsidR="0027530E" w:rsidRPr="0071567C">
        <w:rPr>
          <w:rFonts w:ascii="Palatino Linotype" w:hAnsi="Palatino Linotype"/>
          <w:lang w:val="en-GB"/>
        </w:rPr>
        <w:t>,</w:t>
      </w:r>
      <w:r w:rsidRPr="0071567C">
        <w:rPr>
          <w:rFonts w:ascii="Palatino Linotype" w:hAnsi="Palatino Linotype"/>
          <w:lang w:val="en-GB"/>
        </w:rPr>
        <w:t xml:space="preserve"> and ways to test knowledge, skills and competence,</w:t>
      </w:r>
      <w:r w:rsidR="007C79AD" w:rsidRPr="0071567C">
        <w:rPr>
          <w:rFonts w:ascii="Palatino Linotype" w:hAnsi="Palatino Linotype"/>
          <w:lang w:val="en-GB"/>
        </w:rPr>
        <w:t xml:space="preserve"> also</w:t>
      </w:r>
      <w:r w:rsidRPr="0071567C">
        <w:rPr>
          <w:rFonts w:ascii="Palatino Linotype" w:hAnsi="Palatino Linotype"/>
          <w:lang w:val="en-GB"/>
        </w:rPr>
        <w:t xml:space="preserve"> taking into consideration the ongoing changes involving the legal profession</w:t>
      </w:r>
      <w:r w:rsidR="007C79AD" w:rsidRPr="0071567C">
        <w:rPr>
          <w:rFonts w:ascii="Palatino Linotype" w:hAnsi="Palatino Linotype"/>
          <w:lang w:val="en-GB"/>
        </w:rPr>
        <w:t>.</w:t>
      </w:r>
      <w:r w:rsidR="0009450B" w:rsidRPr="0071567C">
        <w:rPr>
          <w:rStyle w:val="FootnoteReference"/>
          <w:rFonts w:ascii="Palatino Linotype" w:hAnsi="Palatino Linotype"/>
          <w:lang w:val="en-GB"/>
        </w:rPr>
        <w:footnoteReference w:id="30"/>
      </w:r>
      <w:r w:rsidR="00007043" w:rsidRPr="0071567C">
        <w:rPr>
          <w:rFonts w:ascii="Palatino Linotype" w:hAnsi="Palatino Linotype"/>
          <w:lang w:val="en-GB"/>
        </w:rPr>
        <w:t xml:space="preserve"> </w:t>
      </w:r>
      <w:r w:rsidR="000633B3" w:rsidRPr="0071567C">
        <w:rPr>
          <w:rFonts w:ascii="Palatino Linotype" w:hAnsi="Palatino Linotype"/>
          <w:lang w:val="en-GB"/>
        </w:rPr>
        <w:t>As recently noted</w:t>
      </w:r>
      <w:r w:rsidR="00281924" w:rsidRPr="0071567C">
        <w:rPr>
          <w:rFonts w:ascii="Palatino Linotype" w:hAnsi="Palatino Linotype"/>
          <w:lang w:val="en-GB"/>
        </w:rPr>
        <w:t xml:space="preserve">, </w:t>
      </w:r>
      <w:r w:rsidR="007C79AD" w:rsidRPr="0071567C">
        <w:rPr>
          <w:rFonts w:ascii="Palatino Linotype" w:hAnsi="Palatino Linotype"/>
          <w:lang w:val="en-GB"/>
        </w:rPr>
        <w:lastRenderedPageBreak/>
        <w:t>‘</w:t>
      </w:r>
      <w:r w:rsidR="000633B3" w:rsidRPr="0071567C">
        <w:rPr>
          <w:rFonts w:ascii="Palatino Linotype" w:eastAsiaTheme="minorHAnsi" w:hAnsi="Palatino Linotype"/>
          <w:lang w:val="en-GB" w:eastAsia="en-US"/>
        </w:rPr>
        <w:t>Legal education has come under fire from all quarters, almost everywhere in the world. Legal education is criticized in many different contexts, by a variety of actors, and for a great number of reasons</w:t>
      </w:r>
      <w:r w:rsidR="007C79AD" w:rsidRPr="0071567C">
        <w:rPr>
          <w:rFonts w:ascii="Palatino Linotype" w:eastAsiaTheme="minorHAnsi" w:hAnsi="Palatino Linotype"/>
          <w:lang w:val="en-GB" w:eastAsia="en-US"/>
        </w:rPr>
        <w:t>.’</w:t>
      </w:r>
      <w:r w:rsidR="000633B3" w:rsidRPr="0071567C">
        <w:rPr>
          <w:rStyle w:val="FootnoteReference"/>
          <w:rFonts w:ascii="Palatino Linotype" w:eastAsiaTheme="minorHAnsi" w:hAnsi="Palatino Linotype"/>
          <w:lang w:val="en-GB" w:eastAsia="en-US"/>
        </w:rPr>
        <w:footnoteReference w:id="31"/>
      </w:r>
    </w:p>
    <w:p w:rsidR="002F1DC0" w:rsidRPr="0071567C" w:rsidRDefault="0077483F" w:rsidP="00E67C64">
      <w:pPr>
        <w:spacing w:line="480" w:lineRule="auto"/>
        <w:jc w:val="both"/>
        <w:rPr>
          <w:rFonts w:ascii="Palatino Linotype" w:hAnsi="Palatino Linotype"/>
          <w:lang w:val="en-GB"/>
        </w:rPr>
      </w:pPr>
      <w:r w:rsidRPr="0071567C">
        <w:rPr>
          <w:rFonts w:ascii="Palatino Linotype" w:hAnsi="Palatino Linotype"/>
          <w:lang w:val="en-GB"/>
        </w:rPr>
        <w:t xml:space="preserve">This </w:t>
      </w:r>
      <w:r w:rsidR="002F1DC0" w:rsidRPr="0071567C">
        <w:rPr>
          <w:rFonts w:ascii="Palatino Linotype" w:hAnsi="Palatino Linotype"/>
          <w:lang w:val="en-GB"/>
        </w:rPr>
        <w:t>sense of dissatisfaction with the way in which legal education i</w:t>
      </w:r>
      <w:r w:rsidR="0027530E" w:rsidRPr="0071567C">
        <w:rPr>
          <w:rFonts w:ascii="Palatino Linotype" w:hAnsi="Palatino Linotype"/>
          <w:lang w:val="en-GB"/>
        </w:rPr>
        <w:t>s</w:t>
      </w:r>
      <w:r w:rsidR="002F1DC0" w:rsidRPr="0071567C">
        <w:rPr>
          <w:rFonts w:ascii="Palatino Linotype" w:hAnsi="Palatino Linotype"/>
          <w:lang w:val="en-GB"/>
        </w:rPr>
        <w:t xml:space="preserve"> structured and delivered </w:t>
      </w:r>
      <w:r w:rsidRPr="0071567C">
        <w:rPr>
          <w:rFonts w:ascii="Palatino Linotype" w:hAnsi="Palatino Linotype"/>
          <w:lang w:val="en-GB"/>
        </w:rPr>
        <w:t>has led in England and Wales to the shocking announce</w:t>
      </w:r>
      <w:r w:rsidR="007C79AD" w:rsidRPr="0071567C">
        <w:rPr>
          <w:rFonts w:ascii="Palatino Linotype" w:hAnsi="Palatino Linotype"/>
          <w:lang w:val="en-GB"/>
        </w:rPr>
        <w:t>ment</w:t>
      </w:r>
      <w:r w:rsidRPr="0071567C">
        <w:rPr>
          <w:rFonts w:ascii="Palatino Linotype" w:hAnsi="Palatino Linotype"/>
          <w:lang w:val="en-GB"/>
        </w:rPr>
        <w:t xml:space="preserve"> by the Solicitors Regulation Authority</w:t>
      </w:r>
      <w:r w:rsidR="00246F95" w:rsidRPr="0071567C">
        <w:rPr>
          <w:rFonts w:ascii="Palatino Linotype" w:hAnsi="Palatino Linotype"/>
          <w:lang w:val="en-GB"/>
        </w:rPr>
        <w:t xml:space="preserve"> (</w:t>
      </w:r>
      <w:r w:rsidR="0027530E" w:rsidRPr="0071567C">
        <w:rPr>
          <w:rFonts w:ascii="Palatino Linotype" w:hAnsi="Palatino Linotype"/>
          <w:lang w:val="en-GB"/>
        </w:rPr>
        <w:t xml:space="preserve">hereafter </w:t>
      </w:r>
      <w:r w:rsidR="00246F95" w:rsidRPr="0071567C">
        <w:rPr>
          <w:rFonts w:ascii="Palatino Linotype" w:hAnsi="Palatino Linotype"/>
          <w:lang w:val="en-GB"/>
        </w:rPr>
        <w:t>SRA)</w:t>
      </w:r>
      <w:r w:rsidRPr="0071567C">
        <w:rPr>
          <w:rFonts w:ascii="Palatino Linotype" w:hAnsi="Palatino Linotype"/>
          <w:lang w:val="en-GB"/>
        </w:rPr>
        <w:t xml:space="preserve"> that</w:t>
      </w:r>
      <w:r w:rsidR="007C79AD" w:rsidRPr="0071567C">
        <w:rPr>
          <w:rFonts w:ascii="Palatino Linotype" w:hAnsi="Palatino Linotype"/>
          <w:lang w:val="en-GB"/>
        </w:rPr>
        <w:t xml:space="preserve"> it</w:t>
      </w:r>
      <w:r w:rsidRPr="0071567C">
        <w:rPr>
          <w:rFonts w:ascii="Palatino Linotype" w:hAnsi="Palatino Linotype"/>
          <w:lang w:val="en-GB"/>
        </w:rPr>
        <w:t xml:space="preserve"> is going to </w:t>
      </w:r>
      <w:r w:rsidR="00B7178C" w:rsidRPr="0071567C">
        <w:rPr>
          <w:rFonts w:ascii="Palatino Linotype" w:hAnsi="Palatino Linotype"/>
          <w:lang w:val="en-GB"/>
        </w:rPr>
        <w:t>revise</w:t>
      </w:r>
      <w:r w:rsidR="002F52CA" w:rsidRPr="0071567C">
        <w:rPr>
          <w:rFonts w:ascii="Palatino Linotype" w:hAnsi="Palatino Linotype"/>
          <w:lang w:val="en-GB"/>
        </w:rPr>
        <w:t xml:space="preserve"> </w:t>
      </w:r>
      <w:r w:rsidRPr="0071567C">
        <w:rPr>
          <w:rFonts w:ascii="Palatino Linotype" w:hAnsi="Palatino Linotype"/>
          <w:lang w:val="en-GB"/>
        </w:rPr>
        <w:t>the pathway to qualify as a solicitor.</w:t>
      </w:r>
      <w:r w:rsidR="002F1DC0" w:rsidRPr="0071567C">
        <w:rPr>
          <w:rFonts w:ascii="Palatino Linotype" w:hAnsi="Palatino Linotype"/>
          <w:lang w:val="en-GB"/>
        </w:rPr>
        <w:t xml:space="preserve"> Currently, would-be solicitors are required to complete a qualifying law degree (QLD) or law conversion course at university (GDL), </w:t>
      </w:r>
      <w:r w:rsidR="007C79AD" w:rsidRPr="0071567C">
        <w:rPr>
          <w:rFonts w:ascii="Palatino Linotype" w:hAnsi="Palatino Linotype"/>
          <w:lang w:val="en-GB"/>
        </w:rPr>
        <w:t xml:space="preserve">a </w:t>
      </w:r>
      <w:r w:rsidR="002F1DC0" w:rsidRPr="0071567C">
        <w:rPr>
          <w:rFonts w:ascii="Palatino Linotype" w:hAnsi="Palatino Linotype"/>
          <w:lang w:val="en-GB"/>
        </w:rPr>
        <w:t>one-year vocational course, the Legal Practice Course (LPC) and, finally, two years of supervised training (</w:t>
      </w:r>
      <w:r w:rsidR="007C79AD" w:rsidRPr="0071567C">
        <w:rPr>
          <w:rFonts w:ascii="Palatino Linotype" w:hAnsi="Palatino Linotype"/>
          <w:i/>
          <w:iCs/>
          <w:lang w:val="en-GB"/>
        </w:rPr>
        <w:t xml:space="preserve">training </w:t>
      </w:r>
      <w:r w:rsidR="002F1DC0" w:rsidRPr="0071567C">
        <w:rPr>
          <w:rFonts w:ascii="Palatino Linotype" w:hAnsi="Palatino Linotype"/>
          <w:i/>
          <w:iCs/>
          <w:lang w:val="en-GB"/>
        </w:rPr>
        <w:t>contract</w:t>
      </w:r>
      <w:r w:rsidR="002F1DC0" w:rsidRPr="0071567C">
        <w:rPr>
          <w:rFonts w:ascii="Palatino Linotype" w:hAnsi="Palatino Linotype"/>
          <w:lang w:val="en-GB"/>
        </w:rPr>
        <w:t xml:space="preserve">) </w:t>
      </w:r>
      <w:r w:rsidR="00007043" w:rsidRPr="0071567C">
        <w:rPr>
          <w:rFonts w:ascii="Palatino Linotype" w:hAnsi="Palatino Linotype"/>
          <w:lang w:val="en-GB"/>
        </w:rPr>
        <w:t>in order to</w:t>
      </w:r>
      <w:r w:rsidR="002F1DC0" w:rsidRPr="0071567C">
        <w:rPr>
          <w:rFonts w:ascii="Palatino Linotype" w:hAnsi="Palatino Linotype"/>
          <w:lang w:val="en-GB"/>
        </w:rPr>
        <w:t xml:space="preserve"> qualify as a solicitor. The three-stage structure is similar to the educational model designed for the would-be barrister: </w:t>
      </w:r>
      <w:r w:rsidR="00016781" w:rsidRPr="0071567C">
        <w:rPr>
          <w:rFonts w:ascii="Palatino Linotype" w:hAnsi="Palatino Linotype"/>
          <w:lang w:val="en-GB"/>
        </w:rPr>
        <w:t xml:space="preserve">graduates </w:t>
      </w:r>
      <w:r w:rsidR="00005BA5" w:rsidRPr="0071567C">
        <w:rPr>
          <w:rFonts w:ascii="Palatino Linotype" w:hAnsi="Palatino Linotype"/>
          <w:lang w:val="en-GB"/>
        </w:rPr>
        <w:t xml:space="preserve">(with a QLD or a GDL) are required to join one of the Inns of Court, undertake </w:t>
      </w:r>
      <w:r w:rsidR="007C79AD" w:rsidRPr="0071567C">
        <w:rPr>
          <w:rFonts w:ascii="Palatino Linotype" w:hAnsi="Palatino Linotype"/>
          <w:lang w:val="en-GB"/>
        </w:rPr>
        <w:t>one-</w:t>
      </w:r>
      <w:r w:rsidR="00005BA5" w:rsidRPr="0071567C">
        <w:rPr>
          <w:rFonts w:ascii="Palatino Linotype" w:hAnsi="Palatino Linotype"/>
          <w:lang w:val="en-GB"/>
        </w:rPr>
        <w:t>year full-time course, the Bar Professional Training Course, be called to the Bar and complete a recognized period of training under the supervision of an experienced barrister, the Pupillage</w:t>
      </w:r>
      <w:r w:rsidR="007C79AD" w:rsidRPr="0071567C">
        <w:rPr>
          <w:rFonts w:ascii="Palatino Linotype" w:hAnsi="Palatino Linotype"/>
          <w:lang w:val="en-GB"/>
        </w:rPr>
        <w:t>.</w:t>
      </w:r>
      <w:r w:rsidR="00005BA5" w:rsidRPr="0071567C">
        <w:rPr>
          <w:rStyle w:val="FootnoteReference"/>
          <w:rFonts w:ascii="Palatino Linotype" w:hAnsi="Palatino Linotype"/>
          <w:lang w:val="en-GB"/>
        </w:rPr>
        <w:footnoteReference w:id="32"/>
      </w:r>
      <w:r w:rsidR="00005BA5" w:rsidRPr="0071567C">
        <w:rPr>
          <w:rFonts w:ascii="Palatino Linotype" w:hAnsi="Palatino Linotype"/>
          <w:lang w:val="en-GB"/>
        </w:rPr>
        <w:t> </w:t>
      </w:r>
    </w:p>
    <w:p w:rsidR="00246F95" w:rsidRPr="0071567C" w:rsidRDefault="002F1DC0" w:rsidP="00E67C64">
      <w:pPr>
        <w:autoSpaceDE w:val="0"/>
        <w:autoSpaceDN w:val="0"/>
        <w:adjustRightInd w:val="0"/>
        <w:spacing w:line="480" w:lineRule="auto"/>
        <w:jc w:val="both"/>
        <w:rPr>
          <w:rFonts w:ascii="Palatino Linotype" w:hAnsi="Palatino Linotype"/>
          <w:color w:val="000000" w:themeColor="text1"/>
          <w:lang w:val="en-GB"/>
        </w:rPr>
      </w:pPr>
      <w:r w:rsidRPr="0071567C">
        <w:rPr>
          <w:rFonts w:ascii="Palatino Linotype" w:hAnsi="Palatino Linotype"/>
          <w:lang w:val="en-GB"/>
        </w:rPr>
        <w:lastRenderedPageBreak/>
        <w:t>Nevertheless, the</w:t>
      </w:r>
      <w:r w:rsidRPr="0071567C">
        <w:rPr>
          <w:rFonts w:ascii="Palatino Linotype" w:hAnsi="Palatino Linotype"/>
          <w:color w:val="000000"/>
          <w:lang w:val="en-GB"/>
        </w:rPr>
        <w:t xml:space="preserve"> </w:t>
      </w:r>
      <w:r w:rsidR="0077483F" w:rsidRPr="0071567C">
        <w:rPr>
          <w:rFonts w:ascii="Palatino Linotype" w:hAnsi="Palatino Linotype"/>
          <w:lang w:val="en-GB"/>
        </w:rPr>
        <w:t xml:space="preserve">SRA </w:t>
      </w:r>
      <w:r w:rsidRPr="0071567C">
        <w:rPr>
          <w:rFonts w:ascii="Palatino Linotype" w:hAnsi="Palatino Linotype"/>
          <w:lang w:val="en-GB"/>
        </w:rPr>
        <w:t xml:space="preserve">has </w:t>
      </w:r>
      <w:r w:rsidR="0077483F" w:rsidRPr="0071567C">
        <w:rPr>
          <w:rFonts w:ascii="Palatino Linotype" w:hAnsi="Palatino Linotype"/>
          <w:lang w:val="en-GB"/>
        </w:rPr>
        <w:t>announced that from</w:t>
      </w:r>
      <w:r w:rsidR="00A03668" w:rsidRPr="0071567C">
        <w:rPr>
          <w:rFonts w:ascii="Palatino Linotype" w:hAnsi="Palatino Linotype"/>
          <w:lang w:val="en-GB"/>
        </w:rPr>
        <w:t xml:space="preserve"> 2021</w:t>
      </w:r>
      <w:r w:rsidR="0077483F" w:rsidRPr="0071567C">
        <w:rPr>
          <w:rFonts w:ascii="Palatino Linotype" w:hAnsi="Palatino Linotype"/>
          <w:lang w:val="en-GB"/>
        </w:rPr>
        <w:t>, as part of a new approach to qualifying as a solicitor in England and Wales, it will abandon the qualifying law degree (QLD)</w:t>
      </w:r>
      <w:r w:rsidR="0037056E" w:rsidRPr="0071567C">
        <w:rPr>
          <w:rFonts w:ascii="Palatino Linotype" w:hAnsi="Palatino Linotype"/>
          <w:lang w:val="en-GB"/>
        </w:rPr>
        <w:t xml:space="preserve"> and the Legal Practice Course (LPC),</w:t>
      </w:r>
      <w:r w:rsidR="0077483F" w:rsidRPr="0071567C">
        <w:rPr>
          <w:rFonts w:ascii="Palatino Linotype" w:hAnsi="Palatino Linotype"/>
          <w:lang w:val="en-GB"/>
        </w:rPr>
        <w:t xml:space="preserve"> in favo</w:t>
      </w:r>
      <w:r w:rsidR="007C79AD" w:rsidRPr="0071567C">
        <w:rPr>
          <w:rFonts w:ascii="Palatino Linotype" w:hAnsi="Palatino Linotype"/>
          <w:lang w:val="en-GB"/>
        </w:rPr>
        <w:t>u</w:t>
      </w:r>
      <w:r w:rsidR="0077483F" w:rsidRPr="0071567C">
        <w:rPr>
          <w:rFonts w:ascii="Palatino Linotype" w:hAnsi="Palatino Linotype"/>
          <w:lang w:val="en-GB"/>
        </w:rPr>
        <w:t xml:space="preserve">r of a centralized examinations system, the </w:t>
      </w:r>
      <w:r w:rsidR="007C79AD" w:rsidRPr="0071567C">
        <w:rPr>
          <w:rFonts w:ascii="Palatino Linotype" w:hAnsi="Palatino Linotype"/>
          <w:lang w:val="en-GB"/>
        </w:rPr>
        <w:t xml:space="preserve">Solicitors Qualifying Exam </w:t>
      </w:r>
      <w:r w:rsidR="0077483F" w:rsidRPr="0071567C">
        <w:rPr>
          <w:rFonts w:ascii="Palatino Linotype" w:hAnsi="Palatino Linotype"/>
          <w:lang w:val="en-GB"/>
        </w:rPr>
        <w:t>(SQE)</w:t>
      </w:r>
      <w:r w:rsidR="007C79AD" w:rsidRPr="0071567C">
        <w:rPr>
          <w:rFonts w:ascii="Palatino Linotype" w:hAnsi="Palatino Linotype"/>
          <w:lang w:val="en-GB"/>
        </w:rPr>
        <w:t>.</w:t>
      </w:r>
      <w:r w:rsidR="001F0BC9" w:rsidRPr="0071567C">
        <w:rPr>
          <w:rStyle w:val="FootnoteReference"/>
          <w:rFonts w:ascii="Palatino Linotype" w:hAnsi="Palatino Linotype"/>
          <w:lang w:val="en-GB"/>
        </w:rPr>
        <w:footnoteReference w:id="33"/>
      </w:r>
      <w:r w:rsidR="00B04767" w:rsidRPr="0071567C">
        <w:rPr>
          <w:rFonts w:ascii="Palatino Linotype" w:hAnsi="Palatino Linotype"/>
          <w:color w:val="000000" w:themeColor="text1"/>
          <w:lang w:val="en-GB"/>
        </w:rPr>
        <w:t xml:space="preserve"> In particular, t</w:t>
      </w:r>
      <w:r w:rsidR="0077483F" w:rsidRPr="0071567C">
        <w:rPr>
          <w:rFonts w:ascii="Palatino Linotype" w:hAnsi="Palatino Linotype"/>
          <w:color w:val="000000" w:themeColor="text1"/>
          <w:lang w:val="en-GB"/>
        </w:rPr>
        <w:t xml:space="preserve">he announced </w:t>
      </w:r>
      <w:r w:rsidR="00525044" w:rsidRPr="0071567C">
        <w:rPr>
          <w:rFonts w:ascii="Palatino Linotype" w:hAnsi="Palatino Linotype"/>
          <w:color w:val="000000" w:themeColor="text1"/>
          <w:lang w:val="en-GB"/>
        </w:rPr>
        <w:t xml:space="preserve">SQE </w:t>
      </w:r>
      <w:r w:rsidR="0077483F" w:rsidRPr="0071567C">
        <w:rPr>
          <w:rFonts w:ascii="Palatino Linotype" w:hAnsi="Palatino Linotype"/>
          <w:color w:val="000000" w:themeColor="text1"/>
          <w:lang w:val="en-GB"/>
        </w:rPr>
        <w:t xml:space="preserve">reform will require would-be solicitors to </w:t>
      </w:r>
      <w:r w:rsidR="00525044" w:rsidRPr="0071567C">
        <w:rPr>
          <w:rFonts w:ascii="Palatino Linotype" w:hAnsi="Palatino Linotype"/>
          <w:color w:val="000000" w:themeColor="text1"/>
          <w:lang w:val="en-GB"/>
        </w:rPr>
        <w:t xml:space="preserve">undergo </w:t>
      </w:r>
      <w:r w:rsidR="0077483F" w:rsidRPr="0071567C">
        <w:rPr>
          <w:rFonts w:ascii="Palatino Linotype" w:hAnsi="Palatino Linotype"/>
          <w:color w:val="000000" w:themeColor="text1"/>
          <w:lang w:val="en-GB"/>
        </w:rPr>
        <w:t>a centralized exam regulated by the SRA, consisting of two parts: the first one, testing legal knowledge</w:t>
      </w:r>
      <w:r w:rsidR="00246F95" w:rsidRPr="0071567C">
        <w:rPr>
          <w:rFonts w:ascii="Palatino Linotype" w:hAnsi="Palatino Linotype"/>
          <w:color w:val="000000" w:themeColor="text1"/>
          <w:lang w:val="en-GB"/>
        </w:rPr>
        <w:t xml:space="preserve"> through multiple-choice </w:t>
      </w:r>
      <w:r w:rsidR="00525044" w:rsidRPr="0071567C">
        <w:rPr>
          <w:rFonts w:ascii="Palatino Linotype" w:hAnsi="Palatino Linotype"/>
          <w:color w:val="000000" w:themeColor="text1"/>
          <w:lang w:val="en-GB"/>
        </w:rPr>
        <w:t>questions</w:t>
      </w:r>
      <w:r w:rsidR="0077483F" w:rsidRPr="0071567C">
        <w:rPr>
          <w:rFonts w:ascii="Palatino Linotype" w:hAnsi="Palatino Linotype"/>
          <w:color w:val="000000" w:themeColor="text1"/>
          <w:lang w:val="en-GB"/>
        </w:rPr>
        <w:t>; the second one, consisting of skills assessments. The candidates will also have to undertake 24 months of practical training</w:t>
      </w:r>
      <w:r w:rsidR="00246F95" w:rsidRPr="0071567C">
        <w:rPr>
          <w:rFonts w:ascii="Palatino Linotype" w:hAnsi="Palatino Linotype"/>
          <w:color w:val="000000" w:themeColor="text1"/>
          <w:lang w:val="en-GB"/>
        </w:rPr>
        <w:t xml:space="preserve"> (qualifying work experience – QWE). </w:t>
      </w:r>
    </w:p>
    <w:p w:rsidR="00246F95" w:rsidRPr="0071567C" w:rsidRDefault="00CB1029" w:rsidP="00E67C64">
      <w:pPr>
        <w:autoSpaceDE w:val="0"/>
        <w:autoSpaceDN w:val="0"/>
        <w:adjustRightInd w:val="0"/>
        <w:spacing w:line="480" w:lineRule="auto"/>
        <w:jc w:val="both"/>
        <w:rPr>
          <w:rFonts w:ascii="Palatino Linotype" w:hAnsi="Palatino Linotype"/>
          <w:color w:val="000000"/>
          <w:lang w:val="en-GB"/>
        </w:rPr>
      </w:pPr>
      <w:r w:rsidRPr="0071567C">
        <w:rPr>
          <w:rFonts w:ascii="Palatino Linotype" w:hAnsi="Palatino Linotype"/>
          <w:color w:val="000000"/>
          <w:lang w:val="en-GB"/>
        </w:rPr>
        <w:t>The radical changes announced by the SRA</w:t>
      </w:r>
      <w:r w:rsidR="00197C5B" w:rsidRPr="0071567C">
        <w:rPr>
          <w:rFonts w:ascii="Palatino Linotype" w:hAnsi="Palatino Linotype"/>
          <w:color w:val="000000"/>
          <w:lang w:val="en-GB"/>
        </w:rPr>
        <w:t xml:space="preserve">, which undermined the validity of the </w:t>
      </w:r>
      <w:r w:rsidR="0037056E" w:rsidRPr="0071567C">
        <w:rPr>
          <w:rFonts w:ascii="Palatino Linotype" w:hAnsi="Palatino Linotype"/>
          <w:color w:val="000000"/>
          <w:lang w:val="en-GB"/>
        </w:rPr>
        <w:t>traditional</w:t>
      </w:r>
      <w:r w:rsidR="00197C5B" w:rsidRPr="0071567C">
        <w:rPr>
          <w:rFonts w:ascii="Palatino Linotype" w:hAnsi="Palatino Linotype"/>
          <w:color w:val="000000"/>
          <w:lang w:val="en-GB"/>
        </w:rPr>
        <w:t xml:space="preserve"> three-stage model,</w:t>
      </w:r>
      <w:r w:rsidRPr="0071567C">
        <w:rPr>
          <w:rFonts w:ascii="Palatino Linotype" w:hAnsi="Palatino Linotype"/>
          <w:color w:val="000000"/>
          <w:lang w:val="en-GB"/>
        </w:rPr>
        <w:t xml:space="preserve"> </w:t>
      </w:r>
      <w:r w:rsidR="004A0949" w:rsidRPr="0071567C">
        <w:rPr>
          <w:rFonts w:ascii="Palatino Linotype" w:hAnsi="Palatino Linotype"/>
          <w:color w:val="000000"/>
          <w:lang w:val="en-GB"/>
        </w:rPr>
        <w:t xml:space="preserve">are </w:t>
      </w:r>
      <w:r w:rsidR="00B04767" w:rsidRPr="0071567C">
        <w:rPr>
          <w:rFonts w:ascii="Palatino Linotype" w:hAnsi="Palatino Linotype"/>
          <w:color w:val="000000"/>
          <w:lang w:val="en-GB"/>
        </w:rPr>
        <w:t>expected to</w:t>
      </w:r>
      <w:r w:rsidRPr="0071567C">
        <w:rPr>
          <w:rFonts w:ascii="Palatino Linotype" w:hAnsi="Palatino Linotype"/>
          <w:color w:val="000000"/>
          <w:lang w:val="en-GB"/>
        </w:rPr>
        <w:t xml:space="preserve"> have a </w:t>
      </w:r>
      <w:r w:rsidR="00585D23" w:rsidRPr="0071567C">
        <w:rPr>
          <w:rFonts w:ascii="Palatino Linotype" w:hAnsi="Palatino Linotype"/>
          <w:color w:val="000000"/>
          <w:lang w:val="en-GB"/>
        </w:rPr>
        <w:t>profound</w:t>
      </w:r>
      <w:r w:rsidRPr="0071567C">
        <w:rPr>
          <w:rFonts w:ascii="Palatino Linotype" w:hAnsi="Palatino Linotype"/>
          <w:color w:val="000000"/>
          <w:lang w:val="en-GB"/>
        </w:rPr>
        <w:t xml:space="preserve"> effect </w:t>
      </w:r>
      <w:r w:rsidR="00585D23" w:rsidRPr="0071567C">
        <w:rPr>
          <w:rFonts w:ascii="Palatino Linotype" w:hAnsi="Palatino Linotype"/>
          <w:color w:val="000000"/>
          <w:lang w:val="en-GB"/>
        </w:rPr>
        <w:t xml:space="preserve">on the entire English </w:t>
      </w:r>
      <w:r w:rsidR="00585D23" w:rsidRPr="0071567C">
        <w:rPr>
          <w:rFonts w:ascii="Palatino Linotype" w:hAnsi="Palatino Linotype"/>
          <w:color w:val="000000"/>
          <w:lang w:val="en-GB"/>
        </w:rPr>
        <w:lastRenderedPageBreak/>
        <w:t>model of legal education</w:t>
      </w:r>
      <w:r w:rsidR="00197C5B" w:rsidRPr="0071567C">
        <w:rPr>
          <w:rFonts w:ascii="Palatino Linotype" w:hAnsi="Palatino Linotype"/>
          <w:color w:val="000000"/>
          <w:lang w:val="en-GB"/>
        </w:rPr>
        <w:t xml:space="preserve">. </w:t>
      </w:r>
      <w:r w:rsidR="00585D23" w:rsidRPr="0071567C">
        <w:rPr>
          <w:rFonts w:ascii="Palatino Linotype" w:hAnsi="Palatino Linotype"/>
          <w:color w:val="000000"/>
          <w:lang w:val="en-GB"/>
        </w:rPr>
        <w:t>B</w:t>
      </w:r>
      <w:r w:rsidR="0077483F" w:rsidRPr="0071567C">
        <w:rPr>
          <w:rFonts w:ascii="Palatino Linotype" w:hAnsi="Palatino Linotype"/>
          <w:color w:val="000000"/>
          <w:lang w:val="en-GB"/>
        </w:rPr>
        <w:t xml:space="preserve">ecause a law degree will not be mandatory in order to </w:t>
      </w:r>
      <w:r w:rsidR="00CB08F2" w:rsidRPr="0071567C">
        <w:rPr>
          <w:rFonts w:ascii="Palatino Linotype" w:hAnsi="Palatino Linotype"/>
          <w:color w:val="000000"/>
          <w:lang w:val="en-GB"/>
        </w:rPr>
        <w:t xml:space="preserve">sit </w:t>
      </w:r>
      <w:r w:rsidR="0077483F" w:rsidRPr="0071567C">
        <w:rPr>
          <w:rFonts w:ascii="Palatino Linotype" w:hAnsi="Palatino Linotype"/>
          <w:color w:val="000000"/>
          <w:lang w:val="en-GB"/>
        </w:rPr>
        <w:t xml:space="preserve">the SQE, the only choice for the law schools will be between opting in or opting out of SQE preparation. They </w:t>
      </w:r>
      <w:r w:rsidR="0027530E" w:rsidRPr="0071567C">
        <w:rPr>
          <w:rFonts w:ascii="Palatino Linotype" w:hAnsi="Palatino Linotype"/>
          <w:color w:val="000000"/>
          <w:lang w:val="en-GB"/>
        </w:rPr>
        <w:t>could</w:t>
      </w:r>
      <w:r w:rsidR="0077483F" w:rsidRPr="0071567C">
        <w:rPr>
          <w:rFonts w:ascii="Palatino Linotype" w:hAnsi="Palatino Linotype"/>
          <w:color w:val="000000"/>
          <w:lang w:val="en-GB"/>
        </w:rPr>
        <w:t xml:space="preserve">, in other words, keep a distance from the interest of the legal profession and provide a more liberal and theoretical education; or – on the contrary </w:t>
      </w:r>
      <w:r w:rsidR="004A0949" w:rsidRPr="0071567C">
        <w:rPr>
          <w:rFonts w:ascii="Palatino Linotype" w:hAnsi="Palatino Linotype"/>
          <w:color w:val="000000"/>
          <w:lang w:val="en-GB"/>
        </w:rPr>
        <w:t>–</w:t>
      </w:r>
      <w:r w:rsidR="0077483F" w:rsidRPr="0071567C">
        <w:rPr>
          <w:rFonts w:ascii="Palatino Linotype" w:hAnsi="Palatino Linotype"/>
          <w:color w:val="000000"/>
          <w:lang w:val="en-GB"/>
        </w:rPr>
        <w:t xml:space="preserve"> they </w:t>
      </w:r>
      <w:r w:rsidR="004A0949" w:rsidRPr="0071567C">
        <w:rPr>
          <w:rFonts w:ascii="Palatino Linotype" w:hAnsi="Palatino Linotype"/>
          <w:color w:val="000000"/>
          <w:lang w:val="en-GB"/>
        </w:rPr>
        <w:t xml:space="preserve">might </w:t>
      </w:r>
      <w:r w:rsidR="0077483F" w:rsidRPr="0071567C">
        <w:rPr>
          <w:rFonts w:ascii="Palatino Linotype" w:hAnsi="Palatino Linotype"/>
          <w:color w:val="000000"/>
          <w:lang w:val="en-GB"/>
        </w:rPr>
        <w:t>move further on, in the direction of professional and vocational courses, in order to reach the standards required to embrace the SQE</w:t>
      </w:r>
      <w:r w:rsidR="004A0949" w:rsidRPr="0071567C">
        <w:rPr>
          <w:rFonts w:ascii="Palatino Linotype" w:hAnsi="Palatino Linotype"/>
          <w:color w:val="000000"/>
          <w:lang w:val="en-GB"/>
        </w:rPr>
        <w:t>.</w:t>
      </w:r>
      <w:r w:rsidR="0037056E" w:rsidRPr="0071567C">
        <w:rPr>
          <w:rStyle w:val="FootnoteReference"/>
          <w:rFonts w:ascii="Palatino Linotype" w:hAnsi="Palatino Linotype"/>
          <w:color w:val="000000"/>
          <w:lang w:val="en-GB"/>
        </w:rPr>
        <w:footnoteReference w:id="34"/>
      </w:r>
      <w:r w:rsidR="0077483F" w:rsidRPr="0071567C">
        <w:rPr>
          <w:rFonts w:ascii="Palatino Linotype" w:hAnsi="Palatino Linotype"/>
          <w:color w:val="000000"/>
          <w:lang w:val="en-GB"/>
        </w:rPr>
        <w:t xml:space="preserve"> Both choices have potentially significant</w:t>
      </w:r>
      <w:r w:rsidR="0023121C" w:rsidRPr="0071567C">
        <w:rPr>
          <w:rFonts w:ascii="Palatino Linotype" w:hAnsi="Palatino Linotype"/>
          <w:color w:val="000000"/>
          <w:lang w:val="en-GB"/>
        </w:rPr>
        <w:t xml:space="preserve"> and obvious</w:t>
      </w:r>
      <w:r w:rsidR="0077483F" w:rsidRPr="0071567C">
        <w:rPr>
          <w:rFonts w:ascii="Palatino Linotype" w:hAnsi="Palatino Linotype"/>
          <w:color w:val="000000"/>
          <w:lang w:val="en-GB"/>
        </w:rPr>
        <w:t xml:space="preserve"> consequences.</w:t>
      </w:r>
      <w:r w:rsidR="00246F95" w:rsidRPr="0071567C">
        <w:rPr>
          <w:rFonts w:ascii="Palatino Linotype" w:hAnsi="Palatino Linotype"/>
          <w:color w:val="000000"/>
          <w:lang w:val="en-GB"/>
        </w:rPr>
        <w:t xml:space="preserve"> </w:t>
      </w:r>
      <w:r w:rsidR="006A40BB" w:rsidRPr="0071567C">
        <w:rPr>
          <w:rFonts w:ascii="Palatino Linotype" w:hAnsi="Palatino Linotype"/>
          <w:color w:val="000000"/>
          <w:lang w:val="en-GB"/>
        </w:rPr>
        <w:t>The</w:t>
      </w:r>
      <w:r w:rsidR="0077483F" w:rsidRPr="0071567C">
        <w:rPr>
          <w:rFonts w:ascii="Palatino Linotype" w:hAnsi="Palatino Linotype"/>
          <w:lang w:val="en-GB"/>
        </w:rPr>
        <w:t xml:space="preserve"> replacement pathway to qualify as a solicitor in England and Wales offered by the SRA, which </w:t>
      </w:r>
      <w:r w:rsidR="00246F95" w:rsidRPr="0071567C">
        <w:rPr>
          <w:rFonts w:ascii="Palatino Linotype" w:hAnsi="Palatino Linotype"/>
          <w:lang w:val="en-GB"/>
        </w:rPr>
        <w:t>totally underestimates</w:t>
      </w:r>
      <w:r w:rsidR="0077483F" w:rsidRPr="0071567C">
        <w:rPr>
          <w:rFonts w:ascii="Palatino Linotype" w:hAnsi="Palatino Linotype"/>
          <w:lang w:val="en-GB"/>
        </w:rPr>
        <w:t xml:space="preserve"> the role of university and pushes towards a pure apprenticeship model, </w:t>
      </w:r>
      <w:r w:rsidR="00585D23" w:rsidRPr="0071567C">
        <w:rPr>
          <w:rFonts w:ascii="Palatino Linotype" w:hAnsi="Palatino Linotype"/>
          <w:lang w:val="en-GB"/>
        </w:rPr>
        <w:t xml:space="preserve">seems to </w:t>
      </w:r>
      <w:r w:rsidR="004A0949" w:rsidRPr="0071567C">
        <w:rPr>
          <w:rFonts w:ascii="Palatino Linotype" w:hAnsi="Palatino Linotype"/>
          <w:lang w:val="en-GB"/>
        </w:rPr>
        <w:t>remove</w:t>
      </w:r>
      <w:r w:rsidR="0077483F" w:rsidRPr="0071567C">
        <w:rPr>
          <w:rFonts w:ascii="Palatino Linotype" w:hAnsi="Palatino Linotype"/>
          <w:lang w:val="en-GB"/>
        </w:rPr>
        <w:t xml:space="preserve"> the English system from the harmonized model of legal education</w:t>
      </w:r>
      <w:r w:rsidR="00505CF2" w:rsidRPr="0071567C">
        <w:rPr>
          <w:rFonts w:ascii="Palatino Linotype" w:hAnsi="Palatino Linotype"/>
          <w:lang w:val="en-GB"/>
        </w:rPr>
        <w:t xml:space="preserve"> described before</w:t>
      </w:r>
      <w:r w:rsidR="004A0949" w:rsidRPr="0071567C">
        <w:rPr>
          <w:rFonts w:ascii="Palatino Linotype" w:hAnsi="Palatino Linotype"/>
          <w:lang w:val="en-GB"/>
        </w:rPr>
        <w:t>.</w:t>
      </w:r>
      <w:r w:rsidR="00585D23" w:rsidRPr="0071567C">
        <w:rPr>
          <w:rStyle w:val="FootnoteReference"/>
          <w:rFonts w:ascii="Palatino Linotype" w:hAnsi="Palatino Linotype"/>
          <w:lang w:val="en-GB"/>
        </w:rPr>
        <w:footnoteReference w:id="35"/>
      </w:r>
    </w:p>
    <w:p w:rsidR="00246F95" w:rsidRPr="0071567C" w:rsidRDefault="0077483F" w:rsidP="00E67C64">
      <w:pPr>
        <w:autoSpaceDE w:val="0"/>
        <w:autoSpaceDN w:val="0"/>
        <w:adjustRightInd w:val="0"/>
        <w:spacing w:line="480" w:lineRule="auto"/>
        <w:jc w:val="both"/>
        <w:rPr>
          <w:rFonts w:ascii="Palatino Linotype" w:hAnsi="Palatino Linotype"/>
          <w:lang w:val="en-GB"/>
        </w:rPr>
      </w:pPr>
      <w:r w:rsidRPr="0071567C">
        <w:rPr>
          <w:rFonts w:ascii="Palatino Linotype" w:hAnsi="Palatino Linotype"/>
          <w:lang w:val="en-GB"/>
        </w:rPr>
        <w:t>In continental Europe</w:t>
      </w:r>
      <w:r w:rsidR="004A0949" w:rsidRPr="0071567C">
        <w:rPr>
          <w:rFonts w:ascii="Palatino Linotype" w:hAnsi="Palatino Linotype"/>
          <w:lang w:val="en-GB"/>
        </w:rPr>
        <w:t>,</w:t>
      </w:r>
      <w:r w:rsidRPr="0071567C">
        <w:rPr>
          <w:rFonts w:ascii="Palatino Linotype" w:hAnsi="Palatino Linotype"/>
          <w:lang w:val="en-GB"/>
        </w:rPr>
        <w:t xml:space="preserve"> the critic</w:t>
      </w:r>
      <w:r w:rsidR="0027530E" w:rsidRPr="0071567C">
        <w:rPr>
          <w:rFonts w:ascii="Palatino Linotype" w:hAnsi="Palatino Linotype"/>
          <w:lang w:val="en-GB"/>
        </w:rPr>
        <w:t>i</w:t>
      </w:r>
      <w:r w:rsidRPr="0071567C">
        <w:rPr>
          <w:rFonts w:ascii="Palatino Linotype" w:hAnsi="Palatino Linotype"/>
          <w:lang w:val="en-GB"/>
        </w:rPr>
        <w:t>s</w:t>
      </w:r>
      <w:r w:rsidR="0027530E" w:rsidRPr="0071567C">
        <w:rPr>
          <w:rFonts w:ascii="Palatino Linotype" w:hAnsi="Palatino Linotype"/>
          <w:lang w:val="en-GB"/>
        </w:rPr>
        <w:t>ms</w:t>
      </w:r>
      <w:r w:rsidRPr="0071567C">
        <w:rPr>
          <w:rFonts w:ascii="Palatino Linotype" w:hAnsi="Palatino Linotype"/>
          <w:lang w:val="en-GB"/>
        </w:rPr>
        <w:t xml:space="preserve"> concerning the current educational system, as well as the innovation</w:t>
      </w:r>
      <w:r w:rsidR="004A0949" w:rsidRPr="0071567C">
        <w:rPr>
          <w:rFonts w:ascii="Palatino Linotype" w:hAnsi="Palatino Linotype"/>
          <w:lang w:val="en-GB"/>
        </w:rPr>
        <w:t>s</w:t>
      </w:r>
      <w:r w:rsidRPr="0071567C">
        <w:rPr>
          <w:rFonts w:ascii="Palatino Linotype" w:hAnsi="Palatino Linotype"/>
          <w:lang w:val="en-GB"/>
        </w:rPr>
        <w:t xml:space="preserve"> involving the professions in the </w:t>
      </w:r>
      <w:r w:rsidR="00CB08F2" w:rsidRPr="0071567C">
        <w:rPr>
          <w:rFonts w:ascii="Palatino Linotype" w:hAnsi="Palatino Linotype"/>
          <w:lang w:val="en-GB"/>
        </w:rPr>
        <w:t xml:space="preserve">recent </w:t>
      </w:r>
      <w:r w:rsidRPr="0071567C">
        <w:rPr>
          <w:rFonts w:ascii="Palatino Linotype" w:hAnsi="Palatino Linotype"/>
          <w:lang w:val="en-GB"/>
        </w:rPr>
        <w:t xml:space="preserve">years, are still generating some </w:t>
      </w:r>
      <w:r w:rsidR="00C90321" w:rsidRPr="0071567C">
        <w:rPr>
          <w:rFonts w:ascii="Palatino Linotype" w:hAnsi="Palatino Linotype"/>
          <w:lang w:val="en-GB"/>
        </w:rPr>
        <w:t xml:space="preserve">significant </w:t>
      </w:r>
      <w:r w:rsidRPr="0071567C">
        <w:rPr>
          <w:rFonts w:ascii="Palatino Linotype" w:hAnsi="Palatino Linotype"/>
          <w:lang w:val="en-GB"/>
        </w:rPr>
        <w:t xml:space="preserve">changes (even if the impact is not comparable with the English one). </w:t>
      </w:r>
    </w:p>
    <w:p w:rsidR="00246F95" w:rsidRPr="0071567C" w:rsidRDefault="00246F95" w:rsidP="00E67C64">
      <w:pPr>
        <w:autoSpaceDE w:val="0"/>
        <w:autoSpaceDN w:val="0"/>
        <w:adjustRightInd w:val="0"/>
        <w:spacing w:line="480" w:lineRule="auto"/>
        <w:jc w:val="both"/>
        <w:rPr>
          <w:rFonts w:ascii="Palatino Linotype" w:hAnsi="Palatino Linotype"/>
          <w:lang w:val="en-GB"/>
        </w:rPr>
      </w:pPr>
      <w:r w:rsidRPr="0071567C">
        <w:rPr>
          <w:rFonts w:ascii="Palatino Linotype" w:hAnsi="Palatino Linotype"/>
          <w:lang w:val="en-GB"/>
        </w:rPr>
        <w:t>Over the</w:t>
      </w:r>
      <w:r w:rsidR="00C90321" w:rsidRPr="0071567C">
        <w:rPr>
          <w:rFonts w:ascii="Palatino Linotype" w:hAnsi="Palatino Linotype"/>
          <w:lang w:val="en-GB"/>
        </w:rPr>
        <w:t xml:space="preserve"> past</w:t>
      </w:r>
      <w:r w:rsidRPr="0071567C">
        <w:rPr>
          <w:rFonts w:ascii="Palatino Linotype" w:hAnsi="Palatino Linotype"/>
          <w:lang w:val="en-GB"/>
        </w:rPr>
        <w:t xml:space="preserve"> century, despite the growing professionalization of the legal class and the </w:t>
      </w:r>
      <w:r w:rsidR="00C90321" w:rsidRPr="0071567C">
        <w:rPr>
          <w:rFonts w:ascii="Palatino Linotype" w:hAnsi="Palatino Linotype"/>
          <w:lang w:val="en-GB"/>
        </w:rPr>
        <w:t xml:space="preserve">increased </w:t>
      </w:r>
      <w:r w:rsidRPr="0071567C">
        <w:rPr>
          <w:rFonts w:ascii="Palatino Linotype" w:hAnsi="Palatino Linotype"/>
          <w:lang w:val="en-GB"/>
        </w:rPr>
        <w:t xml:space="preserve">importance of the </w:t>
      </w:r>
      <w:r w:rsidR="00C90321" w:rsidRPr="0071567C">
        <w:rPr>
          <w:rFonts w:ascii="Palatino Linotype" w:hAnsi="Palatino Linotype"/>
          <w:lang w:val="en-GB"/>
        </w:rPr>
        <w:t xml:space="preserve">bar association </w:t>
      </w:r>
      <w:r w:rsidRPr="0071567C">
        <w:rPr>
          <w:rFonts w:ascii="Palatino Linotype" w:hAnsi="Palatino Linotype"/>
          <w:lang w:val="en-GB"/>
        </w:rPr>
        <w:t xml:space="preserve">in the legal educational process, </w:t>
      </w:r>
      <w:r w:rsidR="004E694C" w:rsidRPr="0071567C">
        <w:rPr>
          <w:rFonts w:ascii="Palatino Linotype" w:hAnsi="Palatino Linotype"/>
          <w:lang w:val="en-GB"/>
        </w:rPr>
        <w:t xml:space="preserve">continental </w:t>
      </w:r>
      <w:r w:rsidRPr="0071567C">
        <w:rPr>
          <w:rFonts w:ascii="Palatino Linotype" w:hAnsi="Palatino Linotype"/>
          <w:lang w:val="en-GB"/>
        </w:rPr>
        <w:t xml:space="preserve">law </w:t>
      </w:r>
      <w:r w:rsidRPr="0071567C">
        <w:rPr>
          <w:rFonts w:ascii="Palatino Linotype" w:hAnsi="Palatino Linotype"/>
          <w:lang w:val="en-GB"/>
        </w:rPr>
        <w:lastRenderedPageBreak/>
        <w:t>schools, reaffirming their own role, have continued to uphold as their exclusive aims the promotion and production of legal culture, maintaining in conformity with such objectives an essentially theoretic teaching methodology</w:t>
      </w:r>
      <w:r w:rsidR="00C90321" w:rsidRPr="0071567C">
        <w:rPr>
          <w:rFonts w:ascii="Palatino Linotype" w:hAnsi="Palatino Linotype"/>
          <w:lang w:val="en-GB"/>
        </w:rPr>
        <w:t>.</w:t>
      </w:r>
      <w:r w:rsidRPr="0071567C">
        <w:rPr>
          <w:rStyle w:val="FootnoteReference"/>
          <w:rFonts w:ascii="Palatino Linotype" w:hAnsi="Palatino Linotype"/>
          <w:lang w:val="en-GB"/>
        </w:rPr>
        <w:footnoteReference w:id="36"/>
      </w:r>
      <w:r w:rsidRPr="0071567C">
        <w:rPr>
          <w:rFonts w:ascii="Palatino Linotype" w:hAnsi="Palatino Linotype"/>
          <w:lang w:val="en-GB"/>
        </w:rPr>
        <w:t xml:space="preserve"> Nevertheless, a number of harsh criticisms levelled against academia consistently over the past 100 years are signs of a disconnect between the law school and</w:t>
      </w:r>
      <w:r w:rsidR="00C90321" w:rsidRPr="0071567C">
        <w:rPr>
          <w:rFonts w:ascii="Palatino Linotype" w:hAnsi="Palatino Linotype"/>
          <w:lang w:val="en-GB"/>
        </w:rPr>
        <w:t xml:space="preserve"> the</w:t>
      </w:r>
      <w:r w:rsidRPr="0071567C">
        <w:rPr>
          <w:rFonts w:ascii="Palatino Linotype" w:hAnsi="Palatino Linotype"/>
          <w:lang w:val="en-GB"/>
        </w:rPr>
        <w:t xml:space="preserve"> wider society. Is there a need for an education that insists on keeping theory and practice apart? </w:t>
      </w:r>
    </w:p>
    <w:p w:rsidR="00246F95" w:rsidRPr="0071567C" w:rsidRDefault="00246F95" w:rsidP="00E67C64">
      <w:pPr>
        <w:autoSpaceDE w:val="0"/>
        <w:autoSpaceDN w:val="0"/>
        <w:adjustRightInd w:val="0"/>
        <w:spacing w:line="480" w:lineRule="auto"/>
        <w:jc w:val="both"/>
        <w:rPr>
          <w:rFonts w:ascii="Palatino Linotype" w:hAnsi="Palatino Linotype"/>
          <w:lang w:val="en-GB"/>
        </w:rPr>
      </w:pPr>
      <w:r w:rsidRPr="0071567C">
        <w:rPr>
          <w:rFonts w:ascii="Palatino Linotype" w:hAnsi="Palatino Linotype"/>
          <w:lang w:val="en-GB"/>
        </w:rPr>
        <w:t>Such criticism is still echoed today in university classrooms and, although it does</w:t>
      </w:r>
      <w:r w:rsidR="0027530E" w:rsidRPr="0071567C">
        <w:rPr>
          <w:rFonts w:ascii="Palatino Linotype" w:hAnsi="Palatino Linotype"/>
          <w:lang w:val="en-GB"/>
        </w:rPr>
        <w:t xml:space="preserve"> </w:t>
      </w:r>
      <w:r w:rsidRPr="0071567C">
        <w:rPr>
          <w:rFonts w:ascii="Palatino Linotype" w:hAnsi="Palatino Linotype"/>
          <w:lang w:val="en-GB"/>
        </w:rPr>
        <w:t>n</w:t>
      </w:r>
      <w:r w:rsidR="0027530E" w:rsidRPr="0071567C">
        <w:rPr>
          <w:rFonts w:ascii="Palatino Linotype" w:hAnsi="Palatino Linotype"/>
          <w:lang w:val="en-GB"/>
        </w:rPr>
        <w:t>o</w:t>
      </w:r>
      <w:r w:rsidRPr="0071567C">
        <w:rPr>
          <w:rFonts w:ascii="Palatino Linotype" w:hAnsi="Palatino Linotype"/>
          <w:lang w:val="en-GB"/>
        </w:rPr>
        <w:t xml:space="preserve">t appear sufficiently supported, in an </w:t>
      </w:r>
      <w:r w:rsidR="00C90321" w:rsidRPr="0071567C">
        <w:rPr>
          <w:rFonts w:ascii="Palatino Linotype" w:hAnsi="Palatino Linotype"/>
          <w:lang w:val="en-GB"/>
        </w:rPr>
        <w:t>‘</w:t>
      </w:r>
      <w:r w:rsidRPr="0071567C">
        <w:rPr>
          <w:rFonts w:ascii="Palatino Linotype" w:hAnsi="Palatino Linotype"/>
          <w:lang w:val="en-GB"/>
        </w:rPr>
        <w:t>atmosphere of dated paralysis</w:t>
      </w:r>
      <w:r w:rsidR="00C90321" w:rsidRPr="0071567C">
        <w:rPr>
          <w:rFonts w:ascii="Palatino Linotype" w:hAnsi="Palatino Linotype"/>
          <w:lang w:val="en-GB"/>
        </w:rPr>
        <w:t>’</w:t>
      </w:r>
      <w:r w:rsidRPr="0071567C">
        <w:rPr>
          <w:rStyle w:val="FootnoteReference"/>
          <w:rFonts w:ascii="Palatino Linotype" w:hAnsi="Palatino Linotype"/>
          <w:lang w:val="en-GB"/>
        </w:rPr>
        <w:footnoteReference w:id="37"/>
      </w:r>
      <w:r w:rsidRPr="0071567C">
        <w:rPr>
          <w:rFonts w:ascii="Palatino Linotype" w:hAnsi="Palatino Linotype"/>
          <w:lang w:val="en-GB"/>
        </w:rPr>
        <w:t xml:space="preserve"> that has perhaps always characterized academia and other institutions under pressure to change, it seems to dictate current (and increasingly noticeable) progressive trends. Recently, in fact there have been attempts directed </w:t>
      </w:r>
      <w:r w:rsidR="00C90321" w:rsidRPr="0071567C">
        <w:rPr>
          <w:rFonts w:ascii="Palatino Linotype" w:hAnsi="Palatino Linotype"/>
          <w:lang w:val="en-GB"/>
        </w:rPr>
        <w:t xml:space="preserve">at integrating </w:t>
      </w:r>
      <w:r w:rsidRPr="0071567C">
        <w:rPr>
          <w:rFonts w:ascii="Palatino Linotype" w:hAnsi="Palatino Linotype"/>
          <w:lang w:val="en-GB"/>
        </w:rPr>
        <w:t>practical components into the curricula, such as some law school initiatives targeted at introducing legal skills courses and legal clinics</w:t>
      </w:r>
      <w:r w:rsidR="00C90321" w:rsidRPr="0071567C">
        <w:rPr>
          <w:rFonts w:ascii="Palatino Linotype" w:hAnsi="Palatino Linotype"/>
          <w:lang w:val="en-GB"/>
        </w:rPr>
        <w:t>.</w:t>
      </w:r>
      <w:r w:rsidRPr="0071567C">
        <w:rPr>
          <w:rStyle w:val="FootnoteReference"/>
          <w:rFonts w:ascii="Palatino Linotype" w:hAnsi="Palatino Linotype"/>
          <w:lang w:val="en-GB"/>
        </w:rPr>
        <w:footnoteReference w:id="38"/>
      </w:r>
      <w:r w:rsidRPr="0071567C">
        <w:rPr>
          <w:rFonts w:ascii="Palatino Linotype" w:hAnsi="Palatino Linotype"/>
          <w:lang w:val="en-GB"/>
        </w:rPr>
        <w:t xml:space="preserve"> Whilst far </w:t>
      </w:r>
      <w:r w:rsidRPr="0071567C">
        <w:rPr>
          <w:rFonts w:ascii="Palatino Linotype" w:hAnsi="Palatino Linotype"/>
          <w:lang w:val="en-GB"/>
        </w:rPr>
        <w:lastRenderedPageBreak/>
        <w:t>from the norm</w:t>
      </w:r>
      <w:r w:rsidR="00C90321" w:rsidRPr="0071567C">
        <w:rPr>
          <w:rFonts w:ascii="Palatino Linotype" w:hAnsi="Palatino Linotype"/>
          <w:lang w:val="en-GB"/>
        </w:rPr>
        <w:t>,</w:t>
      </w:r>
      <w:r w:rsidRPr="0071567C">
        <w:rPr>
          <w:rFonts w:ascii="Palatino Linotype" w:hAnsi="Palatino Linotype"/>
          <w:lang w:val="en-GB"/>
        </w:rPr>
        <w:t xml:space="preserve"> such developments are on the increase across continental Europe. The creation of the clinic network ENCLE </w:t>
      </w:r>
      <w:r w:rsidR="0071567C">
        <w:rPr>
          <w:rFonts w:ascii="Palatino Linotype" w:hAnsi="Palatino Linotype"/>
          <w:lang w:val="en-GB"/>
        </w:rPr>
        <w:t>(European Network for</w:t>
      </w:r>
      <w:r w:rsidR="004E694C" w:rsidRPr="0071567C">
        <w:rPr>
          <w:rFonts w:ascii="Palatino Linotype" w:hAnsi="Palatino Linotype"/>
          <w:lang w:val="en-GB"/>
        </w:rPr>
        <w:t xml:space="preserve"> Clinical Legal Education) </w:t>
      </w:r>
      <w:r w:rsidRPr="0071567C">
        <w:rPr>
          <w:rFonts w:ascii="Palatino Linotype" w:hAnsi="Palatino Linotype"/>
          <w:lang w:val="en-GB"/>
        </w:rPr>
        <w:t>evidences that</w:t>
      </w:r>
      <w:r w:rsidR="00C90321" w:rsidRPr="0071567C">
        <w:rPr>
          <w:rFonts w:ascii="Palatino Linotype" w:hAnsi="Palatino Linotype"/>
          <w:lang w:val="en-GB"/>
        </w:rPr>
        <w:t>.</w:t>
      </w:r>
      <w:r w:rsidR="004E694C" w:rsidRPr="0071567C">
        <w:rPr>
          <w:rStyle w:val="FootnoteReference"/>
          <w:rFonts w:ascii="Palatino Linotype" w:hAnsi="Palatino Linotype"/>
          <w:lang w:val="en-GB"/>
        </w:rPr>
        <w:footnoteReference w:id="39"/>
      </w:r>
      <w:r w:rsidRPr="0071567C">
        <w:rPr>
          <w:rFonts w:ascii="Palatino Linotype" w:hAnsi="Palatino Linotype"/>
          <w:lang w:val="en-GB"/>
        </w:rPr>
        <w:t xml:space="preserve"> One may speculate as to the driving forces</w:t>
      </w:r>
      <w:r w:rsidR="00C90321" w:rsidRPr="0071567C">
        <w:rPr>
          <w:rFonts w:ascii="Palatino Linotype" w:hAnsi="Palatino Linotype"/>
          <w:lang w:val="en-GB"/>
        </w:rPr>
        <w:t>,</w:t>
      </w:r>
      <w:r w:rsidRPr="0071567C">
        <w:rPr>
          <w:rFonts w:ascii="Palatino Linotype" w:hAnsi="Palatino Linotype"/>
          <w:lang w:val="en-GB"/>
        </w:rPr>
        <w:t xml:space="preserve"> but almost certainly this includes the aim of developing a student’s knowledge and practical skills, both</w:t>
      </w:r>
      <w:r w:rsidR="00C90321" w:rsidRPr="0071567C">
        <w:rPr>
          <w:rFonts w:ascii="Palatino Linotype" w:hAnsi="Palatino Linotype"/>
          <w:lang w:val="en-GB"/>
        </w:rPr>
        <w:t xml:space="preserve"> of which are</w:t>
      </w:r>
      <w:r w:rsidRPr="0071567C">
        <w:rPr>
          <w:rFonts w:ascii="Palatino Linotype" w:hAnsi="Palatino Linotype"/>
          <w:lang w:val="en-GB"/>
        </w:rPr>
        <w:t xml:space="preserve"> required of a professional</w:t>
      </w:r>
      <w:r w:rsidR="00C90321" w:rsidRPr="0071567C">
        <w:rPr>
          <w:rFonts w:ascii="Palatino Linotype" w:hAnsi="Palatino Linotype"/>
          <w:lang w:val="en-GB"/>
        </w:rPr>
        <w:t>.</w:t>
      </w:r>
      <w:r w:rsidRPr="0071567C">
        <w:rPr>
          <w:rStyle w:val="FootnoteReference"/>
          <w:rFonts w:ascii="Palatino Linotype" w:hAnsi="Palatino Linotype"/>
          <w:lang w:val="en-GB"/>
        </w:rPr>
        <w:footnoteReference w:id="40"/>
      </w:r>
      <w:r w:rsidRPr="0071567C">
        <w:rPr>
          <w:rFonts w:ascii="Palatino Linotype" w:hAnsi="Palatino Linotype"/>
          <w:lang w:val="en-GB"/>
        </w:rPr>
        <w:t xml:space="preserve"> </w:t>
      </w:r>
    </w:p>
    <w:p w:rsidR="00635F38" w:rsidRPr="0071567C" w:rsidRDefault="00635F38" w:rsidP="00E67C64">
      <w:pPr>
        <w:pStyle w:val="ListParagraph"/>
        <w:numPr>
          <w:ilvl w:val="0"/>
          <w:numId w:val="8"/>
        </w:numPr>
        <w:spacing w:line="480" w:lineRule="auto"/>
        <w:jc w:val="both"/>
        <w:outlineLvl w:val="0"/>
        <w:rPr>
          <w:rFonts w:ascii="Palatino Linotype" w:hAnsi="Palatino Linotype"/>
          <w:szCs w:val="24"/>
          <w:lang w:val="en-GB"/>
        </w:rPr>
      </w:pPr>
      <w:r w:rsidRPr="0071567C">
        <w:rPr>
          <w:rFonts w:ascii="Palatino Linotype" w:hAnsi="Palatino Linotype"/>
          <w:b/>
          <w:color w:val="000000"/>
          <w:szCs w:val="24"/>
          <w:lang w:val="en-GB"/>
        </w:rPr>
        <w:t xml:space="preserve">The role of </w:t>
      </w:r>
      <w:r w:rsidR="00523ABA" w:rsidRPr="0071567C">
        <w:rPr>
          <w:rFonts w:ascii="Palatino Linotype" w:hAnsi="Palatino Linotype"/>
          <w:b/>
          <w:color w:val="000000"/>
          <w:szCs w:val="24"/>
          <w:lang w:val="en-GB"/>
        </w:rPr>
        <w:t xml:space="preserve">clinical legal education </w:t>
      </w:r>
      <w:r w:rsidRPr="0071567C">
        <w:rPr>
          <w:rFonts w:ascii="Palatino Linotype" w:hAnsi="Palatino Linotype"/>
          <w:b/>
          <w:color w:val="000000"/>
          <w:szCs w:val="24"/>
          <w:lang w:val="en-GB"/>
        </w:rPr>
        <w:t xml:space="preserve">in the present and future educational system </w:t>
      </w:r>
    </w:p>
    <w:p w:rsidR="00505CF2" w:rsidRPr="0071567C" w:rsidRDefault="00C90321" w:rsidP="00E67C64">
      <w:pPr>
        <w:autoSpaceDE w:val="0"/>
        <w:autoSpaceDN w:val="0"/>
        <w:adjustRightInd w:val="0"/>
        <w:spacing w:line="480" w:lineRule="auto"/>
        <w:jc w:val="both"/>
        <w:rPr>
          <w:rFonts w:ascii="Palatino Linotype" w:hAnsi="Palatino Linotype"/>
          <w:lang w:val="en-GB"/>
        </w:rPr>
      </w:pPr>
      <w:r w:rsidRPr="0071567C">
        <w:rPr>
          <w:rFonts w:ascii="Palatino Linotype" w:hAnsi="Palatino Linotype"/>
          <w:lang w:val="en-GB"/>
        </w:rPr>
        <w:t xml:space="preserve">In spite </w:t>
      </w:r>
      <w:r w:rsidR="00505CF2" w:rsidRPr="0071567C">
        <w:rPr>
          <w:rFonts w:ascii="Palatino Linotype" w:hAnsi="Palatino Linotype"/>
          <w:lang w:val="en-GB"/>
        </w:rPr>
        <w:t>of cultural differences among different national models of legal education</w:t>
      </w:r>
      <w:r w:rsidRPr="0071567C">
        <w:rPr>
          <w:rFonts w:ascii="Palatino Linotype" w:hAnsi="Palatino Linotype"/>
          <w:lang w:val="en-GB"/>
        </w:rPr>
        <w:t xml:space="preserve"> on the continent</w:t>
      </w:r>
      <w:r w:rsidR="00505CF2" w:rsidRPr="0071567C">
        <w:rPr>
          <w:rFonts w:ascii="Palatino Linotype" w:hAnsi="Palatino Linotype"/>
          <w:lang w:val="en-GB"/>
        </w:rPr>
        <w:t>, the specific requirements imposed by the national law curricula and the different relationship between universities and the relevant professional bodies, a new harmonized trend is emerging in continental Europe: a common and renewed approach to legal education begs a rethink of the curriculum content, embracing knowledge, skills and values</w:t>
      </w:r>
      <w:r w:rsidRPr="0071567C">
        <w:rPr>
          <w:rFonts w:ascii="Palatino Linotype" w:hAnsi="Palatino Linotype"/>
          <w:lang w:val="en-GB"/>
        </w:rPr>
        <w:t>.</w:t>
      </w:r>
      <w:r w:rsidR="00505CF2" w:rsidRPr="0071567C">
        <w:rPr>
          <w:rStyle w:val="FootnoteReference"/>
          <w:rFonts w:ascii="Palatino Linotype" w:hAnsi="Palatino Linotype"/>
          <w:lang w:val="en-GB"/>
        </w:rPr>
        <w:footnoteReference w:id="41"/>
      </w:r>
    </w:p>
    <w:p w:rsidR="00505CF2" w:rsidRPr="0071567C" w:rsidRDefault="00505CF2" w:rsidP="00E67C64">
      <w:pPr>
        <w:autoSpaceDE w:val="0"/>
        <w:autoSpaceDN w:val="0"/>
        <w:adjustRightInd w:val="0"/>
        <w:spacing w:line="480" w:lineRule="auto"/>
        <w:jc w:val="both"/>
        <w:rPr>
          <w:rFonts w:ascii="Palatino Linotype" w:hAnsi="Palatino Linotype"/>
          <w:lang w:val="en-GB"/>
        </w:rPr>
      </w:pPr>
      <w:r w:rsidRPr="0071567C">
        <w:rPr>
          <w:rFonts w:ascii="Palatino Linotype" w:hAnsi="Palatino Linotype"/>
          <w:lang w:val="en-GB"/>
        </w:rPr>
        <w:t xml:space="preserve">In this </w:t>
      </w:r>
      <w:r w:rsidR="00C90321" w:rsidRPr="0071567C">
        <w:rPr>
          <w:rFonts w:ascii="Palatino Linotype" w:hAnsi="Palatino Linotype"/>
          <w:lang w:val="en-GB"/>
        </w:rPr>
        <w:t xml:space="preserve">latest </w:t>
      </w:r>
      <w:r w:rsidRPr="0071567C">
        <w:rPr>
          <w:rFonts w:ascii="Palatino Linotype" w:hAnsi="Palatino Linotype"/>
          <w:lang w:val="en-GB"/>
        </w:rPr>
        <w:t>process of reform, the mission of law schools and the mission of post-</w:t>
      </w:r>
      <w:r w:rsidRPr="0071567C">
        <w:rPr>
          <w:rFonts w:ascii="Palatino Linotype" w:hAnsi="Palatino Linotype"/>
          <w:color w:val="000000"/>
          <w:lang w:val="en-GB"/>
        </w:rPr>
        <w:t xml:space="preserve">university training associations (bar associations, professional schools and in some instances universities), while maintaining their own specificities, tend to </w:t>
      </w:r>
      <w:r w:rsidRPr="0071567C">
        <w:rPr>
          <w:rFonts w:ascii="Palatino Linotype" w:hAnsi="Palatino Linotype"/>
          <w:lang w:val="en-GB"/>
        </w:rPr>
        <w:t xml:space="preserve">converge: they each provide </w:t>
      </w:r>
      <w:r w:rsidRPr="0071567C">
        <w:rPr>
          <w:rFonts w:ascii="Palatino Linotype" w:hAnsi="Palatino Linotype"/>
          <w:lang w:val="en-GB"/>
        </w:rPr>
        <w:lastRenderedPageBreak/>
        <w:t xml:space="preserve">knowledge, skills, competences, ability for a defined market; students are </w:t>
      </w:r>
      <w:r w:rsidR="008433B1" w:rsidRPr="0071567C">
        <w:rPr>
          <w:rFonts w:ascii="Palatino Linotype" w:hAnsi="Palatino Linotype"/>
          <w:lang w:val="en-GB"/>
        </w:rPr>
        <w:t>required</w:t>
      </w:r>
      <w:r w:rsidRPr="0071567C">
        <w:rPr>
          <w:rFonts w:ascii="Palatino Linotype" w:hAnsi="Palatino Linotype"/>
          <w:lang w:val="en-GB"/>
        </w:rPr>
        <w:t xml:space="preserve"> to master theoretical</w:t>
      </w:r>
      <w:r w:rsidR="008433B1" w:rsidRPr="0071567C">
        <w:rPr>
          <w:rFonts w:ascii="Palatino Linotype" w:hAnsi="Palatino Linotype"/>
          <w:lang w:val="en-GB"/>
        </w:rPr>
        <w:t xml:space="preserve"> legal</w:t>
      </w:r>
      <w:r w:rsidRPr="0071567C">
        <w:rPr>
          <w:rFonts w:ascii="Palatino Linotype" w:hAnsi="Palatino Linotype"/>
          <w:lang w:val="en-GB"/>
        </w:rPr>
        <w:t xml:space="preserve"> concepts </w:t>
      </w:r>
      <w:r w:rsidR="008433B1" w:rsidRPr="0071567C">
        <w:rPr>
          <w:rFonts w:ascii="Palatino Linotype" w:hAnsi="Palatino Linotype"/>
          <w:lang w:val="en-GB"/>
        </w:rPr>
        <w:t>as well as</w:t>
      </w:r>
      <w:r w:rsidRPr="0071567C">
        <w:rPr>
          <w:rFonts w:ascii="Palatino Linotype" w:hAnsi="Palatino Linotype"/>
          <w:lang w:val="en-GB"/>
        </w:rPr>
        <w:t xml:space="preserve"> to meet standards of technical competency</w:t>
      </w:r>
      <w:r w:rsidR="008433B1" w:rsidRPr="0071567C">
        <w:rPr>
          <w:rFonts w:ascii="Palatino Linotype" w:hAnsi="Palatino Linotype"/>
          <w:lang w:val="en-GB"/>
        </w:rPr>
        <w:t xml:space="preserve">, in order to understand law in its operational context and aspire to be future </w:t>
      </w:r>
      <w:r w:rsidRPr="0071567C">
        <w:rPr>
          <w:rFonts w:ascii="Palatino Linotype" w:hAnsi="Palatino Linotype"/>
          <w:lang w:val="en-GB"/>
        </w:rPr>
        <w:t>ethical</w:t>
      </w:r>
      <w:r w:rsidR="008433B1" w:rsidRPr="0071567C">
        <w:rPr>
          <w:rFonts w:ascii="Palatino Linotype" w:hAnsi="Palatino Linotype"/>
          <w:lang w:val="en-GB"/>
        </w:rPr>
        <w:t xml:space="preserve"> and competent professionals.</w:t>
      </w:r>
    </w:p>
    <w:p w:rsidR="007E73D2" w:rsidRPr="0071567C" w:rsidRDefault="00C32A98" w:rsidP="00E67C64">
      <w:pPr>
        <w:autoSpaceDE w:val="0"/>
        <w:autoSpaceDN w:val="0"/>
        <w:adjustRightInd w:val="0"/>
        <w:spacing w:line="480" w:lineRule="auto"/>
        <w:jc w:val="both"/>
        <w:rPr>
          <w:rFonts w:ascii="Palatino Linotype" w:hAnsi="Palatino Linotype"/>
          <w:lang w:val="en-GB"/>
        </w:rPr>
      </w:pPr>
      <w:r w:rsidRPr="0071567C">
        <w:rPr>
          <w:rFonts w:ascii="Palatino Linotype" w:hAnsi="Palatino Linotype"/>
          <w:lang w:val="en-GB"/>
        </w:rPr>
        <w:t xml:space="preserve">Experiential learning, in general, and </w:t>
      </w:r>
      <w:r w:rsidR="00631AFC" w:rsidRPr="0071567C">
        <w:rPr>
          <w:rFonts w:ascii="Palatino Linotype" w:hAnsi="Palatino Linotype"/>
          <w:lang w:val="en-GB"/>
        </w:rPr>
        <w:t>clinical legal education</w:t>
      </w:r>
      <w:r w:rsidRPr="0071567C">
        <w:rPr>
          <w:rFonts w:ascii="Palatino Linotype" w:hAnsi="Palatino Linotype"/>
          <w:lang w:val="en-GB"/>
        </w:rPr>
        <w:t>, in particular, m</w:t>
      </w:r>
      <w:r w:rsidR="002C5216" w:rsidRPr="0071567C">
        <w:rPr>
          <w:rFonts w:ascii="Palatino Linotype" w:hAnsi="Palatino Linotype"/>
          <w:lang w:val="en-GB"/>
        </w:rPr>
        <w:t>ay</w:t>
      </w:r>
      <w:r w:rsidRPr="0071567C">
        <w:rPr>
          <w:rFonts w:ascii="Palatino Linotype" w:hAnsi="Palatino Linotype"/>
          <w:lang w:val="en-GB"/>
        </w:rPr>
        <w:t xml:space="preserve"> constitute valuable tools </w:t>
      </w:r>
      <w:r w:rsidR="00631AFC" w:rsidRPr="0071567C">
        <w:rPr>
          <w:rFonts w:ascii="Palatino Linotype" w:hAnsi="Palatino Linotype"/>
          <w:lang w:val="en-GB"/>
        </w:rPr>
        <w:t xml:space="preserve">for </w:t>
      </w:r>
      <w:r w:rsidRPr="0071567C">
        <w:rPr>
          <w:rFonts w:ascii="Palatino Linotype" w:hAnsi="Palatino Linotype"/>
          <w:lang w:val="en-GB"/>
        </w:rPr>
        <w:t xml:space="preserve">tackling the challenges and </w:t>
      </w:r>
      <w:r w:rsidR="00015AE1" w:rsidRPr="0071567C">
        <w:rPr>
          <w:rFonts w:ascii="Palatino Linotype" w:hAnsi="Palatino Linotype"/>
          <w:lang w:val="en-GB"/>
        </w:rPr>
        <w:t>meet</w:t>
      </w:r>
      <w:r w:rsidRPr="0071567C">
        <w:rPr>
          <w:rFonts w:ascii="Palatino Linotype" w:hAnsi="Palatino Linotype"/>
          <w:lang w:val="en-GB"/>
        </w:rPr>
        <w:t xml:space="preserve"> the needs</w:t>
      </w:r>
      <w:r w:rsidR="00015AE1" w:rsidRPr="0071567C">
        <w:rPr>
          <w:rFonts w:ascii="Palatino Linotype" w:hAnsi="Palatino Linotype"/>
          <w:lang w:val="en-GB"/>
        </w:rPr>
        <w:t xml:space="preserve"> of the </w:t>
      </w:r>
      <w:r w:rsidR="007E73D2" w:rsidRPr="0071567C">
        <w:rPr>
          <w:rFonts w:ascii="Palatino Linotype" w:hAnsi="Palatino Linotype"/>
          <w:lang w:val="en-GB"/>
        </w:rPr>
        <w:t xml:space="preserve">current and </w:t>
      </w:r>
      <w:r w:rsidR="00015AE1" w:rsidRPr="0071567C">
        <w:rPr>
          <w:rFonts w:ascii="Palatino Linotype" w:hAnsi="Palatino Linotype"/>
          <w:lang w:val="en-GB"/>
        </w:rPr>
        <w:t>renewed educational context</w:t>
      </w:r>
      <w:r w:rsidRPr="0071567C">
        <w:rPr>
          <w:rFonts w:ascii="Palatino Linotype" w:hAnsi="Palatino Linotype"/>
          <w:lang w:val="en-GB"/>
        </w:rPr>
        <w:t>.</w:t>
      </w:r>
    </w:p>
    <w:p w:rsidR="00F30D76" w:rsidRPr="0071567C" w:rsidRDefault="007E73D2" w:rsidP="00E67C64">
      <w:pPr>
        <w:autoSpaceDE w:val="0"/>
        <w:autoSpaceDN w:val="0"/>
        <w:adjustRightInd w:val="0"/>
        <w:spacing w:line="480" w:lineRule="auto"/>
        <w:jc w:val="both"/>
        <w:rPr>
          <w:rFonts w:ascii="Palatino Linotype" w:hAnsi="Palatino Linotype"/>
          <w:lang w:val="en-GB"/>
        </w:rPr>
      </w:pPr>
      <w:r w:rsidRPr="0071567C">
        <w:rPr>
          <w:rFonts w:ascii="Palatino Linotype" w:hAnsi="Palatino Linotype"/>
          <w:lang w:val="en-GB"/>
        </w:rPr>
        <w:t xml:space="preserve">Firstly, </w:t>
      </w:r>
      <w:r w:rsidR="00631AFC" w:rsidRPr="0071567C">
        <w:rPr>
          <w:rFonts w:ascii="Palatino Linotype" w:hAnsi="Palatino Linotype"/>
          <w:lang w:val="en-GB"/>
        </w:rPr>
        <w:t xml:space="preserve">clinical legal education </w:t>
      </w:r>
      <w:r w:rsidRPr="0071567C">
        <w:rPr>
          <w:rFonts w:ascii="Palatino Linotype" w:hAnsi="Palatino Linotype"/>
          <w:lang w:val="en-GB"/>
        </w:rPr>
        <w:t>is a pedagogical mean</w:t>
      </w:r>
      <w:r w:rsidR="00631AFC" w:rsidRPr="0071567C">
        <w:rPr>
          <w:rFonts w:ascii="Palatino Linotype" w:hAnsi="Palatino Linotype"/>
          <w:lang w:val="en-GB"/>
        </w:rPr>
        <w:t>s</w:t>
      </w:r>
      <w:r w:rsidRPr="0071567C">
        <w:rPr>
          <w:rFonts w:ascii="Palatino Linotype" w:hAnsi="Palatino Linotype"/>
          <w:lang w:val="en-GB"/>
        </w:rPr>
        <w:t xml:space="preserve"> that permits the application of theory</w:t>
      </w:r>
      <w:r w:rsidR="00F30D76" w:rsidRPr="0071567C">
        <w:rPr>
          <w:rFonts w:ascii="Palatino Linotype" w:hAnsi="Palatino Linotype"/>
          <w:lang w:val="en-GB"/>
        </w:rPr>
        <w:t xml:space="preserve"> to real or realistic (in case of simulation) case</w:t>
      </w:r>
      <w:r w:rsidR="00631AFC" w:rsidRPr="0071567C">
        <w:rPr>
          <w:rFonts w:ascii="Palatino Linotype" w:hAnsi="Palatino Linotype"/>
          <w:lang w:val="en-GB"/>
        </w:rPr>
        <w:t>s</w:t>
      </w:r>
      <w:r w:rsidR="00F30D76" w:rsidRPr="0071567C">
        <w:rPr>
          <w:rFonts w:ascii="Palatino Linotype" w:hAnsi="Palatino Linotype"/>
          <w:lang w:val="en-GB"/>
        </w:rPr>
        <w:t xml:space="preserve"> in order to</w:t>
      </w:r>
      <w:r w:rsidRPr="0071567C">
        <w:rPr>
          <w:rFonts w:ascii="Palatino Linotype" w:hAnsi="Palatino Linotype"/>
          <w:lang w:val="en-GB"/>
        </w:rPr>
        <w:t xml:space="preserve"> understand </w:t>
      </w:r>
      <w:r w:rsidR="00F30D76" w:rsidRPr="0071567C">
        <w:rPr>
          <w:rFonts w:ascii="Palatino Linotype" w:hAnsi="Palatino Linotype"/>
          <w:lang w:val="en-GB"/>
        </w:rPr>
        <w:t>the</w:t>
      </w:r>
      <w:r w:rsidRPr="0071567C">
        <w:rPr>
          <w:rFonts w:ascii="Palatino Linotype" w:hAnsi="Palatino Linotype"/>
          <w:lang w:val="en-GB"/>
        </w:rPr>
        <w:t xml:space="preserve"> law in practice</w:t>
      </w:r>
      <w:r w:rsidR="00F30D76" w:rsidRPr="0071567C">
        <w:rPr>
          <w:rFonts w:ascii="Palatino Linotype" w:hAnsi="Palatino Linotype"/>
          <w:lang w:val="en-GB"/>
        </w:rPr>
        <w:t xml:space="preserve">: students </w:t>
      </w:r>
      <w:r w:rsidR="002C5792" w:rsidRPr="0071567C">
        <w:rPr>
          <w:rFonts w:ascii="Palatino Linotype" w:hAnsi="Palatino Linotype"/>
          <w:lang w:val="en-GB"/>
        </w:rPr>
        <w:t>gain the opportunity to discover the law in its operational context, to discuss the meaning of the rules, to question the needs of reform as well as to appreciate the role of the law in society</w:t>
      </w:r>
      <w:r w:rsidR="00631AFC" w:rsidRPr="0071567C">
        <w:rPr>
          <w:rFonts w:ascii="Palatino Linotype" w:hAnsi="Palatino Linotype"/>
          <w:lang w:val="en-GB"/>
        </w:rPr>
        <w:t>.</w:t>
      </w:r>
      <w:r w:rsidR="002C5792" w:rsidRPr="0071567C">
        <w:rPr>
          <w:rStyle w:val="FootnoteReference"/>
          <w:rFonts w:ascii="Palatino Linotype" w:hAnsi="Palatino Linotype"/>
          <w:lang w:val="en-GB"/>
        </w:rPr>
        <w:footnoteReference w:id="42"/>
      </w:r>
    </w:p>
    <w:p w:rsidR="001270EB" w:rsidRPr="0071567C" w:rsidRDefault="00F30D76" w:rsidP="00E67C64">
      <w:pPr>
        <w:autoSpaceDE w:val="0"/>
        <w:autoSpaceDN w:val="0"/>
        <w:adjustRightInd w:val="0"/>
        <w:spacing w:line="480" w:lineRule="auto"/>
        <w:jc w:val="both"/>
        <w:rPr>
          <w:rFonts w:ascii="Palatino Linotype" w:hAnsi="Palatino Linotype"/>
          <w:lang w:val="en-GB"/>
        </w:rPr>
      </w:pPr>
      <w:r w:rsidRPr="0071567C">
        <w:rPr>
          <w:rFonts w:ascii="Palatino Linotype" w:hAnsi="Palatino Linotype"/>
          <w:lang w:val="en-GB"/>
        </w:rPr>
        <w:t>Mor</w:t>
      </w:r>
      <w:r w:rsidR="004539FA" w:rsidRPr="0071567C">
        <w:rPr>
          <w:rFonts w:ascii="Palatino Linotype" w:hAnsi="Palatino Linotype"/>
          <w:lang w:val="en-GB"/>
        </w:rPr>
        <w:t xml:space="preserve">eover, </w:t>
      </w:r>
      <w:r w:rsidRPr="0071567C">
        <w:rPr>
          <w:rFonts w:ascii="Palatino Linotype" w:hAnsi="Palatino Linotype"/>
          <w:lang w:val="en-GB"/>
        </w:rPr>
        <w:t xml:space="preserve">the clinical method </w:t>
      </w:r>
      <w:r w:rsidR="007E73D2" w:rsidRPr="0071567C">
        <w:rPr>
          <w:rFonts w:ascii="Palatino Linotype" w:hAnsi="Palatino Linotype"/>
          <w:lang w:val="en-GB"/>
        </w:rPr>
        <w:t>provide</w:t>
      </w:r>
      <w:r w:rsidRPr="0071567C">
        <w:rPr>
          <w:rFonts w:ascii="Palatino Linotype" w:hAnsi="Palatino Linotype"/>
          <w:lang w:val="en-GB"/>
        </w:rPr>
        <w:t>s</w:t>
      </w:r>
      <w:r w:rsidR="007E73D2" w:rsidRPr="0071567C">
        <w:rPr>
          <w:rFonts w:ascii="Palatino Linotype" w:hAnsi="Palatino Linotype"/>
          <w:lang w:val="en-GB"/>
        </w:rPr>
        <w:t xml:space="preserve"> the understanding and acquisition of lawyering skills</w:t>
      </w:r>
      <w:r w:rsidRPr="0071567C">
        <w:rPr>
          <w:rFonts w:ascii="Palatino Linotype" w:hAnsi="Palatino Linotype"/>
          <w:lang w:val="en-GB"/>
        </w:rPr>
        <w:t xml:space="preserve"> (such </w:t>
      </w:r>
      <w:r w:rsidR="00EC7D25" w:rsidRPr="0071567C">
        <w:rPr>
          <w:rFonts w:ascii="Palatino Linotype" w:hAnsi="Palatino Linotype"/>
          <w:lang w:val="en-GB"/>
        </w:rPr>
        <w:t>a</w:t>
      </w:r>
      <w:r w:rsidRPr="0071567C">
        <w:rPr>
          <w:rFonts w:ascii="Palatino Linotype" w:hAnsi="Palatino Linotype"/>
          <w:lang w:val="en-GB"/>
        </w:rPr>
        <w:t>s fact-finding, client</w:t>
      </w:r>
      <w:r w:rsidR="00230A86" w:rsidRPr="0071567C">
        <w:rPr>
          <w:rFonts w:ascii="Palatino Linotype" w:hAnsi="Palatino Linotype"/>
          <w:lang w:val="en-GB"/>
        </w:rPr>
        <w:t>s</w:t>
      </w:r>
      <w:r w:rsidRPr="0071567C">
        <w:rPr>
          <w:rFonts w:ascii="Palatino Linotype" w:hAnsi="Palatino Linotype"/>
          <w:lang w:val="en-GB"/>
        </w:rPr>
        <w:t xml:space="preserve"> inter</w:t>
      </w:r>
      <w:r w:rsidR="00230A86" w:rsidRPr="0071567C">
        <w:rPr>
          <w:rFonts w:ascii="Palatino Linotype" w:hAnsi="Palatino Linotype"/>
          <w:lang w:val="en-GB"/>
        </w:rPr>
        <w:t>viewing,</w:t>
      </w:r>
      <w:r w:rsidR="00C96D66" w:rsidRPr="0071567C">
        <w:rPr>
          <w:rFonts w:ascii="Palatino Linotype" w:hAnsi="Palatino Linotype"/>
          <w:lang w:val="en-GB"/>
        </w:rPr>
        <w:t xml:space="preserve"> legal drafting, ADR methods and so on)</w:t>
      </w:r>
      <w:r w:rsidR="00230A86" w:rsidRPr="0071567C">
        <w:rPr>
          <w:rFonts w:ascii="Palatino Linotype" w:hAnsi="Palatino Linotype"/>
          <w:lang w:val="en-GB"/>
        </w:rPr>
        <w:t xml:space="preserve"> </w:t>
      </w:r>
      <w:r w:rsidR="004539FA" w:rsidRPr="0071567C">
        <w:rPr>
          <w:rFonts w:ascii="Palatino Linotype" w:hAnsi="Palatino Linotype"/>
          <w:lang w:val="en-GB"/>
        </w:rPr>
        <w:t>as well as of</w:t>
      </w:r>
      <w:r w:rsidR="007E73D2" w:rsidRPr="0071567C">
        <w:rPr>
          <w:rFonts w:ascii="Palatino Linotype" w:hAnsi="Palatino Linotype"/>
          <w:lang w:val="en-GB"/>
        </w:rPr>
        <w:t xml:space="preserve"> the development of professional responsibility and wider ethical values. </w:t>
      </w:r>
      <w:r w:rsidR="001270EB" w:rsidRPr="0071567C">
        <w:rPr>
          <w:rFonts w:ascii="Palatino Linotype" w:hAnsi="Palatino Linotype"/>
          <w:lang w:val="en-GB"/>
        </w:rPr>
        <w:t>Students are required to work as legal professionals</w:t>
      </w:r>
      <w:r w:rsidR="00631AFC" w:rsidRPr="0071567C">
        <w:rPr>
          <w:rFonts w:ascii="Palatino Linotype" w:hAnsi="Palatino Linotype"/>
          <w:lang w:val="en-GB"/>
        </w:rPr>
        <w:t>;</w:t>
      </w:r>
      <w:r w:rsidR="001270EB" w:rsidRPr="0071567C">
        <w:rPr>
          <w:rFonts w:ascii="Palatino Linotype" w:hAnsi="Palatino Linotype"/>
          <w:lang w:val="en-GB"/>
        </w:rPr>
        <w:t xml:space="preserve"> in other words, they </w:t>
      </w:r>
      <w:r w:rsidR="00631AFC" w:rsidRPr="0071567C">
        <w:rPr>
          <w:rFonts w:ascii="Palatino Linotype" w:hAnsi="Palatino Linotype"/>
          <w:lang w:val="en-GB"/>
        </w:rPr>
        <w:t xml:space="preserve">have to </w:t>
      </w:r>
      <w:r w:rsidR="001270EB" w:rsidRPr="0071567C">
        <w:rPr>
          <w:rFonts w:ascii="Palatino Linotype" w:hAnsi="Palatino Linotype"/>
          <w:lang w:val="en-GB"/>
        </w:rPr>
        <w:t>act with competence and ability in the interest of the client</w:t>
      </w:r>
      <w:r w:rsidR="00777E04" w:rsidRPr="0071567C">
        <w:rPr>
          <w:rFonts w:ascii="Palatino Linotype" w:hAnsi="Palatino Linotype"/>
          <w:lang w:val="en-GB"/>
        </w:rPr>
        <w:t xml:space="preserve"> and </w:t>
      </w:r>
      <w:r w:rsidR="001270EB" w:rsidRPr="0071567C">
        <w:rPr>
          <w:rFonts w:ascii="Palatino Linotype" w:hAnsi="Palatino Linotype"/>
          <w:lang w:val="en-GB"/>
        </w:rPr>
        <w:t>be</w:t>
      </w:r>
      <w:r w:rsidR="006D05C9" w:rsidRPr="0071567C">
        <w:rPr>
          <w:rFonts w:ascii="Palatino Linotype" w:hAnsi="Palatino Linotype"/>
          <w:lang w:val="en-GB"/>
        </w:rPr>
        <w:t>come</w:t>
      </w:r>
      <w:r w:rsidR="001270EB" w:rsidRPr="0071567C">
        <w:rPr>
          <w:rFonts w:ascii="Palatino Linotype" w:hAnsi="Palatino Linotype"/>
          <w:lang w:val="en-GB"/>
        </w:rPr>
        <w:t xml:space="preserve"> aware of</w:t>
      </w:r>
      <w:r w:rsidR="00631AFC" w:rsidRPr="0071567C">
        <w:rPr>
          <w:rFonts w:ascii="Palatino Linotype" w:hAnsi="Palatino Linotype"/>
          <w:lang w:val="en-GB"/>
        </w:rPr>
        <w:t xml:space="preserve"> the</w:t>
      </w:r>
      <w:r w:rsidR="001270EB" w:rsidRPr="0071567C">
        <w:rPr>
          <w:rFonts w:ascii="Palatino Linotype" w:hAnsi="Palatino Linotype"/>
          <w:lang w:val="en-GB"/>
        </w:rPr>
        <w:t xml:space="preserve"> social relevance of their role</w:t>
      </w:r>
      <w:r w:rsidR="00777E04" w:rsidRPr="0071567C">
        <w:rPr>
          <w:rFonts w:ascii="Palatino Linotype" w:hAnsi="Palatino Linotype"/>
          <w:lang w:val="en-GB"/>
        </w:rPr>
        <w:t xml:space="preserve">, </w:t>
      </w:r>
      <w:r w:rsidR="001270EB" w:rsidRPr="0071567C">
        <w:rPr>
          <w:rFonts w:ascii="Palatino Linotype" w:hAnsi="Palatino Linotype"/>
          <w:lang w:val="en-GB"/>
        </w:rPr>
        <w:t>acting accordingly, assuming responsibility for their behavio</w:t>
      </w:r>
      <w:r w:rsidR="00631AFC" w:rsidRPr="0071567C">
        <w:rPr>
          <w:rFonts w:ascii="Palatino Linotype" w:hAnsi="Palatino Linotype"/>
          <w:lang w:val="en-GB"/>
        </w:rPr>
        <w:t>u</w:t>
      </w:r>
      <w:r w:rsidR="001270EB" w:rsidRPr="0071567C">
        <w:rPr>
          <w:rFonts w:ascii="Palatino Linotype" w:hAnsi="Palatino Linotype"/>
          <w:lang w:val="en-GB"/>
        </w:rPr>
        <w:t>r and facing the consequences of their action</w:t>
      </w:r>
      <w:r w:rsidR="00A37DFD" w:rsidRPr="0071567C">
        <w:rPr>
          <w:rFonts w:ascii="Palatino Linotype" w:hAnsi="Palatino Linotype"/>
          <w:lang w:val="en-GB"/>
        </w:rPr>
        <w:t>s</w:t>
      </w:r>
      <w:r w:rsidR="001270EB" w:rsidRPr="0071567C">
        <w:rPr>
          <w:rFonts w:ascii="Palatino Linotype" w:hAnsi="Palatino Linotype"/>
          <w:lang w:val="en-GB"/>
        </w:rPr>
        <w:t xml:space="preserve">. </w:t>
      </w:r>
    </w:p>
    <w:p w:rsidR="00197956" w:rsidRPr="0071567C" w:rsidRDefault="006D05C9" w:rsidP="00E67C64">
      <w:pPr>
        <w:pStyle w:val="NormalWeb"/>
        <w:spacing w:before="0" w:beforeAutospacing="0" w:after="0" w:afterAutospacing="0" w:line="480" w:lineRule="auto"/>
        <w:jc w:val="both"/>
        <w:rPr>
          <w:rFonts w:ascii="Palatino Linotype" w:eastAsia="Times New Roman" w:hAnsi="Palatino Linotype"/>
          <w:lang w:val="en-GB"/>
        </w:rPr>
      </w:pPr>
      <w:r w:rsidRPr="0071567C">
        <w:rPr>
          <w:rFonts w:ascii="Palatino Linotype" w:hAnsi="Palatino Linotype"/>
          <w:lang w:val="en-GB"/>
        </w:rPr>
        <w:lastRenderedPageBreak/>
        <w:t>Furthermore</w:t>
      </w:r>
      <w:r w:rsidR="00777E04" w:rsidRPr="0071567C">
        <w:rPr>
          <w:rFonts w:ascii="Palatino Linotype" w:hAnsi="Palatino Linotype"/>
          <w:lang w:val="en-GB"/>
        </w:rPr>
        <w:t xml:space="preserve">, </w:t>
      </w:r>
      <w:r w:rsidR="00A37DFD" w:rsidRPr="0071567C">
        <w:rPr>
          <w:rFonts w:ascii="Palatino Linotype" w:hAnsi="Palatino Linotype"/>
          <w:lang w:val="en-GB"/>
        </w:rPr>
        <w:t>unlike what happens in real life, universities are</w:t>
      </w:r>
      <w:r w:rsidR="00631AFC" w:rsidRPr="0071567C">
        <w:rPr>
          <w:rFonts w:ascii="Palatino Linotype" w:hAnsi="Palatino Linotype"/>
          <w:lang w:val="en-GB"/>
        </w:rPr>
        <w:t xml:space="preserve"> a</w:t>
      </w:r>
      <w:r w:rsidR="00A37DFD" w:rsidRPr="0071567C">
        <w:rPr>
          <w:rFonts w:ascii="Palatino Linotype" w:hAnsi="Palatino Linotype"/>
          <w:lang w:val="en-GB"/>
        </w:rPr>
        <w:t xml:space="preserve"> </w:t>
      </w:r>
      <w:r w:rsidR="00631AFC" w:rsidRPr="0071567C">
        <w:rPr>
          <w:rFonts w:ascii="Palatino Linotype" w:hAnsi="Palatino Linotype"/>
          <w:lang w:val="en-GB"/>
        </w:rPr>
        <w:t>‘</w:t>
      </w:r>
      <w:r w:rsidR="00A37DFD" w:rsidRPr="0071567C">
        <w:rPr>
          <w:rFonts w:ascii="Palatino Linotype" w:hAnsi="Palatino Linotype"/>
          <w:lang w:val="en-GB"/>
        </w:rPr>
        <w:t>place where the learning can be guided, can be structured, can be taught rather than merely learned</w:t>
      </w:r>
      <w:r w:rsidR="00631AFC" w:rsidRPr="0071567C">
        <w:rPr>
          <w:rFonts w:ascii="Palatino Linotype" w:hAnsi="Palatino Linotype"/>
          <w:lang w:val="en-GB"/>
        </w:rPr>
        <w:t>’.</w:t>
      </w:r>
      <w:r w:rsidR="00A37DFD" w:rsidRPr="0071567C">
        <w:rPr>
          <w:rStyle w:val="FootnoteReference"/>
          <w:rFonts w:ascii="Palatino Linotype" w:hAnsi="Palatino Linotype"/>
          <w:lang w:val="en-GB"/>
        </w:rPr>
        <w:footnoteReference w:id="43"/>
      </w:r>
      <w:r w:rsidR="00A37DFD" w:rsidRPr="0071567C">
        <w:rPr>
          <w:rFonts w:ascii="Palatino Linotype" w:hAnsi="Palatino Linotype"/>
          <w:lang w:val="en-GB"/>
        </w:rPr>
        <w:t xml:space="preserve"> </w:t>
      </w:r>
      <w:r w:rsidR="00784401" w:rsidRPr="0071567C">
        <w:rPr>
          <w:rFonts w:ascii="Palatino Linotype" w:hAnsi="Palatino Linotype"/>
          <w:lang w:val="en-GB"/>
        </w:rPr>
        <w:t xml:space="preserve">Law </w:t>
      </w:r>
      <w:r w:rsidR="00631AFC" w:rsidRPr="0071567C">
        <w:rPr>
          <w:rFonts w:ascii="Palatino Linotype" w:hAnsi="Palatino Linotype"/>
          <w:lang w:val="en-GB"/>
        </w:rPr>
        <w:t xml:space="preserve">schools </w:t>
      </w:r>
      <w:r w:rsidR="00784401" w:rsidRPr="0071567C">
        <w:rPr>
          <w:rFonts w:ascii="Palatino Linotype" w:hAnsi="Palatino Linotype"/>
          <w:lang w:val="en-GB"/>
        </w:rPr>
        <w:t>represent a</w:t>
      </w:r>
      <w:r w:rsidR="00A37DFD" w:rsidRPr="0071567C">
        <w:rPr>
          <w:rFonts w:ascii="Palatino Linotype" w:hAnsi="Palatino Linotype"/>
          <w:lang w:val="en-GB"/>
        </w:rPr>
        <w:t xml:space="preserve"> privileged context </w:t>
      </w:r>
      <w:r w:rsidR="00784401" w:rsidRPr="0071567C">
        <w:rPr>
          <w:rFonts w:ascii="Palatino Linotype" w:hAnsi="Palatino Linotype"/>
          <w:lang w:val="en-GB"/>
        </w:rPr>
        <w:t xml:space="preserve">in which, under the competent supervision of academics and professionals, students can experience </w:t>
      </w:r>
      <w:r w:rsidRPr="0071567C">
        <w:rPr>
          <w:rFonts w:ascii="Palatino Linotype" w:hAnsi="Palatino Linotype"/>
          <w:lang w:val="en-GB"/>
        </w:rPr>
        <w:t xml:space="preserve">the power of </w:t>
      </w:r>
      <w:r w:rsidR="00D02E87" w:rsidRPr="0071567C">
        <w:rPr>
          <w:rFonts w:ascii="Palatino Linotype" w:hAnsi="Palatino Linotype"/>
          <w:lang w:val="en-GB"/>
        </w:rPr>
        <w:t>reflective learning</w:t>
      </w:r>
      <w:r w:rsidR="00784401" w:rsidRPr="0071567C">
        <w:rPr>
          <w:rFonts w:ascii="Palatino Linotype" w:hAnsi="Palatino Linotype"/>
          <w:lang w:val="en-GB"/>
        </w:rPr>
        <w:t xml:space="preserve">. </w:t>
      </w:r>
      <w:r w:rsidRPr="0071567C">
        <w:rPr>
          <w:rFonts w:ascii="Palatino Linotype" w:hAnsi="Palatino Linotype"/>
          <w:lang w:val="en-GB"/>
        </w:rPr>
        <w:t xml:space="preserve">Students are required to move between action and reflection, visit and revisit the experience, </w:t>
      </w:r>
      <w:r w:rsidRPr="0071567C">
        <w:rPr>
          <w:rFonts w:ascii="Palatino Linotype" w:eastAsia="Times New Roman" w:hAnsi="Palatino Linotype"/>
          <w:lang w:val="en-GB"/>
        </w:rPr>
        <w:t>thinking about what has been done, deepening the reasons underpinning actions, wondering how else they could have acted, trying to act differently if needed and appreciate the new consequences. In this way, the reflection</w:t>
      </w:r>
      <w:r w:rsidR="00631AFC" w:rsidRPr="0071567C">
        <w:rPr>
          <w:rFonts w:ascii="Palatino Linotype" w:eastAsia="Times New Roman" w:hAnsi="Palatino Linotype"/>
          <w:lang w:val="en-GB"/>
        </w:rPr>
        <w:t xml:space="preserve"> also</w:t>
      </w:r>
      <w:r w:rsidRPr="0071567C">
        <w:rPr>
          <w:rFonts w:ascii="Palatino Linotype" w:eastAsia="Times New Roman" w:hAnsi="Palatino Linotype"/>
          <w:lang w:val="en-GB"/>
        </w:rPr>
        <w:t xml:space="preserve"> serve</w:t>
      </w:r>
      <w:r w:rsidR="00631AFC" w:rsidRPr="0071567C">
        <w:rPr>
          <w:rFonts w:ascii="Palatino Linotype" w:eastAsia="Times New Roman" w:hAnsi="Palatino Linotype"/>
          <w:lang w:val="en-GB"/>
        </w:rPr>
        <w:t>s</w:t>
      </w:r>
      <w:r w:rsidRPr="0071567C">
        <w:rPr>
          <w:rFonts w:ascii="Palatino Linotype" w:eastAsia="Times New Roman" w:hAnsi="Palatino Linotype"/>
          <w:lang w:val="en-GB"/>
        </w:rPr>
        <w:t xml:space="preserve"> as a serious practice of learning. </w:t>
      </w:r>
    </w:p>
    <w:p w:rsidR="00197956" w:rsidRPr="0071567C" w:rsidRDefault="007E73D2" w:rsidP="00E67C64">
      <w:pPr>
        <w:pStyle w:val="NormalWeb"/>
        <w:spacing w:before="0" w:beforeAutospacing="0" w:after="0" w:afterAutospacing="0" w:line="480" w:lineRule="auto"/>
        <w:jc w:val="both"/>
        <w:rPr>
          <w:rFonts w:ascii="Palatino Linotype" w:hAnsi="Palatino Linotype"/>
          <w:color w:val="000000" w:themeColor="text1"/>
          <w:lang w:val="en-GB"/>
        </w:rPr>
      </w:pPr>
      <w:r w:rsidRPr="0071567C">
        <w:rPr>
          <w:rFonts w:ascii="Palatino Linotype" w:hAnsi="Palatino Linotype"/>
          <w:lang w:val="en-GB"/>
        </w:rPr>
        <w:t xml:space="preserve">Secondly, </w:t>
      </w:r>
      <w:r w:rsidR="00631AFC" w:rsidRPr="0071567C">
        <w:rPr>
          <w:rFonts w:ascii="Palatino Linotype" w:hAnsi="Palatino Linotype"/>
          <w:lang w:val="en-GB"/>
        </w:rPr>
        <w:t xml:space="preserve">clinical legal </w:t>
      </w:r>
      <w:r w:rsidRPr="0071567C">
        <w:rPr>
          <w:rFonts w:ascii="Palatino Linotype" w:hAnsi="Palatino Linotype"/>
          <w:lang w:val="en-GB"/>
        </w:rPr>
        <w:t xml:space="preserve">education constitutes a unique opportunity to build links with the practicing profession and empower the dialogue between law schools and professional </w:t>
      </w:r>
      <w:r w:rsidR="00D84477" w:rsidRPr="0071567C">
        <w:rPr>
          <w:rFonts w:ascii="Palatino Linotype" w:hAnsi="Palatino Linotype"/>
          <w:lang w:val="en-GB"/>
        </w:rPr>
        <w:t>bar associations</w:t>
      </w:r>
      <w:r w:rsidRPr="0071567C">
        <w:rPr>
          <w:rFonts w:ascii="Palatino Linotype" w:hAnsi="Palatino Linotype"/>
          <w:lang w:val="en-GB"/>
        </w:rPr>
        <w:t xml:space="preserve">. </w:t>
      </w:r>
      <w:r w:rsidR="00197956" w:rsidRPr="0071567C">
        <w:rPr>
          <w:rFonts w:ascii="Palatino Linotype" w:hAnsi="Palatino Linotype"/>
          <w:lang w:val="en-GB"/>
        </w:rPr>
        <w:t>For instance, the University of Brescia’s Law Clinic</w:t>
      </w:r>
      <w:r w:rsidR="00197956" w:rsidRPr="0071567C">
        <w:rPr>
          <w:rStyle w:val="FootnoteReference"/>
          <w:rFonts w:ascii="Palatino Linotype" w:hAnsi="Palatino Linotype"/>
          <w:lang w:val="en-GB"/>
        </w:rPr>
        <w:footnoteReference w:id="44"/>
      </w:r>
      <w:r w:rsidR="00197956" w:rsidRPr="0071567C">
        <w:rPr>
          <w:rFonts w:ascii="Palatino Linotype" w:hAnsi="Palatino Linotype"/>
          <w:lang w:val="en-GB"/>
        </w:rPr>
        <w:t xml:space="preserve"> (the clinic in which I have the privilege of working) has created over the years a strong collaboration with</w:t>
      </w:r>
      <w:r w:rsidR="00D84477" w:rsidRPr="0071567C">
        <w:rPr>
          <w:rFonts w:ascii="Palatino Linotype" w:hAnsi="Palatino Linotype"/>
          <w:lang w:val="en-GB"/>
        </w:rPr>
        <w:t xml:space="preserve"> the</w:t>
      </w:r>
      <w:r w:rsidR="00197956" w:rsidRPr="0071567C">
        <w:rPr>
          <w:rFonts w:ascii="Palatino Linotype" w:hAnsi="Palatino Linotype"/>
          <w:lang w:val="en-GB"/>
        </w:rPr>
        <w:t xml:space="preserve"> local </w:t>
      </w:r>
      <w:r w:rsidR="00D84477" w:rsidRPr="0071567C">
        <w:rPr>
          <w:rFonts w:ascii="Palatino Linotype" w:hAnsi="Palatino Linotype"/>
          <w:lang w:val="en-GB"/>
        </w:rPr>
        <w:t xml:space="preserve">bar association </w:t>
      </w:r>
      <w:r w:rsidR="00197956" w:rsidRPr="0071567C">
        <w:rPr>
          <w:rFonts w:ascii="Palatino Linotype" w:hAnsi="Palatino Linotype"/>
          <w:lang w:val="en-GB"/>
        </w:rPr>
        <w:t xml:space="preserve">and lawyers: </w:t>
      </w:r>
      <w:r w:rsidR="00197956" w:rsidRPr="0071567C">
        <w:rPr>
          <w:rFonts w:ascii="Palatino Linotype" w:hAnsi="Palatino Linotype"/>
          <w:color w:val="000000" w:themeColor="text1"/>
          <w:lang w:val="en-GB"/>
        </w:rPr>
        <w:t xml:space="preserve">the local </w:t>
      </w:r>
      <w:r w:rsidR="00D84477" w:rsidRPr="0071567C">
        <w:rPr>
          <w:rFonts w:ascii="Palatino Linotype" w:hAnsi="Palatino Linotype"/>
          <w:color w:val="000000" w:themeColor="text1"/>
          <w:lang w:val="en-GB"/>
        </w:rPr>
        <w:t>bar association</w:t>
      </w:r>
      <w:r w:rsidR="00197956" w:rsidRPr="0071567C">
        <w:rPr>
          <w:rFonts w:ascii="Palatino Linotype" w:hAnsi="Palatino Linotype"/>
          <w:color w:val="000000" w:themeColor="text1"/>
          <w:lang w:val="en-GB"/>
        </w:rPr>
        <w:t xml:space="preserve"> is permanently involved in the organization of the course and present in the </w:t>
      </w:r>
      <w:r w:rsidR="00B7178C" w:rsidRPr="0071567C">
        <w:rPr>
          <w:rFonts w:ascii="Palatino Linotype" w:hAnsi="Palatino Linotype"/>
          <w:color w:val="000000" w:themeColor="text1"/>
          <w:lang w:val="en-GB"/>
        </w:rPr>
        <w:t>academic</w:t>
      </w:r>
      <w:r w:rsidR="00D84477" w:rsidRPr="0071567C">
        <w:rPr>
          <w:rFonts w:ascii="Palatino Linotype" w:hAnsi="Palatino Linotype"/>
          <w:color w:val="000000" w:themeColor="text1"/>
          <w:lang w:val="en-GB"/>
        </w:rPr>
        <w:t xml:space="preserve"> committee</w:t>
      </w:r>
      <w:r w:rsidR="00197956" w:rsidRPr="0071567C">
        <w:rPr>
          <w:rFonts w:ascii="Palatino Linotype" w:hAnsi="Palatino Linotype"/>
          <w:color w:val="000000" w:themeColor="text1"/>
          <w:lang w:val="en-GB"/>
        </w:rPr>
        <w:t xml:space="preserve">; moreover, </w:t>
      </w:r>
      <w:r w:rsidR="00D84477" w:rsidRPr="0071567C">
        <w:rPr>
          <w:rFonts w:ascii="Palatino Linotype" w:hAnsi="Palatino Linotype"/>
          <w:color w:val="000000" w:themeColor="text1"/>
          <w:lang w:val="en-GB"/>
        </w:rPr>
        <w:t>approximately</w:t>
      </w:r>
      <w:r w:rsidR="00197956" w:rsidRPr="0071567C">
        <w:rPr>
          <w:rFonts w:ascii="Palatino Linotype" w:hAnsi="Palatino Linotype"/>
          <w:color w:val="000000" w:themeColor="text1"/>
          <w:lang w:val="en-GB"/>
        </w:rPr>
        <w:t xml:space="preserve"> ten local lawyers </w:t>
      </w:r>
      <w:r w:rsidR="00D84477" w:rsidRPr="0071567C">
        <w:rPr>
          <w:rFonts w:ascii="Palatino Linotype" w:hAnsi="Palatino Linotype"/>
          <w:color w:val="000000" w:themeColor="text1"/>
          <w:lang w:val="en-GB"/>
        </w:rPr>
        <w:t>with</w:t>
      </w:r>
      <w:r w:rsidR="00197956" w:rsidRPr="0071567C">
        <w:rPr>
          <w:rFonts w:ascii="Palatino Linotype" w:hAnsi="Palatino Linotype"/>
          <w:color w:val="000000" w:themeColor="text1"/>
          <w:lang w:val="en-GB"/>
        </w:rPr>
        <w:t xml:space="preserve"> significant professional experience are regularly involved in the program as students</w:t>
      </w:r>
      <w:r w:rsidR="0054260F" w:rsidRPr="0071567C">
        <w:rPr>
          <w:rFonts w:ascii="Palatino Linotype" w:hAnsi="Palatino Linotype"/>
          <w:color w:val="000000" w:themeColor="text1"/>
          <w:lang w:val="en-GB"/>
        </w:rPr>
        <w:t>’</w:t>
      </w:r>
      <w:r w:rsidR="00197956" w:rsidRPr="0071567C">
        <w:rPr>
          <w:rFonts w:ascii="Palatino Linotype" w:hAnsi="Palatino Linotype"/>
          <w:color w:val="000000" w:themeColor="text1"/>
          <w:lang w:val="en-GB"/>
        </w:rPr>
        <w:t xml:space="preserve"> supervisors as well as experts in specific fields (such as legal ethics and ADR).</w:t>
      </w:r>
    </w:p>
    <w:p w:rsidR="000E7F9D" w:rsidRPr="0071567C" w:rsidRDefault="00197956" w:rsidP="00E67C64">
      <w:pPr>
        <w:pStyle w:val="NormalWeb"/>
        <w:spacing w:before="0" w:beforeAutospacing="0" w:after="0" w:afterAutospacing="0" w:line="480" w:lineRule="auto"/>
        <w:jc w:val="both"/>
        <w:rPr>
          <w:rFonts w:ascii="Palatino Linotype" w:hAnsi="Palatino Linotype"/>
          <w:color w:val="000000" w:themeColor="text1"/>
          <w:lang w:val="en-GB"/>
        </w:rPr>
      </w:pPr>
      <w:r w:rsidRPr="0071567C">
        <w:rPr>
          <w:rFonts w:ascii="Palatino Linotype" w:hAnsi="Palatino Linotype"/>
          <w:color w:val="000000" w:themeColor="text1"/>
          <w:lang w:val="en-GB"/>
        </w:rPr>
        <w:t>Finally</w:t>
      </w:r>
      <w:r w:rsidR="00DF22E0" w:rsidRPr="0071567C">
        <w:rPr>
          <w:rFonts w:ascii="Palatino Linotype" w:hAnsi="Palatino Linotype"/>
          <w:color w:val="000000" w:themeColor="text1"/>
          <w:lang w:val="en-GB"/>
        </w:rPr>
        <w:t xml:space="preserve">, through </w:t>
      </w:r>
      <w:r w:rsidR="00D84477" w:rsidRPr="0071567C">
        <w:rPr>
          <w:rFonts w:ascii="Palatino Linotype" w:hAnsi="Palatino Linotype"/>
          <w:color w:val="000000" w:themeColor="text1"/>
          <w:lang w:val="en-GB"/>
        </w:rPr>
        <w:t>clinical legal education, a</w:t>
      </w:r>
      <w:r w:rsidR="00DF22E0" w:rsidRPr="0071567C">
        <w:rPr>
          <w:rFonts w:ascii="Palatino Linotype" w:hAnsi="Palatino Linotype"/>
          <w:color w:val="000000" w:themeColor="text1"/>
          <w:lang w:val="en-GB"/>
        </w:rPr>
        <w:t xml:space="preserve">cademia </w:t>
      </w:r>
      <w:r w:rsidR="00D84477" w:rsidRPr="0071567C">
        <w:rPr>
          <w:rFonts w:ascii="Palatino Linotype" w:hAnsi="Palatino Linotype"/>
          <w:color w:val="000000" w:themeColor="text1"/>
          <w:lang w:val="en-GB"/>
        </w:rPr>
        <w:t xml:space="preserve">draws </w:t>
      </w:r>
      <w:r w:rsidR="00DF22E0" w:rsidRPr="0071567C">
        <w:rPr>
          <w:rFonts w:ascii="Palatino Linotype" w:hAnsi="Palatino Linotype"/>
          <w:color w:val="000000" w:themeColor="text1"/>
          <w:lang w:val="en-GB"/>
        </w:rPr>
        <w:t xml:space="preserve">closer to </w:t>
      </w:r>
      <w:r w:rsidR="00D84477" w:rsidRPr="0071567C">
        <w:rPr>
          <w:rFonts w:ascii="Palatino Linotype" w:hAnsi="Palatino Linotype"/>
          <w:color w:val="000000" w:themeColor="text1"/>
          <w:lang w:val="en-GB"/>
        </w:rPr>
        <w:t>society</w:t>
      </w:r>
      <w:r w:rsidR="00DF22E0" w:rsidRPr="0071567C">
        <w:rPr>
          <w:rFonts w:ascii="Palatino Linotype" w:hAnsi="Palatino Linotype"/>
          <w:color w:val="000000" w:themeColor="text1"/>
          <w:lang w:val="en-GB"/>
        </w:rPr>
        <w:t>: law schools</w:t>
      </w:r>
      <w:r w:rsidR="00B7178C" w:rsidRPr="0071567C">
        <w:rPr>
          <w:rFonts w:ascii="Palatino Linotype" w:hAnsi="Palatino Linotype"/>
          <w:color w:val="000000" w:themeColor="text1"/>
          <w:lang w:val="en-GB"/>
        </w:rPr>
        <w:t>,</w:t>
      </w:r>
      <w:r w:rsidR="00DF22E0" w:rsidRPr="0071567C">
        <w:rPr>
          <w:rFonts w:ascii="Palatino Linotype" w:hAnsi="Palatino Linotype"/>
          <w:color w:val="000000" w:themeColor="text1"/>
          <w:lang w:val="en-GB"/>
        </w:rPr>
        <w:t xml:space="preserve"> through a creative reinterpretation of their role</w:t>
      </w:r>
      <w:r w:rsidR="00B7178C" w:rsidRPr="0071567C">
        <w:rPr>
          <w:rFonts w:ascii="Palatino Linotype" w:hAnsi="Palatino Linotype"/>
          <w:color w:val="000000" w:themeColor="text1"/>
          <w:lang w:val="en-GB"/>
        </w:rPr>
        <w:t xml:space="preserve">, </w:t>
      </w:r>
      <w:r w:rsidR="00DF22E0" w:rsidRPr="0071567C">
        <w:rPr>
          <w:rFonts w:ascii="Palatino Linotype" w:hAnsi="Palatino Linotype"/>
          <w:color w:val="000000" w:themeColor="text1"/>
          <w:lang w:val="en-GB"/>
        </w:rPr>
        <w:t xml:space="preserve">open their doors to vulnerable individuals </w:t>
      </w:r>
      <w:r w:rsidR="00DF22E0" w:rsidRPr="0071567C">
        <w:rPr>
          <w:rFonts w:ascii="Palatino Linotype" w:hAnsi="Palatino Linotype"/>
          <w:color w:val="000000" w:themeColor="text1"/>
          <w:lang w:val="en-GB"/>
        </w:rPr>
        <w:lastRenderedPageBreak/>
        <w:t>and excluded communities by providing legal services</w:t>
      </w:r>
      <w:r w:rsidR="00CB1B4C" w:rsidRPr="0071567C">
        <w:rPr>
          <w:rFonts w:ascii="Palatino Linotype" w:hAnsi="Palatino Linotype"/>
          <w:color w:val="000000" w:themeColor="text1"/>
          <w:lang w:val="en-GB"/>
        </w:rPr>
        <w:t xml:space="preserve">. </w:t>
      </w:r>
      <w:r w:rsidR="00503A04" w:rsidRPr="0071567C">
        <w:rPr>
          <w:rFonts w:ascii="Palatino Linotype" w:hAnsi="Palatino Linotype"/>
          <w:color w:val="000000" w:themeColor="text1"/>
          <w:shd w:val="clear" w:color="auto" w:fill="FFFFFF"/>
          <w:lang w:val="en-GB"/>
        </w:rPr>
        <w:t>Universities</w:t>
      </w:r>
      <w:r w:rsidR="00CB1B4C" w:rsidRPr="0071567C">
        <w:rPr>
          <w:rFonts w:ascii="Palatino Linotype" w:hAnsi="Palatino Linotype"/>
          <w:color w:val="000000" w:themeColor="text1"/>
          <w:shd w:val="clear" w:color="auto" w:fill="FFFFFF"/>
          <w:lang w:val="en-GB"/>
        </w:rPr>
        <w:t xml:space="preserve">, through legal clinics, have the possibility to </w:t>
      </w:r>
      <w:r w:rsidR="00503A04" w:rsidRPr="0071567C">
        <w:rPr>
          <w:rFonts w:ascii="Palatino Linotype" w:hAnsi="Palatino Linotype"/>
          <w:color w:val="000000" w:themeColor="text1"/>
          <w:shd w:val="clear" w:color="auto" w:fill="FFFFFF"/>
          <w:lang w:val="en-GB"/>
        </w:rPr>
        <w:t>tackle unmet legal needs, helping the most vulnerable</w:t>
      </w:r>
      <w:r w:rsidR="00D84477" w:rsidRPr="0071567C">
        <w:rPr>
          <w:rFonts w:ascii="Palatino Linotype" w:hAnsi="Palatino Linotype"/>
          <w:color w:val="000000" w:themeColor="text1"/>
          <w:shd w:val="clear" w:color="auto" w:fill="FFFFFF"/>
          <w:lang w:val="en-GB"/>
        </w:rPr>
        <w:t>,</w:t>
      </w:r>
      <w:r w:rsidR="00503A04" w:rsidRPr="0071567C">
        <w:rPr>
          <w:rFonts w:ascii="Palatino Linotype" w:hAnsi="Palatino Linotype"/>
          <w:color w:val="000000" w:themeColor="text1"/>
          <w:shd w:val="clear" w:color="auto" w:fill="FFFFFF"/>
          <w:lang w:val="en-GB"/>
        </w:rPr>
        <w:t xml:space="preserve"> </w:t>
      </w:r>
      <w:r w:rsidR="00D84477" w:rsidRPr="0071567C">
        <w:rPr>
          <w:rFonts w:ascii="Palatino Linotype" w:hAnsi="Palatino Linotype"/>
          <w:color w:val="000000" w:themeColor="text1"/>
          <w:shd w:val="clear" w:color="auto" w:fill="FFFFFF"/>
          <w:lang w:val="en-GB"/>
        </w:rPr>
        <w:t xml:space="preserve">who </w:t>
      </w:r>
      <w:r w:rsidR="00503A04" w:rsidRPr="0071567C">
        <w:rPr>
          <w:rFonts w:ascii="Palatino Linotype" w:hAnsi="Palatino Linotype"/>
          <w:color w:val="000000" w:themeColor="text1"/>
          <w:shd w:val="clear" w:color="auto" w:fill="FFFFFF"/>
          <w:lang w:val="en-GB"/>
        </w:rPr>
        <w:t>often have very limited access to legal services for financial, logistical or cultural reason</w:t>
      </w:r>
      <w:r w:rsidR="00D84477" w:rsidRPr="0071567C">
        <w:rPr>
          <w:rFonts w:ascii="Palatino Linotype" w:hAnsi="Palatino Linotype"/>
          <w:color w:val="000000" w:themeColor="text1"/>
          <w:shd w:val="clear" w:color="auto" w:fill="FFFFFF"/>
          <w:lang w:val="en-GB"/>
        </w:rPr>
        <w:t xml:space="preserve">s and who have more limited </w:t>
      </w:r>
      <w:r w:rsidR="00503A04" w:rsidRPr="0071567C">
        <w:rPr>
          <w:rFonts w:ascii="Palatino Linotype" w:hAnsi="Palatino Linotype"/>
          <w:color w:val="000000" w:themeColor="text1"/>
          <w:shd w:val="clear" w:color="auto" w:fill="FFFFFF"/>
          <w:lang w:val="en-GB"/>
        </w:rPr>
        <w:t>possibilit</w:t>
      </w:r>
      <w:r w:rsidR="00CB1B4C" w:rsidRPr="0071567C">
        <w:rPr>
          <w:rFonts w:ascii="Palatino Linotype" w:hAnsi="Palatino Linotype"/>
          <w:color w:val="000000" w:themeColor="text1"/>
          <w:shd w:val="clear" w:color="auto" w:fill="FFFFFF"/>
          <w:lang w:val="en-GB"/>
        </w:rPr>
        <w:t>ies</w:t>
      </w:r>
      <w:r w:rsidR="00503A04" w:rsidRPr="0071567C">
        <w:rPr>
          <w:rFonts w:ascii="Palatino Linotype" w:hAnsi="Palatino Linotype"/>
          <w:color w:val="000000" w:themeColor="text1"/>
          <w:shd w:val="clear" w:color="auto" w:fill="FFFFFF"/>
          <w:lang w:val="en-GB"/>
        </w:rPr>
        <w:t xml:space="preserve"> </w:t>
      </w:r>
      <w:r w:rsidR="00D84477" w:rsidRPr="0071567C">
        <w:rPr>
          <w:rFonts w:ascii="Palatino Linotype" w:hAnsi="Palatino Linotype"/>
          <w:color w:val="000000" w:themeColor="text1"/>
          <w:shd w:val="clear" w:color="auto" w:fill="FFFFFF"/>
          <w:lang w:val="en-GB"/>
        </w:rPr>
        <w:t xml:space="preserve">for </w:t>
      </w:r>
      <w:r w:rsidR="00503A04" w:rsidRPr="0071567C">
        <w:rPr>
          <w:rFonts w:ascii="Palatino Linotype" w:hAnsi="Palatino Linotype"/>
          <w:color w:val="000000" w:themeColor="text1"/>
          <w:shd w:val="clear" w:color="auto" w:fill="FFFFFF"/>
          <w:lang w:val="en-GB"/>
        </w:rPr>
        <w:t>enforc</w:t>
      </w:r>
      <w:r w:rsidR="00D84477" w:rsidRPr="0071567C">
        <w:rPr>
          <w:rFonts w:ascii="Palatino Linotype" w:hAnsi="Palatino Linotype"/>
          <w:color w:val="000000" w:themeColor="text1"/>
          <w:shd w:val="clear" w:color="auto" w:fill="FFFFFF"/>
          <w:lang w:val="en-GB"/>
        </w:rPr>
        <w:t>ing</w:t>
      </w:r>
      <w:r w:rsidR="00503A04" w:rsidRPr="0071567C">
        <w:rPr>
          <w:rFonts w:ascii="Palatino Linotype" w:hAnsi="Palatino Linotype"/>
          <w:color w:val="000000" w:themeColor="text1"/>
          <w:shd w:val="clear" w:color="auto" w:fill="FFFFFF"/>
          <w:lang w:val="en-GB"/>
        </w:rPr>
        <w:t xml:space="preserve"> or defend</w:t>
      </w:r>
      <w:r w:rsidR="00D84477" w:rsidRPr="0071567C">
        <w:rPr>
          <w:rFonts w:ascii="Palatino Linotype" w:hAnsi="Palatino Linotype"/>
          <w:color w:val="000000" w:themeColor="text1"/>
          <w:shd w:val="clear" w:color="auto" w:fill="FFFFFF"/>
          <w:lang w:val="en-GB"/>
        </w:rPr>
        <w:t>ing</w:t>
      </w:r>
      <w:r w:rsidR="00503A04" w:rsidRPr="0071567C">
        <w:rPr>
          <w:rFonts w:ascii="Palatino Linotype" w:hAnsi="Palatino Linotype"/>
          <w:color w:val="000000" w:themeColor="text1"/>
          <w:shd w:val="clear" w:color="auto" w:fill="FFFFFF"/>
          <w:lang w:val="en-GB"/>
        </w:rPr>
        <w:t xml:space="preserve"> their right</w:t>
      </w:r>
      <w:r w:rsidR="00D84477" w:rsidRPr="0071567C">
        <w:rPr>
          <w:rFonts w:ascii="Palatino Linotype" w:hAnsi="Palatino Linotype"/>
          <w:color w:val="000000" w:themeColor="text1"/>
          <w:shd w:val="clear" w:color="auto" w:fill="FFFFFF"/>
          <w:lang w:val="en-GB"/>
        </w:rPr>
        <w:t>s</w:t>
      </w:r>
      <w:r w:rsidR="00CB1B4C" w:rsidRPr="0071567C">
        <w:rPr>
          <w:rFonts w:ascii="Palatino Linotype" w:hAnsi="Palatino Linotype"/>
          <w:color w:val="000000" w:themeColor="text1"/>
          <w:shd w:val="clear" w:color="auto" w:fill="FFFFFF"/>
          <w:lang w:val="en-GB"/>
        </w:rPr>
        <w:t xml:space="preserve">. </w:t>
      </w:r>
      <w:r w:rsidR="00DF22E0" w:rsidRPr="0071567C">
        <w:rPr>
          <w:rFonts w:ascii="Palatino Linotype" w:hAnsi="Palatino Linotype"/>
          <w:color w:val="000000" w:themeColor="text1"/>
          <w:lang w:val="en-GB"/>
        </w:rPr>
        <w:t xml:space="preserve">Therefore, </w:t>
      </w:r>
      <w:r w:rsidR="0054260F" w:rsidRPr="0071567C">
        <w:rPr>
          <w:rFonts w:ascii="Palatino Linotype" w:hAnsi="Palatino Linotype"/>
          <w:color w:val="000000" w:themeColor="text1"/>
          <w:lang w:val="en-GB"/>
        </w:rPr>
        <w:t>clinical legal education</w:t>
      </w:r>
      <w:r w:rsidR="00DF22E0" w:rsidRPr="0071567C">
        <w:rPr>
          <w:rFonts w:ascii="Palatino Linotype" w:hAnsi="Palatino Linotype"/>
          <w:color w:val="000000" w:themeColor="text1"/>
          <w:lang w:val="en-GB"/>
        </w:rPr>
        <w:t xml:space="preserve"> represent</w:t>
      </w:r>
      <w:r w:rsidR="00FD069A" w:rsidRPr="0071567C">
        <w:rPr>
          <w:rFonts w:ascii="Palatino Linotype" w:hAnsi="Palatino Linotype"/>
          <w:color w:val="000000" w:themeColor="text1"/>
          <w:lang w:val="en-GB"/>
        </w:rPr>
        <w:t>s</w:t>
      </w:r>
      <w:r w:rsidR="00DF22E0" w:rsidRPr="0071567C">
        <w:rPr>
          <w:rFonts w:ascii="Palatino Linotype" w:hAnsi="Palatino Linotype"/>
          <w:color w:val="000000" w:themeColor="text1"/>
          <w:lang w:val="en-GB"/>
        </w:rPr>
        <w:t xml:space="preserve"> a valuable tool to enhance access to justice</w:t>
      </w:r>
      <w:r w:rsidR="00CB1B4C" w:rsidRPr="0071567C">
        <w:rPr>
          <w:rFonts w:ascii="Palatino Linotype" w:hAnsi="Palatino Linotype"/>
          <w:color w:val="000000" w:themeColor="text1"/>
          <w:lang w:val="en-GB"/>
        </w:rPr>
        <w:t xml:space="preserve"> </w:t>
      </w:r>
      <w:r w:rsidR="00DF22E0" w:rsidRPr="0071567C">
        <w:rPr>
          <w:rFonts w:ascii="Palatino Linotype" w:hAnsi="Palatino Linotype"/>
          <w:color w:val="000000" w:themeColor="text1"/>
          <w:lang w:val="en-GB"/>
        </w:rPr>
        <w:t>and to foster social change</w:t>
      </w:r>
      <w:r w:rsidR="00CB1B4C" w:rsidRPr="0071567C">
        <w:rPr>
          <w:rFonts w:ascii="Palatino Linotype" w:hAnsi="Palatino Linotype"/>
          <w:color w:val="000000" w:themeColor="text1"/>
          <w:lang w:val="en-GB"/>
        </w:rPr>
        <w:t xml:space="preserve">. </w:t>
      </w:r>
      <w:r w:rsidR="00CB1B4C" w:rsidRPr="0071567C">
        <w:rPr>
          <w:rFonts w:ascii="Palatino Linotype" w:hAnsi="Palatino Linotype"/>
          <w:lang w:val="en-GB"/>
        </w:rPr>
        <w:t xml:space="preserve">The </w:t>
      </w:r>
      <w:r w:rsidR="00FD069A" w:rsidRPr="0071567C">
        <w:rPr>
          <w:rFonts w:ascii="Palatino Linotype" w:hAnsi="Palatino Linotype"/>
          <w:lang w:val="en-GB"/>
        </w:rPr>
        <w:t>l</w:t>
      </w:r>
      <w:r w:rsidR="008433B1" w:rsidRPr="0071567C">
        <w:rPr>
          <w:rFonts w:ascii="Palatino Linotype" w:hAnsi="Palatino Linotype"/>
          <w:lang w:val="en-GB"/>
        </w:rPr>
        <w:t xml:space="preserve">aw </w:t>
      </w:r>
      <w:r w:rsidR="00FD069A" w:rsidRPr="0071567C">
        <w:rPr>
          <w:rFonts w:ascii="Palatino Linotype" w:hAnsi="Palatino Linotype"/>
          <w:lang w:val="en-GB"/>
        </w:rPr>
        <w:t>s</w:t>
      </w:r>
      <w:r w:rsidR="008433B1" w:rsidRPr="0071567C">
        <w:rPr>
          <w:rFonts w:ascii="Palatino Linotype" w:hAnsi="Palatino Linotype"/>
          <w:lang w:val="en-GB"/>
        </w:rPr>
        <w:t xml:space="preserve">chools, taking advantage </w:t>
      </w:r>
      <w:r w:rsidR="00FD069A" w:rsidRPr="0071567C">
        <w:rPr>
          <w:rFonts w:ascii="Palatino Linotype" w:hAnsi="Palatino Linotype"/>
          <w:lang w:val="en-GB"/>
        </w:rPr>
        <w:t>of</w:t>
      </w:r>
      <w:r w:rsidR="008433B1" w:rsidRPr="0071567C">
        <w:rPr>
          <w:rFonts w:ascii="Palatino Linotype" w:hAnsi="Palatino Linotype"/>
          <w:lang w:val="en-GB"/>
        </w:rPr>
        <w:t xml:space="preserve"> the clinical model of education, gain the chance,</w:t>
      </w:r>
      <w:r w:rsidR="00CB1B4C" w:rsidRPr="0071567C">
        <w:rPr>
          <w:rFonts w:ascii="Palatino Linotype" w:hAnsi="Palatino Linotype"/>
          <w:lang w:val="en-GB"/>
        </w:rPr>
        <w:t xml:space="preserve"> through the pursuit of </w:t>
      </w:r>
      <w:r w:rsidR="00FD069A" w:rsidRPr="0071567C">
        <w:rPr>
          <w:rFonts w:ascii="Palatino Linotype" w:hAnsi="Palatino Linotype"/>
          <w:lang w:val="en-GB"/>
        </w:rPr>
        <w:t>their</w:t>
      </w:r>
      <w:r w:rsidR="00CB1B4C" w:rsidRPr="0071567C">
        <w:rPr>
          <w:rFonts w:ascii="Palatino Linotype" w:hAnsi="Palatino Linotype"/>
          <w:lang w:val="en-GB"/>
        </w:rPr>
        <w:t xml:space="preserve"> primary educational mission, to advance social justice and</w:t>
      </w:r>
      <w:r w:rsidR="00CB1B4C" w:rsidRPr="0071567C">
        <w:rPr>
          <w:rFonts w:ascii="Palatino Linotype" w:hAnsi="Palatino Linotype"/>
          <w:color w:val="000000" w:themeColor="text1"/>
          <w:lang w:val="en-GB"/>
        </w:rPr>
        <w:t>, ultimately</w:t>
      </w:r>
      <w:r w:rsidR="00FD069A" w:rsidRPr="0071567C">
        <w:rPr>
          <w:rFonts w:ascii="Palatino Linotype" w:hAnsi="Palatino Linotype"/>
          <w:color w:val="000000" w:themeColor="text1"/>
          <w:lang w:val="en-GB"/>
        </w:rPr>
        <w:t>,</w:t>
      </w:r>
      <w:r w:rsidR="0054260F" w:rsidRPr="0071567C">
        <w:rPr>
          <w:rFonts w:ascii="Palatino Linotype" w:hAnsi="Palatino Linotype"/>
          <w:color w:val="000000" w:themeColor="text1"/>
          <w:lang w:val="en-GB"/>
        </w:rPr>
        <w:t xml:space="preserve"> </w:t>
      </w:r>
      <w:r w:rsidR="007C093F" w:rsidRPr="0071567C">
        <w:rPr>
          <w:rFonts w:ascii="Palatino Linotype" w:hAnsi="Palatino Linotype"/>
          <w:lang w:val="en-GB" w:eastAsia="en-US"/>
        </w:rPr>
        <w:t xml:space="preserve">to give the public </w:t>
      </w:r>
      <w:r w:rsidR="0054260F" w:rsidRPr="0071567C">
        <w:rPr>
          <w:rFonts w:ascii="Palatino Linotype" w:hAnsi="Palatino Linotype"/>
          <w:lang w:val="en-GB" w:eastAsia="en-US"/>
        </w:rPr>
        <w:t>more</w:t>
      </w:r>
      <w:r w:rsidR="007C093F" w:rsidRPr="0071567C">
        <w:rPr>
          <w:rFonts w:ascii="Palatino Linotype" w:hAnsi="Palatino Linotype"/>
          <w:lang w:val="en-GB" w:eastAsia="en-US"/>
        </w:rPr>
        <w:t xml:space="preserve"> confidence in the solicitors’</w:t>
      </w:r>
      <w:r w:rsidR="0045511E" w:rsidRPr="0071567C">
        <w:rPr>
          <w:rFonts w:ascii="Palatino Linotype" w:hAnsi="Palatino Linotype"/>
          <w:lang w:val="en-GB" w:eastAsia="en-US"/>
        </w:rPr>
        <w:t xml:space="preserve"> </w:t>
      </w:r>
      <w:r w:rsidR="007C093F" w:rsidRPr="0071567C">
        <w:rPr>
          <w:rFonts w:ascii="Palatino Linotype" w:hAnsi="Palatino Linotype"/>
          <w:lang w:val="en-GB" w:eastAsia="en-US"/>
        </w:rPr>
        <w:t>profession</w:t>
      </w:r>
      <w:r w:rsidR="00CB1B4C" w:rsidRPr="0071567C">
        <w:rPr>
          <w:rFonts w:ascii="Palatino Linotype" w:hAnsi="Palatino Linotype"/>
          <w:lang w:val="en-GB" w:eastAsia="en-US"/>
        </w:rPr>
        <w:t>.</w:t>
      </w:r>
    </w:p>
    <w:p w:rsidR="00E52274" w:rsidRPr="0071567C" w:rsidRDefault="00E52274" w:rsidP="00E67C64">
      <w:pPr>
        <w:spacing w:line="480" w:lineRule="auto"/>
        <w:rPr>
          <w:rFonts w:ascii="Palatino Linotype" w:hAnsi="Palatino Linotype"/>
          <w:lang w:val="en-GB"/>
        </w:rPr>
      </w:pPr>
    </w:p>
    <w:sectPr w:rsidR="00E52274" w:rsidRPr="0071567C" w:rsidSect="00813399">
      <w:headerReference w:type="default" r:id="rId8"/>
      <w:footerReference w:type="even" r:id="rId9"/>
      <w:footerReference w:type="default" r:id="rId10"/>
      <w:pgSz w:w="11900" w:h="16840"/>
      <w:pgMar w:top="1417" w:right="1134" w:bottom="1134" w:left="1134"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D48" w:rsidRDefault="00A07D48" w:rsidP="00B07503">
      <w:r>
        <w:separator/>
      </w:r>
    </w:p>
  </w:endnote>
  <w:endnote w:type="continuationSeparator" w:id="0">
    <w:p w:rsidR="00A07D48" w:rsidRDefault="00A07D48" w:rsidP="00B0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altName w:val="Arial"/>
    <w:charset w:val="00"/>
    <w:family w:val="auto"/>
    <w:pitch w:val="variable"/>
    <w:sig w:usb0="E0002AFF" w:usb1="C0007843" w:usb2="00000009" w:usb3="00000000" w:csb0="000001FF" w:csb1="00000000"/>
  </w:font>
  <w:font w:name="Times-Roman">
    <w:charset w:val="80"/>
    <w:family w:val="roman"/>
    <w:pitch w:val="default"/>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08157873"/>
      <w:docPartObj>
        <w:docPartGallery w:val="Page Numbers (Bottom of Page)"/>
        <w:docPartUnique/>
      </w:docPartObj>
    </w:sdtPr>
    <w:sdtEndPr>
      <w:rPr>
        <w:rStyle w:val="PageNumber"/>
      </w:rPr>
    </w:sdtEndPr>
    <w:sdtContent>
      <w:p w:rsidR="00677175" w:rsidRDefault="00677175" w:rsidP="00E522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77175" w:rsidRDefault="00677175" w:rsidP="00F85E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293780"/>
      <w:docPartObj>
        <w:docPartGallery w:val="Page Numbers (Bottom of Page)"/>
        <w:docPartUnique/>
      </w:docPartObj>
    </w:sdtPr>
    <w:sdtEndPr>
      <w:rPr>
        <w:noProof/>
      </w:rPr>
    </w:sdtEndPr>
    <w:sdtContent>
      <w:p w:rsidR="00813399" w:rsidRDefault="00813399">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rsidR="00677175" w:rsidRDefault="00677175" w:rsidP="005875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D48" w:rsidRDefault="00A07D48" w:rsidP="00B07503">
      <w:r>
        <w:separator/>
      </w:r>
    </w:p>
  </w:footnote>
  <w:footnote w:type="continuationSeparator" w:id="0">
    <w:p w:rsidR="00A07D48" w:rsidRDefault="00A07D48" w:rsidP="00B07503">
      <w:r>
        <w:continuationSeparator/>
      </w:r>
    </w:p>
  </w:footnote>
  <w:footnote w:id="1">
    <w:p w:rsidR="006C15BC" w:rsidRPr="0071567C" w:rsidRDefault="006C15BC">
      <w:pPr>
        <w:pStyle w:val="FootnoteText"/>
        <w:rPr>
          <w:sz w:val="22"/>
          <w:szCs w:val="22"/>
          <w:lang w:val="es-ES_tradnl"/>
        </w:rPr>
      </w:pPr>
      <w:r>
        <w:rPr>
          <w:rStyle w:val="FootnoteReference"/>
        </w:rPr>
        <w:footnoteRef/>
      </w:r>
      <w:r w:rsidRPr="00EF10F9">
        <w:rPr>
          <w:lang w:val="en-US"/>
        </w:rPr>
        <w:t xml:space="preserve"> </w:t>
      </w:r>
      <w:r w:rsidR="00EF10F9" w:rsidRPr="00EF10F9">
        <w:rPr>
          <w:sz w:val="22"/>
          <w:szCs w:val="22"/>
          <w:lang w:val="en-US"/>
        </w:rPr>
        <w:t>Laura Bugatti,</w:t>
      </w:r>
      <w:r w:rsidR="00EF10F9">
        <w:rPr>
          <w:sz w:val="22"/>
          <w:szCs w:val="22"/>
          <w:lang w:val="en-US"/>
        </w:rPr>
        <w:t xml:space="preserve"> </w:t>
      </w:r>
      <w:r w:rsidR="00EF10F9" w:rsidRPr="00EF10F9">
        <w:rPr>
          <w:sz w:val="22"/>
          <w:szCs w:val="22"/>
          <w:lang w:val="en-US"/>
        </w:rPr>
        <w:t>Ph.D</w:t>
      </w:r>
      <w:r w:rsidR="0093705A">
        <w:rPr>
          <w:sz w:val="22"/>
          <w:szCs w:val="22"/>
          <w:lang w:val="en-US"/>
        </w:rPr>
        <w:t>.</w:t>
      </w:r>
      <w:r w:rsidR="00EF10F9" w:rsidRPr="00EF10F9">
        <w:rPr>
          <w:sz w:val="22"/>
          <w:szCs w:val="22"/>
          <w:lang w:val="en-US"/>
        </w:rPr>
        <w:t>, Research Fellow</w:t>
      </w:r>
      <w:r w:rsidR="00EF10F9" w:rsidRPr="00EF10F9">
        <w:rPr>
          <w:color w:val="262626"/>
          <w:sz w:val="22"/>
          <w:szCs w:val="22"/>
          <w:lang w:val="en-US"/>
        </w:rPr>
        <w:t xml:space="preserve"> in Comparative Law</w:t>
      </w:r>
      <w:r w:rsidR="00EF10F9" w:rsidRPr="00EF10F9">
        <w:rPr>
          <w:sz w:val="22"/>
          <w:szCs w:val="22"/>
          <w:lang w:val="en-US"/>
        </w:rPr>
        <w:t xml:space="preserve">, Law Department, University of Brescia (Italy). </w:t>
      </w:r>
      <w:r w:rsidR="00EF10F9" w:rsidRPr="0071567C">
        <w:rPr>
          <w:sz w:val="22"/>
          <w:szCs w:val="22"/>
          <w:lang w:val="es-ES_tradnl"/>
        </w:rPr>
        <w:t>Email: laura.bugatti@unibs.it.</w:t>
      </w:r>
      <w:bookmarkStart w:id="0" w:name="_GoBack"/>
      <w:bookmarkEnd w:id="0"/>
    </w:p>
  </w:footnote>
  <w:footnote w:id="2">
    <w:p w:rsidR="00677175" w:rsidRPr="00070AD6" w:rsidRDefault="00677175" w:rsidP="00A03668">
      <w:pPr>
        <w:autoSpaceDE w:val="0"/>
        <w:autoSpaceDN w:val="0"/>
        <w:adjustRightInd w:val="0"/>
        <w:rPr>
          <w:rFonts w:eastAsiaTheme="minorHAnsi"/>
          <w:sz w:val="21"/>
          <w:szCs w:val="21"/>
          <w:lang w:eastAsia="en-US"/>
        </w:rPr>
      </w:pPr>
      <w:r w:rsidRPr="00070AD6">
        <w:rPr>
          <w:rStyle w:val="FootnoteReference"/>
          <w:sz w:val="21"/>
          <w:szCs w:val="21"/>
        </w:rPr>
        <w:footnoteRef/>
      </w:r>
      <w:r w:rsidRPr="00070AD6">
        <w:rPr>
          <w:sz w:val="21"/>
          <w:szCs w:val="21"/>
        </w:rPr>
        <w:t xml:space="preserve"> See also G. </w:t>
      </w:r>
      <w:r w:rsidRPr="00070AD6">
        <w:rPr>
          <w:rFonts w:eastAsiaTheme="minorHAnsi"/>
          <w:smallCaps/>
          <w:color w:val="000000" w:themeColor="text1"/>
          <w:sz w:val="21"/>
          <w:szCs w:val="21"/>
          <w:lang w:eastAsia="en-US"/>
        </w:rPr>
        <w:t>Pascuzzi</w:t>
      </w:r>
      <w:r w:rsidRPr="00070AD6">
        <w:rPr>
          <w:sz w:val="21"/>
          <w:szCs w:val="21"/>
        </w:rPr>
        <w:t xml:space="preserve">, ‘Verso l’Avvocatura e il Notariato’, in B. </w:t>
      </w:r>
      <w:r w:rsidRPr="00070AD6">
        <w:rPr>
          <w:rFonts w:eastAsiaTheme="minorHAnsi"/>
          <w:smallCaps/>
          <w:color w:val="000000" w:themeColor="text1"/>
          <w:sz w:val="21"/>
          <w:szCs w:val="21"/>
          <w:lang w:eastAsia="en-US"/>
        </w:rPr>
        <w:t>Pasciuta</w:t>
      </w:r>
      <w:r w:rsidRPr="00070AD6">
        <w:rPr>
          <w:sz w:val="21"/>
          <w:szCs w:val="21"/>
        </w:rPr>
        <w:t xml:space="preserve"> </w:t>
      </w:r>
      <w:r w:rsidR="00385A5D">
        <w:rPr>
          <w:sz w:val="21"/>
          <w:szCs w:val="21"/>
        </w:rPr>
        <w:t>&amp;</w:t>
      </w:r>
      <w:r w:rsidR="00385A5D" w:rsidRPr="00070AD6">
        <w:rPr>
          <w:sz w:val="21"/>
          <w:szCs w:val="21"/>
        </w:rPr>
        <w:t xml:space="preserve"> </w:t>
      </w:r>
      <w:r w:rsidRPr="00070AD6">
        <w:rPr>
          <w:sz w:val="21"/>
          <w:szCs w:val="21"/>
        </w:rPr>
        <w:t xml:space="preserve">L. </w:t>
      </w:r>
      <w:r w:rsidRPr="00070AD6">
        <w:rPr>
          <w:rFonts w:eastAsiaTheme="minorHAnsi"/>
          <w:smallCaps/>
          <w:color w:val="000000" w:themeColor="text1"/>
          <w:sz w:val="21"/>
          <w:szCs w:val="21"/>
          <w:lang w:eastAsia="en-US"/>
        </w:rPr>
        <w:t>Loschiavo</w:t>
      </w:r>
      <w:r w:rsidRPr="00070AD6">
        <w:rPr>
          <w:sz w:val="21"/>
          <w:szCs w:val="21"/>
        </w:rPr>
        <w:t xml:space="preserve"> (</w:t>
      </w:r>
      <w:r>
        <w:rPr>
          <w:sz w:val="21"/>
          <w:szCs w:val="21"/>
        </w:rPr>
        <w:t>eds.</w:t>
      </w:r>
      <w:r w:rsidRPr="00070AD6">
        <w:rPr>
          <w:sz w:val="21"/>
          <w:szCs w:val="21"/>
        </w:rPr>
        <w:t xml:space="preserve">), </w:t>
      </w:r>
      <w:r w:rsidRPr="00070AD6">
        <w:rPr>
          <w:i/>
          <w:sz w:val="21"/>
          <w:szCs w:val="21"/>
        </w:rPr>
        <w:t>La formazione del giurista. Contributi ad una riflessione</w:t>
      </w:r>
      <w:r w:rsidRPr="00070AD6">
        <w:rPr>
          <w:sz w:val="21"/>
          <w:szCs w:val="21"/>
        </w:rPr>
        <w:t xml:space="preserve"> (Roma TrePress, 2018), p 83: </w:t>
      </w:r>
      <w:r>
        <w:rPr>
          <w:sz w:val="21"/>
          <w:szCs w:val="21"/>
        </w:rPr>
        <w:t>‘</w:t>
      </w:r>
      <w:r w:rsidRPr="00070AD6">
        <w:rPr>
          <w:rFonts w:eastAsiaTheme="minorHAnsi"/>
          <w:i/>
          <w:sz w:val="21"/>
          <w:szCs w:val="21"/>
          <w:lang w:eastAsia="en-US"/>
        </w:rPr>
        <w:t xml:space="preserve">quattro fenomeni verificatisi negli ultimi decenni che stanno cambiando le professioni legali: la rivoluzione digitale, l’internazionalizzazione del lavoro, le istanze tese a </w:t>
      </w:r>
      <w:r>
        <w:rPr>
          <w:rFonts w:eastAsiaTheme="minorHAnsi"/>
          <w:i/>
          <w:sz w:val="21"/>
          <w:szCs w:val="21"/>
          <w:lang w:eastAsia="en-US"/>
        </w:rPr>
        <w:t>‘</w:t>
      </w:r>
      <w:r w:rsidRPr="00070AD6">
        <w:rPr>
          <w:rFonts w:eastAsiaTheme="minorHAnsi"/>
          <w:i/>
          <w:sz w:val="21"/>
          <w:szCs w:val="21"/>
          <w:lang w:eastAsia="en-US"/>
        </w:rPr>
        <w:t>liberalizzare le professioni</w:t>
      </w:r>
      <w:r>
        <w:rPr>
          <w:rFonts w:eastAsiaTheme="minorHAnsi"/>
          <w:i/>
          <w:sz w:val="21"/>
          <w:szCs w:val="21"/>
          <w:lang w:eastAsia="en-US"/>
        </w:rPr>
        <w:t>’</w:t>
      </w:r>
      <w:r w:rsidRPr="00070AD6">
        <w:rPr>
          <w:rFonts w:eastAsiaTheme="minorHAnsi"/>
          <w:i/>
          <w:sz w:val="21"/>
          <w:szCs w:val="21"/>
          <w:lang w:eastAsia="en-US"/>
        </w:rPr>
        <w:t>, il favore con il quale il legislatore guarda alle alternative al contenzioso</w:t>
      </w:r>
      <w:r>
        <w:rPr>
          <w:rFonts w:eastAsiaTheme="minorHAnsi"/>
          <w:sz w:val="21"/>
          <w:szCs w:val="21"/>
          <w:lang w:eastAsia="en-US"/>
        </w:rPr>
        <w:t>’</w:t>
      </w:r>
      <w:r w:rsidRPr="00070AD6">
        <w:rPr>
          <w:rFonts w:eastAsiaTheme="minorHAnsi"/>
          <w:sz w:val="21"/>
          <w:szCs w:val="21"/>
          <w:lang w:eastAsia="en-US"/>
        </w:rPr>
        <w:t>.</w:t>
      </w:r>
    </w:p>
  </w:footnote>
  <w:footnote w:id="3">
    <w:p w:rsidR="00677175" w:rsidRPr="00070AD6" w:rsidRDefault="00677175" w:rsidP="00A03668">
      <w:pPr>
        <w:autoSpaceDE w:val="0"/>
        <w:autoSpaceDN w:val="0"/>
        <w:adjustRightInd w:val="0"/>
        <w:rPr>
          <w:bCs/>
          <w:color w:val="000000" w:themeColor="text1"/>
          <w:sz w:val="21"/>
          <w:szCs w:val="21"/>
          <w:lang w:val="en-US"/>
        </w:rPr>
      </w:pPr>
      <w:r w:rsidRPr="00070AD6">
        <w:rPr>
          <w:rStyle w:val="FootnoteReference"/>
          <w:sz w:val="21"/>
          <w:szCs w:val="21"/>
        </w:rPr>
        <w:footnoteRef/>
      </w:r>
      <w:r w:rsidRPr="00070AD6">
        <w:rPr>
          <w:sz w:val="21"/>
          <w:szCs w:val="21"/>
          <w:lang w:val="en-US"/>
        </w:rPr>
        <w:t xml:space="preserve"> </w:t>
      </w:r>
      <w:r w:rsidRPr="00070AD6">
        <w:rPr>
          <w:color w:val="000000" w:themeColor="text1"/>
          <w:sz w:val="21"/>
          <w:szCs w:val="21"/>
          <w:lang w:val="en-US" w:eastAsia="en-US"/>
        </w:rPr>
        <w:t xml:space="preserve">See Council of </w:t>
      </w:r>
      <w:r>
        <w:rPr>
          <w:color w:val="000000" w:themeColor="text1"/>
          <w:sz w:val="21"/>
          <w:szCs w:val="21"/>
          <w:lang w:val="en-US" w:eastAsia="en-US"/>
        </w:rPr>
        <w:t>t</w:t>
      </w:r>
      <w:r w:rsidRPr="00070AD6">
        <w:rPr>
          <w:color w:val="000000" w:themeColor="text1"/>
          <w:sz w:val="21"/>
          <w:szCs w:val="21"/>
          <w:lang w:val="en-US" w:eastAsia="en-US"/>
        </w:rPr>
        <w:t>he European Union, European Council Presidency Conclusions, 22–23 March 2005</w:t>
      </w:r>
      <w:r>
        <w:rPr>
          <w:color w:val="000000" w:themeColor="text1"/>
          <w:sz w:val="21"/>
          <w:szCs w:val="21"/>
          <w:lang w:val="en-US" w:eastAsia="en-US"/>
        </w:rPr>
        <w:t>,</w:t>
      </w:r>
      <w:r w:rsidRPr="00070AD6">
        <w:rPr>
          <w:color w:val="000000" w:themeColor="text1"/>
          <w:sz w:val="21"/>
          <w:szCs w:val="21"/>
          <w:lang w:val="en-US" w:eastAsia="en-US"/>
        </w:rPr>
        <w:t xml:space="preserve"> </w:t>
      </w:r>
      <w:hyperlink r:id="rId1" w:history="1">
        <w:r w:rsidRPr="00070AD6">
          <w:rPr>
            <w:color w:val="000000" w:themeColor="text1"/>
            <w:sz w:val="21"/>
            <w:szCs w:val="21"/>
            <w:lang w:val="en-US" w:eastAsia="en-US"/>
          </w:rPr>
          <w:t>http://www.consilium.europa.eu/uedocs/cms_data/docs/pressdata/en/ec/84335.pdf</w:t>
        </w:r>
      </w:hyperlink>
      <w:r w:rsidRPr="00070AD6">
        <w:rPr>
          <w:color w:val="000000" w:themeColor="text1"/>
          <w:sz w:val="21"/>
          <w:szCs w:val="21"/>
          <w:lang w:val="en-US" w:eastAsia="en-US"/>
        </w:rPr>
        <w:t xml:space="preserve">; European Parliament, </w:t>
      </w:r>
      <w:r w:rsidRPr="00070AD6">
        <w:rPr>
          <w:i/>
          <w:color w:val="000000" w:themeColor="text1"/>
          <w:sz w:val="21"/>
          <w:szCs w:val="21"/>
          <w:lang w:val="en-US" w:eastAsia="en-US"/>
        </w:rPr>
        <w:t>Follow-up to the Report on Competition in Professional Services</w:t>
      </w:r>
      <w:r w:rsidRPr="00070AD6">
        <w:rPr>
          <w:color w:val="000000" w:themeColor="text1"/>
          <w:sz w:val="21"/>
          <w:szCs w:val="21"/>
          <w:lang w:val="en-US" w:eastAsia="en-US"/>
        </w:rPr>
        <w:t xml:space="preserve">, P6_TA(2006)0418, http://www.europarl.europa.eu/sides/getDoc.do?pubRef=-//EP//NONSGML+TA+P6-TA-2006-0418+0+DOC+PDF+V0//EN; European Parliament, </w:t>
      </w:r>
      <w:r w:rsidRPr="00070AD6">
        <w:rPr>
          <w:i/>
          <w:color w:val="000000" w:themeColor="text1"/>
          <w:sz w:val="21"/>
          <w:szCs w:val="21"/>
          <w:lang w:val="en-US"/>
        </w:rPr>
        <w:t>Resolution on Market Regulations and Competition Rules for the Liberal Professions</w:t>
      </w:r>
      <w:r w:rsidRPr="00070AD6">
        <w:rPr>
          <w:color w:val="000000" w:themeColor="text1"/>
          <w:sz w:val="21"/>
          <w:szCs w:val="21"/>
          <w:lang w:val="en-US"/>
        </w:rPr>
        <w:t>, 2004 OJ (C 91E) 126</w:t>
      </w:r>
      <w:r w:rsidRPr="00070AD6">
        <w:rPr>
          <w:color w:val="000000" w:themeColor="text1"/>
          <w:sz w:val="21"/>
          <w:szCs w:val="21"/>
          <w:lang w:val="en-US" w:eastAsia="en-US"/>
        </w:rPr>
        <w:t>, http://www.europarl.europa.eu/sides/getDoc.do?pubRef=-//EP//NONSGML+MOTION+B5-2003-0432+0+DOC+PDF+V0//EN;</w:t>
      </w:r>
      <w:r w:rsidRPr="00070AD6">
        <w:rPr>
          <w:color w:val="000000" w:themeColor="text1"/>
          <w:sz w:val="21"/>
          <w:szCs w:val="21"/>
          <w:lang w:val="en-US"/>
        </w:rPr>
        <w:t xml:space="preserve"> </w:t>
      </w:r>
      <w:r w:rsidRPr="00070AD6">
        <w:rPr>
          <w:bCs/>
          <w:color w:val="000000" w:themeColor="text1"/>
          <w:sz w:val="21"/>
          <w:szCs w:val="21"/>
          <w:lang w:val="en-US"/>
        </w:rPr>
        <w:t xml:space="preserve">Communication from the Commission to the Council, the European Parliament, the European Economic and Social Committee and the Committee of the Regions, </w:t>
      </w:r>
      <w:r w:rsidRPr="00070AD6">
        <w:rPr>
          <w:bCs/>
          <w:i/>
          <w:color w:val="000000" w:themeColor="text1"/>
          <w:sz w:val="21"/>
          <w:szCs w:val="21"/>
          <w:lang w:val="en-US"/>
        </w:rPr>
        <w:t>Professional Services—Scope for more reform—Follow-up to the Report on Competition in Professional Services</w:t>
      </w:r>
      <w:r w:rsidRPr="00070AD6">
        <w:rPr>
          <w:bCs/>
          <w:color w:val="000000" w:themeColor="text1"/>
          <w:sz w:val="21"/>
          <w:szCs w:val="21"/>
          <w:lang w:val="en-US"/>
        </w:rPr>
        <w:t xml:space="preserve">, COM(2004) 83 of 9 February 2004 (SEC(2005) 1064): COM/2005/0405 final, </w:t>
      </w:r>
      <w:r w:rsidRPr="00070AD6">
        <w:rPr>
          <w:rStyle w:val="Hyperlink"/>
          <w:bCs/>
          <w:color w:val="000000" w:themeColor="text1"/>
          <w:sz w:val="21"/>
          <w:szCs w:val="21"/>
          <w:lang w:val="en-US"/>
        </w:rPr>
        <w:t>http://eur-lex.europa.eu/legal-content/EN/ALL/?uri=CELEX:52005DC0405</w:t>
      </w:r>
      <w:r w:rsidRPr="00070AD6">
        <w:rPr>
          <w:bCs/>
          <w:color w:val="000000" w:themeColor="text1"/>
          <w:sz w:val="21"/>
          <w:szCs w:val="21"/>
          <w:lang w:val="en-US"/>
        </w:rPr>
        <w:t xml:space="preserve">; Commission Communication, </w:t>
      </w:r>
      <w:r w:rsidRPr="00070AD6">
        <w:rPr>
          <w:bCs/>
          <w:i/>
          <w:color w:val="000000" w:themeColor="text1"/>
          <w:sz w:val="21"/>
          <w:szCs w:val="21"/>
          <w:lang w:val="en-US"/>
        </w:rPr>
        <w:t>Report on Competition in Professional Services</w:t>
      </w:r>
      <w:r w:rsidRPr="00070AD6">
        <w:rPr>
          <w:bCs/>
          <w:color w:val="000000" w:themeColor="text1"/>
          <w:sz w:val="21"/>
          <w:szCs w:val="21"/>
          <w:lang w:val="en-US"/>
        </w:rPr>
        <w:t xml:space="preserve">, COM/2004/0083 final, </w:t>
      </w:r>
      <w:hyperlink r:id="rId2" w:history="1">
        <w:r w:rsidRPr="00070AD6">
          <w:rPr>
            <w:rStyle w:val="Hyperlink"/>
            <w:bCs/>
            <w:sz w:val="21"/>
            <w:szCs w:val="21"/>
            <w:lang w:val="en-US"/>
          </w:rPr>
          <w:t>http://eur-lex.europa.eu/legal-content/EN/ALL/?uri=CELEX:52004DC0083</w:t>
        </w:r>
      </w:hyperlink>
      <w:r w:rsidRPr="00070AD6">
        <w:rPr>
          <w:sz w:val="21"/>
          <w:szCs w:val="21"/>
          <w:lang w:val="en-US"/>
        </w:rPr>
        <w:t>.</w:t>
      </w:r>
    </w:p>
  </w:footnote>
  <w:footnote w:id="4">
    <w:p w:rsidR="00677175" w:rsidRPr="00070AD6" w:rsidRDefault="00677175" w:rsidP="00A03668">
      <w:pPr>
        <w:pStyle w:val="Default"/>
        <w:rPr>
          <w:color w:val="000000" w:themeColor="text1"/>
          <w:sz w:val="21"/>
          <w:szCs w:val="21"/>
          <w:lang w:val="en-US"/>
        </w:rPr>
      </w:pPr>
      <w:r w:rsidRPr="00070AD6">
        <w:rPr>
          <w:rStyle w:val="FootnoteReference"/>
          <w:sz w:val="21"/>
          <w:szCs w:val="21"/>
        </w:rPr>
        <w:footnoteRef/>
      </w:r>
      <w:r w:rsidRPr="00070AD6">
        <w:rPr>
          <w:sz w:val="21"/>
          <w:szCs w:val="21"/>
          <w:lang w:val="en-US"/>
        </w:rPr>
        <w:t xml:space="preserve"> Concerning the European attempt to apply competition law to professional services, see: </w:t>
      </w:r>
      <w:r w:rsidRPr="00070AD6">
        <w:rPr>
          <w:color w:val="000000" w:themeColor="text1"/>
          <w:sz w:val="21"/>
          <w:szCs w:val="21"/>
          <w:lang w:val="en-US"/>
        </w:rPr>
        <w:t xml:space="preserve">Report on the Economic Impact of Liberal Professionals in Different Member States, Invitation to Tender, Open Procedure, 2001; I. </w:t>
      </w:r>
      <w:r w:rsidRPr="00070AD6">
        <w:rPr>
          <w:smallCaps/>
          <w:color w:val="000000" w:themeColor="text1"/>
          <w:sz w:val="21"/>
          <w:szCs w:val="21"/>
          <w:lang w:val="en-US"/>
        </w:rPr>
        <w:t>Paterson</w:t>
      </w:r>
      <w:r w:rsidRPr="00070AD6">
        <w:rPr>
          <w:color w:val="000000" w:themeColor="text1"/>
          <w:sz w:val="21"/>
          <w:szCs w:val="21"/>
          <w:lang w:val="en-US"/>
        </w:rPr>
        <w:t xml:space="preserve">, M. </w:t>
      </w:r>
      <w:r w:rsidRPr="00070AD6">
        <w:rPr>
          <w:smallCaps/>
          <w:color w:val="000000" w:themeColor="text1"/>
          <w:sz w:val="21"/>
          <w:szCs w:val="21"/>
          <w:lang w:val="en-US"/>
        </w:rPr>
        <w:t>Fink</w:t>
      </w:r>
      <w:r w:rsidRPr="00070AD6">
        <w:rPr>
          <w:color w:val="000000" w:themeColor="text1"/>
          <w:sz w:val="21"/>
          <w:szCs w:val="21"/>
          <w:lang w:val="en-US"/>
        </w:rPr>
        <w:t xml:space="preserve"> </w:t>
      </w:r>
      <w:r w:rsidR="00385A5D">
        <w:rPr>
          <w:color w:val="000000" w:themeColor="text1"/>
          <w:sz w:val="21"/>
          <w:szCs w:val="21"/>
          <w:lang w:val="en-US"/>
        </w:rPr>
        <w:t>&amp;</w:t>
      </w:r>
      <w:r w:rsidR="00385A5D" w:rsidRPr="00070AD6">
        <w:rPr>
          <w:color w:val="000000" w:themeColor="text1"/>
          <w:sz w:val="21"/>
          <w:szCs w:val="21"/>
          <w:lang w:val="en-US"/>
        </w:rPr>
        <w:t xml:space="preserve"> </w:t>
      </w:r>
      <w:r w:rsidRPr="00070AD6">
        <w:rPr>
          <w:color w:val="000000" w:themeColor="text1"/>
          <w:sz w:val="21"/>
          <w:szCs w:val="21"/>
          <w:lang w:val="en-US"/>
        </w:rPr>
        <w:t xml:space="preserve">A. </w:t>
      </w:r>
      <w:r w:rsidRPr="00070AD6">
        <w:rPr>
          <w:smallCaps/>
          <w:color w:val="000000" w:themeColor="text1"/>
          <w:sz w:val="21"/>
          <w:szCs w:val="21"/>
          <w:lang w:val="en-US"/>
        </w:rPr>
        <w:t>Ogus</w:t>
      </w:r>
      <w:r w:rsidRPr="00070AD6">
        <w:rPr>
          <w:color w:val="000000" w:themeColor="text1"/>
          <w:sz w:val="21"/>
          <w:szCs w:val="21"/>
          <w:lang w:val="en-US"/>
        </w:rPr>
        <w:t xml:space="preserve">, </w:t>
      </w:r>
      <w:r w:rsidRPr="00070AD6">
        <w:rPr>
          <w:i/>
          <w:color w:val="000000" w:themeColor="text1"/>
          <w:sz w:val="21"/>
          <w:szCs w:val="21"/>
          <w:lang w:val="en-US"/>
        </w:rPr>
        <w:t>Economic Impact of Regulation in the Field of the Liberal Professions</w:t>
      </w:r>
      <w:r w:rsidRPr="00070AD6">
        <w:rPr>
          <w:sz w:val="21"/>
          <w:szCs w:val="21"/>
          <w:lang w:val="en-US"/>
        </w:rPr>
        <w:t xml:space="preserve">; </w:t>
      </w:r>
      <w:r w:rsidRPr="00070AD6">
        <w:rPr>
          <w:color w:val="000000" w:themeColor="text1"/>
          <w:sz w:val="21"/>
          <w:szCs w:val="21"/>
          <w:lang w:val="en-US"/>
        </w:rPr>
        <w:t xml:space="preserve">European Commission, DG Competition, </w:t>
      </w:r>
      <w:r w:rsidRPr="00070AD6">
        <w:rPr>
          <w:i/>
          <w:color w:val="000000" w:themeColor="text1"/>
          <w:sz w:val="21"/>
          <w:szCs w:val="21"/>
          <w:lang w:val="en-US"/>
        </w:rPr>
        <w:t>Stocktaking Exercise on Regulation of Professional Service</w:t>
      </w:r>
      <w:r>
        <w:rPr>
          <w:i/>
          <w:color w:val="000000" w:themeColor="text1"/>
          <w:sz w:val="21"/>
          <w:szCs w:val="21"/>
          <w:lang w:val="en-US"/>
        </w:rPr>
        <w:t>:</w:t>
      </w:r>
      <w:r w:rsidRPr="00070AD6">
        <w:rPr>
          <w:i/>
          <w:color w:val="000000" w:themeColor="text1"/>
          <w:sz w:val="21"/>
          <w:szCs w:val="21"/>
          <w:lang w:val="en-US"/>
        </w:rPr>
        <w:t xml:space="preserve"> Overview of Regulation in the New EU Member States</w:t>
      </w:r>
      <w:r w:rsidRPr="00070AD6">
        <w:rPr>
          <w:color w:val="000000" w:themeColor="text1"/>
          <w:sz w:val="21"/>
          <w:szCs w:val="21"/>
          <w:lang w:val="en-US"/>
        </w:rPr>
        <w:t xml:space="preserve">, COMP/D3/MK/D(2004), </w:t>
      </w:r>
      <w:hyperlink r:id="rId3" w:history="1">
        <w:r w:rsidRPr="00070AD6">
          <w:rPr>
            <w:rStyle w:val="Hyperlink"/>
            <w:color w:val="000000" w:themeColor="text1"/>
            <w:sz w:val="21"/>
            <w:szCs w:val="21"/>
            <w:lang w:val="en-US"/>
          </w:rPr>
          <w:t>http://ec.europa.eu/competition/sectors/professional_services/studies/overview_of_regulation_in_the_eu_professions.pdf</w:t>
        </w:r>
      </w:hyperlink>
      <w:r w:rsidRPr="00070AD6">
        <w:rPr>
          <w:sz w:val="21"/>
          <w:szCs w:val="21"/>
          <w:lang w:val="en-US"/>
        </w:rPr>
        <w:t xml:space="preserve">; </w:t>
      </w:r>
      <w:r w:rsidRPr="00070AD6">
        <w:rPr>
          <w:color w:val="000000" w:themeColor="text1"/>
          <w:sz w:val="21"/>
          <w:szCs w:val="21"/>
          <w:lang w:val="en-US"/>
        </w:rPr>
        <w:t xml:space="preserve">European Commission, DG Competition, </w:t>
      </w:r>
      <w:r w:rsidRPr="00070AD6">
        <w:rPr>
          <w:i/>
          <w:iCs/>
          <w:color w:val="000000" w:themeColor="text1"/>
          <w:sz w:val="21"/>
          <w:szCs w:val="21"/>
          <w:lang w:val="en-US"/>
        </w:rPr>
        <w:t>Invitation to Comment</w:t>
      </w:r>
      <w:r>
        <w:rPr>
          <w:i/>
          <w:iCs/>
          <w:color w:val="000000" w:themeColor="text1"/>
          <w:sz w:val="21"/>
          <w:szCs w:val="21"/>
          <w:lang w:val="en-US"/>
        </w:rPr>
        <w:t>:</w:t>
      </w:r>
      <w:r w:rsidRPr="00070AD6">
        <w:rPr>
          <w:i/>
          <w:iCs/>
          <w:color w:val="000000" w:themeColor="text1"/>
          <w:sz w:val="21"/>
          <w:szCs w:val="21"/>
          <w:lang w:val="en-US"/>
        </w:rPr>
        <w:t xml:space="preserve"> Regulation in Liberal Professions and </w:t>
      </w:r>
      <w:r>
        <w:rPr>
          <w:i/>
          <w:iCs/>
          <w:color w:val="000000" w:themeColor="text1"/>
          <w:sz w:val="21"/>
          <w:szCs w:val="21"/>
          <w:lang w:val="en-US"/>
        </w:rPr>
        <w:t>I</w:t>
      </w:r>
      <w:r w:rsidRPr="00070AD6">
        <w:rPr>
          <w:i/>
          <w:iCs/>
          <w:color w:val="000000" w:themeColor="text1"/>
          <w:sz w:val="21"/>
          <w:szCs w:val="21"/>
          <w:lang w:val="en-US"/>
        </w:rPr>
        <w:t>ts Effects</w:t>
      </w:r>
      <w:r>
        <w:rPr>
          <w:i/>
          <w:iCs/>
          <w:color w:val="000000" w:themeColor="text1"/>
          <w:sz w:val="21"/>
          <w:szCs w:val="21"/>
          <w:lang w:val="en-US"/>
        </w:rPr>
        <w:t>:</w:t>
      </w:r>
      <w:r w:rsidRPr="00070AD6">
        <w:rPr>
          <w:i/>
          <w:iCs/>
          <w:color w:val="000000" w:themeColor="text1"/>
          <w:sz w:val="21"/>
          <w:szCs w:val="21"/>
          <w:lang w:val="en-US"/>
        </w:rPr>
        <w:t xml:space="preserve"> Summary of Responses</w:t>
      </w:r>
      <w:r w:rsidRPr="00070AD6">
        <w:rPr>
          <w:color w:val="000000" w:themeColor="text1"/>
          <w:sz w:val="21"/>
          <w:szCs w:val="21"/>
          <w:lang w:val="en-US"/>
        </w:rPr>
        <w:t xml:space="preserve">, 2003, </w:t>
      </w:r>
      <w:r w:rsidRPr="00070AD6">
        <w:rPr>
          <w:rStyle w:val="Hyperlink"/>
          <w:color w:val="000000" w:themeColor="text1"/>
          <w:sz w:val="21"/>
          <w:szCs w:val="21"/>
          <w:lang w:val="en-US"/>
        </w:rPr>
        <w:t>http://ec.europa.eu/competition/sectors/professional_services/studies/summary_of_consultation_responses.pdf</w:t>
      </w:r>
      <w:r w:rsidRPr="00070AD6">
        <w:rPr>
          <w:sz w:val="21"/>
          <w:szCs w:val="21"/>
          <w:lang w:val="en-US"/>
        </w:rPr>
        <w:t xml:space="preserve">; </w:t>
      </w:r>
      <w:r w:rsidRPr="00070AD6">
        <w:rPr>
          <w:bCs/>
          <w:color w:val="000000" w:themeColor="text1"/>
          <w:sz w:val="21"/>
          <w:szCs w:val="21"/>
          <w:lang w:val="en-US"/>
        </w:rPr>
        <w:t xml:space="preserve">Commission Communication, </w:t>
      </w:r>
      <w:r w:rsidRPr="00070AD6">
        <w:rPr>
          <w:bCs/>
          <w:i/>
          <w:color w:val="000000" w:themeColor="text1"/>
          <w:sz w:val="21"/>
          <w:szCs w:val="21"/>
          <w:lang w:val="en-US"/>
        </w:rPr>
        <w:t>Report on Competition in Professional Services</w:t>
      </w:r>
      <w:r w:rsidRPr="00070AD6">
        <w:rPr>
          <w:sz w:val="21"/>
          <w:szCs w:val="21"/>
          <w:lang w:val="en-US"/>
        </w:rPr>
        <w:t xml:space="preserve">; </w:t>
      </w:r>
      <w:r w:rsidRPr="00070AD6">
        <w:rPr>
          <w:color w:val="000000" w:themeColor="text1"/>
          <w:sz w:val="21"/>
          <w:szCs w:val="21"/>
          <w:lang w:val="en-US"/>
        </w:rPr>
        <w:t xml:space="preserve">Commission Communication to the European Parliament, the Council, the European Economic and Social Committee and the Committee of the </w:t>
      </w:r>
      <w:r>
        <w:rPr>
          <w:color w:val="000000" w:themeColor="text1"/>
          <w:sz w:val="21"/>
          <w:szCs w:val="21"/>
          <w:lang w:val="en-US"/>
        </w:rPr>
        <w:t>R</w:t>
      </w:r>
      <w:r w:rsidRPr="00070AD6">
        <w:rPr>
          <w:color w:val="000000" w:themeColor="text1"/>
          <w:sz w:val="21"/>
          <w:szCs w:val="21"/>
          <w:lang w:val="en-US"/>
        </w:rPr>
        <w:t xml:space="preserve">egions, </w:t>
      </w:r>
      <w:r w:rsidRPr="00070AD6">
        <w:rPr>
          <w:i/>
          <w:color w:val="000000" w:themeColor="text1"/>
          <w:sz w:val="21"/>
          <w:szCs w:val="21"/>
          <w:lang w:val="en-US"/>
        </w:rPr>
        <w:t xml:space="preserve">Upgrading the Single Market: More </w:t>
      </w:r>
      <w:r>
        <w:rPr>
          <w:i/>
          <w:color w:val="000000" w:themeColor="text1"/>
          <w:sz w:val="21"/>
          <w:szCs w:val="21"/>
          <w:lang w:val="en-US"/>
        </w:rPr>
        <w:t>O</w:t>
      </w:r>
      <w:r w:rsidRPr="00070AD6">
        <w:rPr>
          <w:i/>
          <w:color w:val="000000" w:themeColor="text1"/>
          <w:sz w:val="21"/>
          <w:szCs w:val="21"/>
          <w:lang w:val="en-US"/>
        </w:rPr>
        <w:t xml:space="preserve">pportunities for </w:t>
      </w:r>
      <w:r>
        <w:rPr>
          <w:i/>
          <w:color w:val="000000" w:themeColor="text1"/>
          <w:sz w:val="21"/>
          <w:szCs w:val="21"/>
          <w:lang w:val="en-US"/>
        </w:rPr>
        <w:t>P</w:t>
      </w:r>
      <w:r w:rsidRPr="00070AD6">
        <w:rPr>
          <w:i/>
          <w:color w:val="000000" w:themeColor="text1"/>
          <w:sz w:val="21"/>
          <w:szCs w:val="21"/>
          <w:lang w:val="en-US"/>
        </w:rPr>
        <w:t xml:space="preserve">eople and </w:t>
      </w:r>
      <w:r>
        <w:rPr>
          <w:i/>
          <w:color w:val="000000" w:themeColor="text1"/>
          <w:sz w:val="21"/>
          <w:szCs w:val="21"/>
          <w:lang w:val="en-US"/>
        </w:rPr>
        <w:t>B</w:t>
      </w:r>
      <w:r w:rsidRPr="00070AD6">
        <w:rPr>
          <w:i/>
          <w:color w:val="000000" w:themeColor="text1"/>
          <w:sz w:val="21"/>
          <w:szCs w:val="21"/>
          <w:lang w:val="en-US"/>
        </w:rPr>
        <w:t>usiness</w:t>
      </w:r>
      <w:r w:rsidRPr="00070AD6">
        <w:rPr>
          <w:color w:val="000000" w:themeColor="text1"/>
          <w:sz w:val="21"/>
          <w:szCs w:val="21"/>
          <w:lang w:val="en-US"/>
        </w:rPr>
        <w:t xml:space="preserve">, COM(2015)550 final; </w:t>
      </w:r>
      <w:r>
        <w:rPr>
          <w:color w:val="000000" w:themeColor="text1"/>
          <w:sz w:val="21"/>
          <w:szCs w:val="21"/>
          <w:lang w:val="en-US"/>
        </w:rPr>
        <w:t>s</w:t>
      </w:r>
      <w:r w:rsidRPr="00070AD6">
        <w:rPr>
          <w:color w:val="000000" w:themeColor="text1"/>
          <w:sz w:val="21"/>
          <w:szCs w:val="21"/>
          <w:lang w:val="en-US"/>
        </w:rPr>
        <w:t>ee also the European Parliament’s intervention 2015/2354(INI)</w:t>
      </w:r>
      <w:r w:rsidRPr="00070AD6">
        <w:rPr>
          <w:sz w:val="21"/>
          <w:szCs w:val="21"/>
          <w:lang w:val="en-US"/>
        </w:rPr>
        <w:t xml:space="preserve">; </w:t>
      </w:r>
      <w:bookmarkStart w:id="1" w:name="_Hlk511932264"/>
      <w:r w:rsidRPr="00070AD6">
        <w:rPr>
          <w:color w:val="000000" w:themeColor="text1"/>
          <w:sz w:val="21"/>
          <w:szCs w:val="21"/>
          <w:lang w:val="en-US"/>
        </w:rPr>
        <w:t>Communication from the Commission to the European Parliament, the Council, the European Economic and Social Committee and the Committee of the Regions on Reform</w:t>
      </w:r>
      <w:bookmarkEnd w:id="1"/>
      <w:r w:rsidRPr="00070AD6">
        <w:rPr>
          <w:color w:val="000000" w:themeColor="text1"/>
          <w:sz w:val="21"/>
          <w:szCs w:val="21"/>
          <w:lang w:val="en-US"/>
        </w:rPr>
        <w:t xml:space="preserve">, </w:t>
      </w:r>
      <w:r w:rsidRPr="00070AD6">
        <w:rPr>
          <w:i/>
          <w:color w:val="000000" w:themeColor="text1"/>
          <w:sz w:val="21"/>
          <w:szCs w:val="21"/>
          <w:lang w:val="en-US"/>
        </w:rPr>
        <w:t>Recommendations for Regulation in Professional Services</w:t>
      </w:r>
      <w:r w:rsidRPr="00070AD6">
        <w:rPr>
          <w:color w:val="000000" w:themeColor="text1"/>
          <w:sz w:val="21"/>
          <w:szCs w:val="21"/>
          <w:lang w:val="en-US"/>
        </w:rPr>
        <w:t>, {SWD(2016) 436 final}, COM(2016)820 final, http://ec.europa.eu/transparency/regdoc/?fuseaction=list&amp;coteId=1&amp;year=2016&amp;number=820&amp;version=ALL&amp;language=en</w:t>
      </w:r>
      <w:r w:rsidRPr="00070AD6">
        <w:rPr>
          <w:sz w:val="21"/>
          <w:szCs w:val="21"/>
          <w:lang w:val="en-US"/>
        </w:rPr>
        <w:t xml:space="preserve">; </w:t>
      </w:r>
      <w:r w:rsidRPr="00070AD6">
        <w:rPr>
          <w:color w:val="000000" w:themeColor="text1"/>
          <w:sz w:val="21"/>
          <w:szCs w:val="21"/>
          <w:lang w:val="en-US"/>
        </w:rPr>
        <w:t xml:space="preserve">Communication from the Commission to the European Parliament, the Council, and the European Economic and Social Committee, </w:t>
      </w:r>
      <w:r w:rsidRPr="00070AD6">
        <w:rPr>
          <w:i/>
          <w:color w:val="000000" w:themeColor="text1"/>
          <w:sz w:val="21"/>
          <w:szCs w:val="21"/>
          <w:lang w:val="en-US"/>
        </w:rPr>
        <w:t>Evaluating national regulations on access to profession</w:t>
      </w:r>
      <w:r w:rsidRPr="00070AD6">
        <w:rPr>
          <w:color w:val="000000" w:themeColor="text1"/>
          <w:sz w:val="21"/>
          <w:szCs w:val="21"/>
          <w:lang w:val="en-US"/>
        </w:rPr>
        <w:t>, COM(2013)676, http://eur-lex.europa.eu/legal-content/EN/TXT/?uri=CELEX%3A52013DC0676</w:t>
      </w:r>
      <w:r w:rsidRPr="00070AD6">
        <w:rPr>
          <w:sz w:val="21"/>
          <w:szCs w:val="21"/>
          <w:lang w:val="en-US"/>
        </w:rPr>
        <w:t xml:space="preserve">; </w:t>
      </w:r>
      <w:r w:rsidRPr="00070AD6">
        <w:rPr>
          <w:color w:val="000000" w:themeColor="text1"/>
          <w:sz w:val="21"/>
          <w:szCs w:val="21"/>
          <w:lang w:val="en-US"/>
        </w:rPr>
        <w:t>European Commission, </w:t>
      </w:r>
      <w:r w:rsidRPr="00070AD6">
        <w:rPr>
          <w:i/>
          <w:color w:val="000000" w:themeColor="text1"/>
          <w:sz w:val="21"/>
          <w:szCs w:val="21"/>
          <w:lang w:val="en-US"/>
        </w:rPr>
        <w:t>Proposal for a directive of the European Parliament and of the Council on a proportionality test before adoption of new regulation of professions</w:t>
      </w:r>
      <w:r w:rsidRPr="00070AD6">
        <w:rPr>
          <w:color w:val="000000" w:themeColor="text1"/>
          <w:sz w:val="21"/>
          <w:szCs w:val="21"/>
          <w:lang w:val="en-US"/>
        </w:rPr>
        <w:t>, COM(2016) 822, https://eur-lex.europa.eu/legal-content/EN/TXT/?uri=COM:2016:0822:FIN</w:t>
      </w:r>
      <w:r w:rsidRPr="00070AD6">
        <w:rPr>
          <w:sz w:val="21"/>
          <w:szCs w:val="21"/>
          <w:lang w:val="en-US"/>
        </w:rPr>
        <w:t xml:space="preserve">; </w:t>
      </w:r>
      <w:r w:rsidRPr="00070AD6">
        <w:rPr>
          <w:color w:val="000000" w:themeColor="text1"/>
          <w:sz w:val="21"/>
          <w:szCs w:val="21"/>
          <w:bdr w:val="none" w:sz="0" w:space="0" w:color="auto" w:frame="1"/>
          <w:lang w:val="en-US"/>
        </w:rPr>
        <w:t xml:space="preserve">Directive (EU) 2018/958 of the European Parliament and of the Council of 28 June 2018 on a proportionality test before adoption of new regulation of professions, in </w:t>
      </w:r>
      <w:r w:rsidRPr="00070AD6">
        <w:rPr>
          <w:i/>
          <w:iCs/>
          <w:color w:val="000000" w:themeColor="text1"/>
          <w:sz w:val="21"/>
          <w:szCs w:val="21"/>
          <w:lang w:val="en-US"/>
        </w:rPr>
        <w:t xml:space="preserve">GU L 173 9.7.2018, pp 25–34, </w:t>
      </w:r>
      <w:hyperlink r:id="rId4" w:history="1">
        <w:r w:rsidRPr="00070AD6">
          <w:rPr>
            <w:rStyle w:val="Hyperlink"/>
            <w:color w:val="000000" w:themeColor="text1"/>
            <w:sz w:val="21"/>
            <w:szCs w:val="21"/>
            <w:lang w:val="en-US"/>
          </w:rPr>
          <w:t>https://eur-lex.europa.eu/legal-content/EN/TXT/?toc=OJ%3AL%3A2018%3A173%3ATOC&amp;uri=uriserv%3AOJ.L_.2018.173.01.0025.01.ENG</w:t>
        </w:r>
      </w:hyperlink>
      <w:r w:rsidRPr="00070AD6">
        <w:rPr>
          <w:sz w:val="21"/>
          <w:szCs w:val="21"/>
          <w:lang w:val="en-US"/>
        </w:rPr>
        <w:t>.</w:t>
      </w:r>
    </w:p>
    <w:p w:rsidR="00677175" w:rsidRPr="00070AD6" w:rsidRDefault="00677175" w:rsidP="00A03668">
      <w:pPr>
        <w:autoSpaceDE w:val="0"/>
        <w:autoSpaceDN w:val="0"/>
        <w:adjustRightInd w:val="0"/>
        <w:rPr>
          <w:rFonts w:eastAsiaTheme="minorHAnsi"/>
          <w:sz w:val="21"/>
          <w:szCs w:val="21"/>
          <w:lang w:val="en-US" w:eastAsia="en-US"/>
        </w:rPr>
      </w:pPr>
      <w:r w:rsidRPr="00070AD6">
        <w:rPr>
          <w:rFonts w:eastAsiaTheme="minorHAnsi"/>
          <w:sz w:val="21"/>
          <w:szCs w:val="21"/>
          <w:lang w:val="en-US" w:eastAsia="en-US"/>
        </w:rPr>
        <w:t xml:space="preserve">A similar trend towards deregulation was first endorsed in other jurisdictions, such as the US and Australia and, at the international level, by the Organisation for Economic Co-operation and Development (OECD). Cf. </w:t>
      </w:r>
      <w:r w:rsidRPr="00070AD6">
        <w:rPr>
          <w:color w:val="000000" w:themeColor="text1"/>
          <w:sz w:val="21"/>
          <w:szCs w:val="21"/>
          <w:lang w:val="en-US"/>
        </w:rPr>
        <w:t xml:space="preserve">OECD, </w:t>
      </w:r>
      <w:r w:rsidRPr="00070AD6">
        <w:rPr>
          <w:i/>
          <w:color w:val="000000" w:themeColor="text1"/>
          <w:sz w:val="21"/>
          <w:szCs w:val="21"/>
          <w:lang w:val="en-US"/>
        </w:rPr>
        <w:t>Competition Policy and the Professions</w:t>
      </w:r>
      <w:r w:rsidRPr="00070AD6">
        <w:rPr>
          <w:color w:val="000000" w:themeColor="text1"/>
          <w:sz w:val="21"/>
          <w:szCs w:val="21"/>
          <w:lang w:val="en-US"/>
        </w:rPr>
        <w:t xml:space="preserve">, 1985; OECD, </w:t>
      </w:r>
      <w:r w:rsidRPr="00070AD6">
        <w:rPr>
          <w:i/>
          <w:color w:val="000000" w:themeColor="text1"/>
          <w:sz w:val="21"/>
          <w:szCs w:val="21"/>
          <w:lang w:val="en-US"/>
        </w:rPr>
        <w:t>Competition in Professional Services</w:t>
      </w:r>
      <w:r w:rsidRPr="00070AD6">
        <w:rPr>
          <w:color w:val="000000" w:themeColor="text1"/>
          <w:sz w:val="21"/>
          <w:szCs w:val="21"/>
          <w:lang w:val="en-US"/>
        </w:rPr>
        <w:t xml:space="preserve">, DAFFE/CLP(2000)2, </w:t>
      </w:r>
      <w:r w:rsidRPr="00070AD6">
        <w:rPr>
          <w:rStyle w:val="Hyperlink"/>
          <w:color w:val="000000" w:themeColor="text1"/>
          <w:sz w:val="21"/>
          <w:szCs w:val="21"/>
          <w:lang w:val="en-US"/>
        </w:rPr>
        <w:t>http://www.oecd.org/regreform/sectors/1920231.pdf</w:t>
      </w:r>
      <w:r w:rsidRPr="00070AD6">
        <w:rPr>
          <w:color w:val="000000" w:themeColor="text1"/>
          <w:sz w:val="21"/>
          <w:szCs w:val="21"/>
          <w:lang w:val="en-US"/>
        </w:rPr>
        <w:t xml:space="preserve">; OECD, DAF/COMP(2007)39. With regards to the US experience: </w:t>
      </w:r>
      <w:r w:rsidRPr="00070AD6">
        <w:rPr>
          <w:i/>
          <w:color w:val="000000" w:themeColor="text1"/>
          <w:sz w:val="21"/>
          <w:szCs w:val="21"/>
          <w:lang w:val="en-US"/>
        </w:rPr>
        <w:t>Goldfarb v</w:t>
      </w:r>
      <w:r>
        <w:rPr>
          <w:i/>
          <w:color w:val="000000" w:themeColor="text1"/>
          <w:sz w:val="21"/>
          <w:szCs w:val="21"/>
          <w:lang w:val="en-US"/>
        </w:rPr>
        <w:t>.</w:t>
      </w:r>
      <w:r w:rsidRPr="00070AD6">
        <w:rPr>
          <w:i/>
          <w:color w:val="000000" w:themeColor="text1"/>
          <w:sz w:val="21"/>
          <w:szCs w:val="21"/>
          <w:lang w:val="en-US"/>
        </w:rPr>
        <w:t xml:space="preserve"> State Bar of Virginia</w:t>
      </w:r>
      <w:r w:rsidRPr="00070AD6">
        <w:rPr>
          <w:color w:val="000000" w:themeColor="text1"/>
          <w:sz w:val="21"/>
          <w:szCs w:val="21"/>
          <w:lang w:val="en-US"/>
        </w:rPr>
        <w:t xml:space="preserve">, 421 U.S. 773 (1975); </w:t>
      </w:r>
      <w:r w:rsidRPr="00070AD6">
        <w:rPr>
          <w:i/>
          <w:color w:val="000000" w:themeColor="text1"/>
          <w:sz w:val="21"/>
          <w:szCs w:val="21"/>
          <w:lang w:val="en-US"/>
        </w:rPr>
        <w:t>Bates v. State Bar of Arizona</w:t>
      </w:r>
      <w:r w:rsidRPr="00070AD6">
        <w:rPr>
          <w:color w:val="000000" w:themeColor="text1"/>
          <w:sz w:val="21"/>
          <w:szCs w:val="21"/>
          <w:lang w:val="en-US"/>
        </w:rPr>
        <w:t xml:space="preserve">, 433 U.S. 350 (1977); C.J. </w:t>
      </w:r>
      <w:r w:rsidRPr="00070AD6">
        <w:rPr>
          <w:smallCaps/>
          <w:color w:val="000000" w:themeColor="text1"/>
          <w:sz w:val="21"/>
          <w:szCs w:val="21"/>
          <w:lang w:val="en-US"/>
        </w:rPr>
        <w:t>Gawley</w:t>
      </w:r>
      <w:r w:rsidRPr="00070AD6">
        <w:rPr>
          <w:color w:val="000000" w:themeColor="text1"/>
          <w:sz w:val="21"/>
          <w:szCs w:val="21"/>
          <w:lang w:val="en-US"/>
        </w:rPr>
        <w:t xml:space="preserve">, ‘Protecting Professionals from Competition: </w:t>
      </w:r>
      <w:r>
        <w:rPr>
          <w:color w:val="000000" w:themeColor="text1"/>
          <w:sz w:val="21"/>
          <w:szCs w:val="21"/>
          <w:lang w:val="en-US"/>
        </w:rPr>
        <w:t>T</w:t>
      </w:r>
      <w:r w:rsidRPr="00070AD6">
        <w:rPr>
          <w:color w:val="000000" w:themeColor="text1"/>
          <w:sz w:val="21"/>
          <w:szCs w:val="21"/>
          <w:lang w:val="en-US"/>
        </w:rPr>
        <w:t xml:space="preserve">he Necessity of a Limited Antitrust Exemption for Professionals’, in 47. </w:t>
      </w:r>
      <w:r w:rsidRPr="00070AD6">
        <w:rPr>
          <w:i/>
          <w:color w:val="000000" w:themeColor="text1"/>
          <w:sz w:val="21"/>
          <w:szCs w:val="21"/>
          <w:lang w:val="en-US"/>
        </w:rPr>
        <w:t>S.D. L. Rev.</w:t>
      </w:r>
      <w:r w:rsidRPr="00070AD6">
        <w:rPr>
          <w:color w:val="000000" w:themeColor="text1"/>
          <w:sz w:val="21"/>
          <w:szCs w:val="21"/>
          <w:lang w:val="en-US"/>
        </w:rPr>
        <w:t xml:space="preserve"> (</w:t>
      </w:r>
      <w:r w:rsidRPr="00070AD6">
        <w:rPr>
          <w:i/>
          <w:color w:val="000000" w:themeColor="text1"/>
          <w:sz w:val="21"/>
          <w:szCs w:val="21"/>
          <w:lang w:val="en-US"/>
        </w:rPr>
        <w:t>South Dakota Law Review)</w:t>
      </w:r>
      <w:r w:rsidRPr="00070AD6">
        <w:rPr>
          <w:color w:val="000000" w:themeColor="text1"/>
          <w:sz w:val="21"/>
          <w:szCs w:val="21"/>
          <w:lang w:val="en-US"/>
        </w:rPr>
        <w:t xml:space="preserve"> 2002, p 233; D. </w:t>
      </w:r>
      <w:r w:rsidRPr="00070AD6">
        <w:rPr>
          <w:smallCaps/>
          <w:color w:val="000000" w:themeColor="text1"/>
          <w:sz w:val="21"/>
          <w:szCs w:val="21"/>
          <w:lang w:val="en-US"/>
        </w:rPr>
        <w:t>V</w:t>
      </w:r>
      <w:r w:rsidRPr="00070AD6">
        <w:rPr>
          <w:smallCaps/>
          <w:color w:val="000000" w:themeColor="text1"/>
          <w:sz w:val="21"/>
          <w:szCs w:val="21"/>
          <w:shd w:val="clear" w:color="auto" w:fill="FFFFFF"/>
          <w:lang w:val="en-US"/>
        </w:rPr>
        <w:t>á</w:t>
      </w:r>
      <w:r w:rsidRPr="00070AD6">
        <w:rPr>
          <w:smallCaps/>
          <w:color w:val="000000" w:themeColor="text1"/>
          <w:sz w:val="21"/>
          <w:szCs w:val="21"/>
          <w:lang w:val="en-US"/>
        </w:rPr>
        <w:t>zquez</w:t>
      </w:r>
      <w:r w:rsidRPr="00070AD6">
        <w:rPr>
          <w:color w:val="000000" w:themeColor="text1"/>
          <w:sz w:val="21"/>
          <w:szCs w:val="21"/>
          <w:lang w:val="en-US"/>
        </w:rPr>
        <w:t xml:space="preserve"> </w:t>
      </w:r>
      <w:r w:rsidRPr="00070AD6">
        <w:rPr>
          <w:smallCaps/>
          <w:color w:val="000000" w:themeColor="text1"/>
          <w:sz w:val="21"/>
          <w:szCs w:val="21"/>
          <w:lang w:val="en-US"/>
        </w:rPr>
        <w:t>Albert</w:t>
      </w:r>
      <w:r w:rsidRPr="00070AD6">
        <w:rPr>
          <w:color w:val="000000" w:themeColor="text1"/>
          <w:sz w:val="21"/>
          <w:szCs w:val="21"/>
          <w:lang w:val="en-US"/>
        </w:rPr>
        <w:t xml:space="preserve">, ‘Competition Law and Professional Practice’, in 11. </w:t>
      </w:r>
      <w:r w:rsidRPr="00070AD6">
        <w:rPr>
          <w:i/>
          <w:color w:val="000000" w:themeColor="text1"/>
          <w:sz w:val="21"/>
          <w:szCs w:val="21"/>
          <w:lang w:val="en-US"/>
        </w:rPr>
        <w:t>ILSA J. Int’l &amp; Comp. L.</w:t>
      </w:r>
      <w:r w:rsidRPr="00070AD6">
        <w:rPr>
          <w:color w:val="000000" w:themeColor="text1"/>
          <w:sz w:val="21"/>
          <w:szCs w:val="21"/>
          <w:lang w:val="en-US"/>
        </w:rPr>
        <w:t xml:space="preserve"> (</w:t>
      </w:r>
      <w:r w:rsidRPr="00070AD6">
        <w:rPr>
          <w:i/>
          <w:color w:val="000000" w:themeColor="text1"/>
          <w:sz w:val="21"/>
          <w:szCs w:val="21"/>
          <w:lang w:val="en-US"/>
        </w:rPr>
        <w:t>ILSA</w:t>
      </w:r>
      <w:r w:rsidRPr="00070AD6">
        <w:rPr>
          <w:color w:val="000000" w:themeColor="text1"/>
          <w:sz w:val="21"/>
          <w:szCs w:val="21"/>
          <w:lang w:val="en-US"/>
        </w:rPr>
        <w:t xml:space="preserve"> </w:t>
      </w:r>
      <w:r w:rsidRPr="00070AD6">
        <w:rPr>
          <w:i/>
          <w:color w:val="000000" w:themeColor="text1"/>
          <w:sz w:val="21"/>
          <w:szCs w:val="21"/>
          <w:lang w:val="en-US"/>
        </w:rPr>
        <w:t>Journal of International &amp; Comparative Law)</w:t>
      </w:r>
      <w:r w:rsidRPr="00070AD6">
        <w:rPr>
          <w:color w:val="000000" w:themeColor="text1"/>
          <w:sz w:val="21"/>
          <w:szCs w:val="21"/>
          <w:lang w:val="en-US"/>
        </w:rPr>
        <w:t xml:space="preserve"> 2005, p 555. More generally, see L.S. </w:t>
      </w:r>
      <w:r w:rsidRPr="00070AD6">
        <w:rPr>
          <w:smallCaps/>
          <w:color w:val="000000" w:themeColor="text1"/>
          <w:sz w:val="21"/>
          <w:szCs w:val="21"/>
          <w:lang w:val="en-US"/>
        </w:rPr>
        <w:t>Terry</w:t>
      </w:r>
      <w:r w:rsidRPr="00070AD6">
        <w:rPr>
          <w:color w:val="000000" w:themeColor="text1"/>
          <w:sz w:val="21"/>
          <w:szCs w:val="21"/>
          <w:lang w:val="en-US"/>
        </w:rPr>
        <w:t xml:space="preserve">, ‘The European Commission Project Regarding Competition in Professional Services’, in </w:t>
      </w:r>
      <w:r w:rsidRPr="00070AD6">
        <w:rPr>
          <w:i/>
          <w:color w:val="000000" w:themeColor="text1"/>
          <w:sz w:val="21"/>
          <w:szCs w:val="21"/>
          <w:lang w:val="en-US"/>
        </w:rPr>
        <w:t>Northwestern Journal of International Law &amp; Business</w:t>
      </w:r>
      <w:r w:rsidRPr="00070AD6">
        <w:rPr>
          <w:color w:val="000000" w:themeColor="text1"/>
          <w:sz w:val="21"/>
          <w:szCs w:val="21"/>
          <w:lang w:val="en-US"/>
        </w:rPr>
        <w:t xml:space="preserve"> 2009, p 1.</w:t>
      </w:r>
    </w:p>
  </w:footnote>
  <w:footnote w:id="5">
    <w:p w:rsidR="00677175" w:rsidRPr="00070AD6" w:rsidRDefault="00677175" w:rsidP="00A03668">
      <w:pPr>
        <w:autoSpaceDE w:val="0"/>
        <w:autoSpaceDN w:val="0"/>
        <w:adjustRightInd w:val="0"/>
        <w:rPr>
          <w:rFonts w:eastAsiaTheme="minorHAnsi"/>
          <w:sz w:val="21"/>
          <w:szCs w:val="21"/>
          <w:lang w:eastAsia="en-US"/>
        </w:rPr>
      </w:pPr>
      <w:r w:rsidRPr="00070AD6">
        <w:rPr>
          <w:rStyle w:val="FootnoteReference"/>
          <w:sz w:val="21"/>
          <w:szCs w:val="21"/>
        </w:rPr>
        <w:footnoteRef/>
      </w:r>
      <w:r w:rsidRPr="00070AD6">
        <w:rPr>
          <w:sz w:val="21"/>
          <w:szCs w:val="21"/>
        </w:rPr>
        <w:t xml:space="preserve"> </w:t>
      </w:r>
      <w:r w:rsidRPr="00070AD6">
        <w:rPr>
          <w:color w:val="000000" w:themeColor="text1"/>
          <w:sz w:val="21"/>
          <w:szCs w:val="21"/>
        </w:rPr>
        <w:t xml:space="preserve">Case C-41/90, </w:t>
      </w:r>
      <w:r w:rsidRPr="00070AD6">
        <w:rPr>
          <w:i/>
          <w:color w:val="000000" w:themeColor="text1"/>
          <w:sz w:val="21"/>
          <w:szCs w:val="21"/>
        </w:rPr>
        <w:t>Höfner ed Elser c. Macrotron</w:t>
      </w:r>
      <w:r w:rsidRPr="00070AD6">
        <w:rPr>
          <w:color w:val="000000" w:themeColor="text1"/>
          <w:sz w:val="21"/>
          <w:szCs w:val="21"/>
        </w:rPr>
        <w:t xml:space="preserve">, ECLI:EU:C:1991:161; Case 118/85, </w:t>
      </w:r>
      <w:r w:rsidRPr="00070AD6">
        <w:rPr>
          <w:i/>
          <w:color w:val="000000" w:themeColor="text1"/>
          <w:sz w:val="21"/>
          <w:szCs w:val="21"/>
        </w:rPr>
        <w:t>Commissione c. Italia</w:t>
      </w:r>
      <w:r w:rsidRPr="00070AD6">
        <w:rPr>
          <w:color w:val="000000" w:themeColor="text1"/>
          <w:sz w:val="21"/>
          <w:szCs w:val="21"/>
        </w:rPr>
        <w:t xml:space="preserve">, ECLI:EU:C:2002:36. L. </w:t>
      </w:r>
      <w:r w:rsidRPr="00070AD6">
        <w:rPr>
          <w:smallCaps/>
          <w:color w:val="000000" w:themeColor="text1"/>
          <w:sz w:val="21"/>
          <w:szCs w:val="21"/>
        </w:rPr>
        <w:t>Scudiero</w:t>
      </w:r>
      <w:r w:rsidRPr="00070AD6">
        <w:rPr>
          <w:color w:val="000000" w:themeColor="text1"/>
          <w:sz w:val="21"/>
          <w:szCs w:val="21"/>
        </w:rPr>
        <w:t xml:space="preserve">, La nozione di impresa nella giurisprudenza della Corte di Giustizia, in IV. </w:t>
      </w:r>
      <w:r w:rsidRPr="00070AD6">
        <w:rPr>
          <w:i/>
          <w:color w:val="000000" w:themeColor="text1"/>
          <w:sz w:val="21"/>
          <w:szCs w:val="21"/>
        </w:rPr>
        <w:t xml:space="preserve">Foro it. </w:t>
      </w:r>
      <w:r w:rsidRPr="00070AD6">
        <w:rPr>
          <w:color w:val="000000" w:themeColor="text1"/>
          <w:sz w:val="21"/>
          <w:szCs w:val="21"/>
        </w:rPr>
        <w:t>(</w:t>
      </w:r>
      <w:r w:rsidRPr="00070AD6">
        <w:rPr>
          <w:i/>
          <w:color w:val="000000" w:themeColor="text1"/>
          <w:sz w:val="21"/>
          <w:szCs w:val="21"/>
        </w:rPr>
        <w:t>Foro italiano)</w:t>
      </w:r>
      <w:r w:rsidRPr="00070AD6">
        <w:rPr>
          <w:color w:val="000000" w:themeColor="text1"/>
          <w:sz w:val="21"/>
          <w:szCs w:val="21"/>
        </w:rPr>
        <w:t xml:space="preserve"> 1994, p 113; V. </w:t>
      </w:r>
      <w:r w:rsidRPr="00070AD6">
        <w:rPr>
          <w:smallCaps/>
          <w:color w:val="000000" w:themeColor="text1"/>
          <w:sz w:val="21"/>
          <w:szCs w:val="21"/>
        </w:rPr>
        <w:t>Afferni</w:t>
      </w:r>
      <w:r w:rsidRPr="00070AD6">
        <w:rPr>
          <w:color w:val="000000" w:themeColor="text1"/>
          <w:sz w:val="21"/>
          <w:szCs w:val="21"/>
        </w:rPr>
        <w:t xml:space="preserve">, ‘La nozione di impresa comunitaria’, in F. </w:t>
      </w:r>
      <w:r w:rsidRPr="00070AD6">
        <w:rPr>
          <w:smallCaps/>
          <w:color w:val="000000" w:themeColor="text1"/>
          <w:sz w:val="21"/>
          <w:szCs w:val="21"/>
        </w:rPr>
        <w:t>Galgano</w:t>
      </w:r>
      <w:r w:rsidRPr="00070AD6">
        <w:rPr>
          <w:color w:val="000000" w:themeColor="text1"/>
          <w:sz w:val="21"/>
          <w:szCs w:val="21"/>
        </w:rPr>
        <w:t xml:space="preserve">, </w:t>
      </w:r>
      <w:r w:rsidRPr="00070AD6">
        <w:rPr>
          <w:i/>
          <w:color w:val="000000" w:themeColor="text1"/>
          <w:sz w:val="21"/>
          <w:szCs w:val="21"/>
        </w:rPr>
        <w:t>Trattato di diritto commerciale e diritto pubblico dell’economia, II</w:t>
      </w:r>
      <w:r w:rsidRPr="00070AD6">
        <w:rPr>
          <w:color w:val="000000" w:themeColor="text1"/>
          <w:sz w:val="21"/>
          <w:szCs w:val="21"/>
        </w:rPr>
        <w:t xml:space="preserve"> (Padova: CEDAM 1978), p 134.</w:t>
      </w:r>
    </w:p>
  </w:footnote>
  <w:footnote w:id="6">
    <w:p w:rsidR="00677175" w:rsidRPr="00070AD6" w:rsidRDefault="00677175" w:rsidP="00A03668">
      <w:pPr>
        <w:autoSpaceDE w:val="0"/>
        <w:autoSpaceDN w:val="0"/>
        <w:adjustRightInd w:val="0"/>
        <w:rPr>
          <w:rFonts w:eastAsiaTheme="minorHAnsi"/>
          <w:sz w:val="21"/>
          <w:szCs w:val="21"/>
          <w:lang w:val="en-US" w:eastAsia="en-US"/>
        </w:rPr>
      </w:pPr>
      <w:r w:rsidRPr="00070AD6">
        <w:rPr>
          <w:rStyle w:val="FootnoteReference"/>
          <w:sz w:val="21"/>
          <w:szCs w:val="21"/>
        </w:rPr>
        <w:footnoteRef/>
      </w:r>
      <w:r w:rsidRPr="00070AD6">
        <w:rPr>
          <w:sz w:val="21"/>
          <w:szCs w:val="21"/>
          <w:lang w:val="en-US"/>
        </w:rPr>
        <w:t xml:space="preserve"> </w:t>
      </w:r>
      <w:r w:rsidRPr="00070AD6">
        <w:rPr>
          <w:rFonts w:eastAsiaTheme="minorHAnsi"/>
          <w:sz w:val="21"/>
          <w:szCs w:val="21"/>
          <w:lang w:val="en-US" w:eastAsia="en-US"/>
        </w:rPr>
        <w:t>95/188/EC: Commission Decision of 30 January 1995 relating to a proceeding under Art. 85 of the EC Treaty (IV/33.686 – Coapi) OJ L 122, 02/06/1995, 0037–0050.</w:t>
      </w:r>
    </w:p>
  </w:footnote>
  <w:footnote w:id="7">
    <w:p w:rsidR="00677175" w:rsidRPr="00070AD6" w:rsidRDefault="00677175" w:rsidP="00A03668">
      <w:pPr>
        <w:autoSpaceDE w:val="0"/>
        <w:autoSpaceDN w:val="0"/>
        <w:adjustRightInd w:val="0"/>
        <w:rPr>
          <w:color w:val="000000" w:themeColor="text1"/>
          <w:sz w:val="21"/>
          <w:szCs w:val="21"/>
          <w:lang w:val="en-US"/>
        </w:rPr>
      </w:pPr>
      <w:r w:rsidRPr="00070AD6">
        <w:rPr>
          <w:rStyle w:val="FootnoteReference"/>
          <w:sz w:val="21"/>
          <w:szCs w:val="21"/>
        </w:rPr>
        <w:footnoteRef/>
      </w:r>
      <w:r w:rsidRPr="00070AD6">
        <w:rPr>
          <w:sz w:val="21"/>
          <w:szCs w:val="21"/>
          <w:lang w:val="en-US"/>
        </w:rPr>
        <w:t xml:space="preserve"> </w:t>
      </w:r>
      <w:r w:rsidRPr="00070AD6">
        <w:rPr>
          <w:color w:val="000000" w:themeColor="text1"/>
          <w:sz w:val="21"/>
          <w:szCs w:val="21"/>
          <w:lang w:val="en-US"/>
        </w:rPr>
        <w:t xml:space="preserve">B. </w:t>
      </w:r>
      <w:r w:rsidRPr="00070AD6">
        <w:rPr>
          <w:smallCaps/>
          <w:color w:val="000000" w:themeColor="text1"/>
          <w:sz w:val="21"/>
          <w:szCs w:val="21"/>
          <w:lang w:val="en-US" w:eastAsia="en-US"/>
        </w:rPr>
        <w:t>Arrunada</w:t>
      </w:r>
      <w:r w:rsidRPr="00070AD6">
        <w:rPr>
          <w:color w:val="000000" w:themeColor="text1"/>
          <w:sz w:val="21"/>
          <w:szCs w:val="21"/>
          <w:lang w:val="en-US"/>
        </w:rPr>
        <w:t xml:space="preserve">, ‘The Economics of Notaries’, in 3. </w:t>
      </w:r>
      <w:r w:rsidRPr="00070AD6">
        <w:rPr>
          <w:i/>
          <w:iCs/>
          <w:color w:val="000000" w:themeColor="text1"/>
          <w:sz w:val="21"/>
          <w:szCs w:val="21"/>
          <w:lang w:val="en-US"/>
        </w:rPr>
        <w:t>Eur. J. Law Econ. (</w:t>
      </w:r>
      <w:r w:rsidRPr="00070AD6">
        <w:rPr>
          <w:i/>
          <w:color w:val="000000" w:themeColor="text1"/>
          <w:sz w:val="21"/>
          <w:szCs w:val="21"/>
          <w:lang w:val="en-US"/>
        </w:rPr>
        <w:t>European Journal of Law and Economics)</w:t>
      </w:r>
      <w:r w:rsidRPr="00070AD6">
        <w:rPr>
          <w:color w:val="000000" w:themeColor="text1"/>
          <w:sz w:val="21"/>
          <w:szCs w:val="21"/>
          <w:lang w:val="en-US"/>
        </w:rPr>
        <w:t xml:space="preserve"> 1996, p 5; Robert G. </w:t>
      </w:r>
      <w:r w:rsidRPr="00070AD6">
        <w:rPr>
          <w:smallCaps/>
          <w:color w:val="000000" w:themeColor="text1"/>
          <w:sz w:val="21"/>
          <w:szCs w:val="21"/>
          <w:lang w:val="en-US" w:eastAsia="en-US"/>
        </w:rPr>
        <w:t>Evans</w:t>
      </w:r>
      <w:r w:rsidRPr="00070AD6">
        <w:rPr>
          <w:color w:val="000000" w:themeColor="text1"/>
          <w:sz w:val="21"/>
          <w:szCs w:val="21"/>
          <w:lang w:val="en-US"/>
        </w:rPr>
        <w:t xml:space="preserve"> </w:t>
      </w:r>
      <w:r w:rsidR="00385A5D">
        <w:rPr>
          <w:color w:val="000000" w:themeColor="text1"/>
          <w:sz w:val="21"/>
          <w:szCs w:val="21"/>
          <w:lang w:val="en-US"/>
        </w:rPr>
        <w:t>&amp;</w:t>
      </w:r>
      <w:r w:rsidR="00385A5D" w:rsidRPr="00070AD6">
        <w:rPr>
          <w:color w:val="000000" w:themeColor="text1"/>
          <w:sz w:val="21"/>
          <w:szCs w:val="21"/>
          <w:lang w:val="en-US"/>
        </w:rPr>
        <w:t xml:space="preserve"> </w:t>
      </w:r>
      <w:r w:rsidRPr="00070AD6">
        <w:rPr>
          <w:color w:val="000000" w:themeColor="text1"/>
          <w:sz w:val="21"/>
          <w:szCs w:val="21"/>
          <w:lang w:val="en-US"/>
        </w:rPr>
        <w:t xml:space="preserve">Michael J. </w:t>
      </w:r>
      <w:r w:rsidRPr="00070AD6">
        <w:rPr>
          <w:smallCaps/>
          <w:color w:val="000000" w:themeColor="text1"/>
          <w:sz w:val="21"/>
          <w:szCs w:val="21"/>
          <w:lang w:val="en-US" w:eastAsia="en-US"/>
        </w:rPr>
        <w:t>Trebilcock</w:t>
      </w:r>
      <w:r w:rsidRPr="00070AD6">
        <w:rPr>
          <w:color w:val="000000" w:themeColor="text1"/>
          <w:sz w:val="21"/>
          <w:szCs w:val="21"/>
          <w:lang w:val="en-US"/>
        </w:rPr>
        <w:t xml:space="preserve">, </w:t>
      </w:r>
      <w:r w:rsidRPr="00070AD6">
        <w:rPr>
          <w:i/>
          <w:color w:val="000000" w:themeColor="text1"/>
          <w:sz w:val="21"/>
          <w:szCs w:val="21"/>
          <w:lang w:val="en-US"/>
        </w:rPr>
        <w:t>Lawyers and the Consumer Interest</w:t>
      </w:r>
      <w:r w:rsidRPr="00070AD6">
        <w:rPr>
          <w:color w:val="000000" w:themeColor="text1"/>
          <w:sz w:val="21"/>
          <w:szCs w:val="21"/>
          <w:lang w:val="en-US"/>
        </w:rPr>
        <w:t xml:space="preserve"> (Toronto: Butterworths 1982); M. </w:t>
      </w:r>
      <w:r w:rsidRPr="00070AD6">
        <w:rPr>
          <w:smallCaps/>
          <w:color w:val="000000" w:themeColor="text1"/>
          <w:sz w:val="21"/>
          <w:szCs w:val="21"/>
          <w:lang w:val="en-US"/>
        </w:rPr>
        <w:t>Faure</w:t>
      </w:r>
      <w:r w:rsidRPr="00070AD6">
        <w:rPr>
          <w:color w:val="000000" w:themeColor="text1"/>
          <w:sz w:val="21"/>
          <w:szCs w:val="21"/>
          <w:lang w:val="en-US"/>
        </w:rPr>
        <w:t xml:space="preserve">, J. </w:t>
      </w:r>
      <w:r w:rsidRPr="00070AD6">
        <w:rPr>
          <w:smallCaps/>
          <w:color w:val="000000" w:themeColor="text1"/>
          <w:sz w:val="21"/>
          <w:szCs w:val="21"/>
          <w:lang w:val="en-US"/>
        </w:rPr>
        <w:t>Finsinger</w:t>
      </w:r>
      <w:r w:rsidRPr="00070AD6">
        <w:rPr>
          <w:color w:val="000000" w:themeColor="text1"/>
          <w:sz w:val="21"/>
          <w:szCs w:val="21"/>
          <w:lang w:val="en-US"/>
        </w:rPr>
        <w:t xml:space="preserve">, J. </w:t>
      </w:r>
      <w:r w:rsidRPr="00070AD6">
        <w:rPr>
          <w:smallCaps/>
          <w:color w:val="000000" w:themeColor="text1"/>
          <w:sz w:val="21"/>
          <w:szCs w:val="21"/>
          <w:lang w:val="en-US"/>
        </w:rPr>
        <w:t>Siegers</w:t>
      </w:r>
      <w:r w:rsidRPr="00070AD6">
        <w:rPr>
          <w:color w:val="000000" w:themeColor="text1"/>
          <w:sz w:val="21"/>
          <w:szCs w:val="21"/>
          <w:lang w:val="en-US"/>
        </w:rPr>
        <w:t xml:space="preserve"> </w:t>
      </w:r>
      <w:r w:rsidR="00385A5D">
        <w:rPr>
          <w:color w:val="000000" w:themeColor="text1"/>
          <w:sz w:val="21"/>
          <w:szCs w:val="21"/>
          <w:lang w:val="en-US"/>
        </w:rPr>
        <w:t>&amp;</w:t>
      </w:r>
      <w:r w:rsidR="00385A5D" w:rsidRPr="00070AD6">
        <w:rPr>
          <w:color w:val="000000" w:themeColor="text1"/>
          <w:sz w:val="21"/>
          <w:szCs w:val="21"/>
          <w:lang w:val="en-US"/>
        </w:rPr>
        <w:t xml:space="preserve"> </w:t>
      </w:r>
      <w:r w:rsidRPr="00070AD6">
        <w:rPr>
          <w:color w:val="000000" w:themeColor="text1"/>
          <w:sz w:val="21"/>
          <w:szCs w:val="21"/>
          <w:lang w:val="en-US"/>
        </w:rPr>
        <w:t xml:space="preserve">R. </w:t>
      </w:r>
      <w:r w:rsidRPr="00070AD6">
        <w:rPr>
          <w:smallCaps/>
          <w:color w:val="000000" w:themeColor="text1"/>
          <w:sz w:val="21"/>
          <w:szCs w:val="21"/>
          <w:lang w:val="en-US"/>
        </w:rPr>
        <w:t>Van den Bergh</w:t>
      </w:r>
      <w:r w:rsidRPr="00070AD6">
        <w:rPr>
          <w:color w:val="000000" w:themeColor="text1"/>
          <w:sz w:val="21"/>
          <w:szCs w:val="21"/>
          <w:lang w:val="en-US"/>
        </w:rPr>
        <w:t xml:space="preserve"> (eds</w:t>
      </w:r>
      <w:r>
        <w:rPr>
          <w:color w:val="000000" w:themeColor="text1"/>
          <w:sz w:val="21"/>
          <w:szCs w:val="21"/>
          <w:lang w:val="en-US"/>
        </w:rPr>
        <w:t>.</w:t>
      </w:r>
      <w:r w:rsidRPr="00070AD6">
        <w:rPr>
          <w:color w:val="000000" w:themeColor="text1"/>
          <w:sz w:val="21"/>
          <w:szCs w:val="21"/>
          <w:lang w:val="en-US"/>
        </w:rPr>
        <w:t xml:space="preserve">), </w:t>
      </w:r>
      <w:r w:rsidRPr="00070AD6">
        <w:rPr>
          <w:i/>
          <w:iCs/>
          <w:color w:val="000000" w:themeColor="text1"/>
          <w:sz w:val="21"/>
          <w:szCs w:val="21"/>
          <w:lang w:val="en-US"/>
        </w:rPr>
        <w:t xml:space="preserve">Regulation of Professions </w:t>
      </w:r>
      <w:r w:rsidRPr="00070AD6">
        <w:rPr>
          <w:color w:val="000000" w:themeColor="text1"/>
          <w:sz w:val="21"/>
          <w:szCs w:val="21"/>
          <w:lang w:val="en-US"/>
        </w:rPr>
        <w:t>(</w:t>
      </w:r>
      <w:r w:rsidRPr="00070AD6">
        <w:rPr>
          <w:color w:val="000000" w:themeColor="text1"/>
          <w:sz w:val="21"/>
          <w:szCs w:val="21"/>
          <w:shd w:val="clear" w:color="auto" w:fill="FFFFFF"/>
          <w:lang w:val="en-US"/>
        </w:rPr>
        <w:t>Antwerpen:</w:t>
      </w:r>
      <w:r w:rsidRPr="00070AD6">
        <w:rPr>
          <w:color w:val="000000" w:themeColor="text1"/>
          <w:sz w:val="21"/>
          <w:szCs w:val="21"/>
          <w:lang w:val="en-US"/>
        </w:rPr>
        <w:t xml:space="preserve"> Maklu 1993</w:t>
      </w:r>
      <w:r w:rsidRPr="00070AD6">
        <w:rPr>
          <w:i/>
          <w:iCs/>
          <w:color w:val="000000" w:themeColor="text1"/>
          <w:sz w:val="21"/>
          <w:szCs w:val="21"/>
          <w:lang w:val="en-US"/>
        </w:rPr>
        <w:t>;</w:t>
      </w:r>
      <w:r w:rsidRPr="00070AD6">
        <w:rPr>
          <w:color w:val="000000" w:themeColor="text1"/>
          <w:sz w:val="21"/>
          <w:szCs w:val="21"/>
          <w:lang w:val="en-US"/>
        </w:rPr>
        <w:t xml:space="preserve"> R. C.O. </w:t>
      </w:r>
      <w:r w:rsidRPr="00070AD6">
        <w:rPr>
          <w:smallCaps/>
          <w:color w:val="000000" w:themeColor="text1"/>
          <w:sz w:val="21"/>
          <w:szCs w:val="21"/>
          <w:lang w:val="en-US" w:eastAsia="en-US"/>
        </w:rPr>
        <w:t>Matthews</w:t>
      </w:r>
      <w:r w:rsidRPr="00070AD6">
        <w:rPr>
          <w:color w:val="000000" w:themeColor="text1"/>
          <w:sz w:val="21"/>
          <w:szCs w:val="21"/>
          <w:lang w:val="en-US"/>
        </w:rPr>
        <w:t xml:space="preserve">, ‘The Economics of Professional Ethics: Should the Professions Be More Like Businesses?’, in 101. </w:t>
      </w:r>
      <w:r w:rsidRPr="00070AD6">
        <w:rPr>
          <w:i/>
          <w:iCs/>
          <w:color w:val="000000" w:themeColor="text1"/>
          <w:sz w:val="21"/>
          <w:szCs w:val="21"/>
          <w:lang w:val="en-US"/>
        </w:rPr>
        <w:t>Econ. J.</w:t>
      </w:r>
      <w:r w:rsidRPr="00070AD6">
        <w:rPr>
          <w:color w:val="000000" w:themeColor="text1"/>
          <w:sz w:val="21"/>
          <w:szCs w:val="21"/>
          <w:lang w:val="en-US"/>
        </w:rPr>
        <w:t xml:space="preserve"> (</w:t>
      </w:r>
      <w:r w:rsidRPr="00070AD6">
        <w:rPr>
          <w:i/>
          <w:color w:val="000000" w:themeColor="text1"/>
          <w:sz w:val="21"/>
          <w:szCs w:val="21"/>
          <w:lang w:val="en-US"/>
        </w:rPr>
        <w:t>Economic Journal)</w:t>
      </w:r>
      <w:r w:rsidRPr="00070AD6">
        <w:rPr>
          <w:color w:val="000000" w:themeColor="text1"/>
          <w:sz w:val="21"/>
          <w:szCs w:val="21"/>
          <w:lang w:val="en-US" w:eastAsia="en-US"/>
        </w:rPr>
        <w:t xml:space="preserve"> </w:t>
      </w:r>
      <w:r w:rsidRPr="00070AD6">
        <w:rPr>
          <w:color w:val="000000" w:themeColor="text1"/>
          <w:sz w:val="21"/>
          <w:szCs w:val="21"/>
          <w:lang w:val="en-US"/>
        </w:rPr>
        <w:t xml:space="preserve">1991, p 737; F. H. </w:t>
      </w:r>
      <w:r w:rsidRPr="00070AD6">
        <w:rPr>
          <w:smallCaps/>
          <w:color w:val="000000" w:themeColor="text1"/>
          <w:sz w:val="21"/>
          <w:szCs w:val="21"/>
          <w:lang w:val="en-US" w:eastAsia="en-US"/>
        </w:rPr>
        <w:t>Stephen</w:t>
      </w:r>
      <w:r w:rsidRPr="00070AD6">
        <w:rPr>
          <w:color w:val="000000" w:themeColor="text1"/>
          <w:sz w:val="21"/>
          <w:szCs w:val="21"/>
          <w:lang w:val="en-US"/>
        </w:rPr>
        <w:t>, ‘</w:t>
      </w:r>
      <w:r w:rsidRPr="00070AD6">
        <w:rPr>
          <w:color w:val="000000" w:themeColor="text1"/>
          <w:sz w:val="21"/>
          <w:szCs w:val="21"/>
          <w:lang w:val="en-GB"/>
        </w:rPr>
        <w:t xml:space="preserve">The Market Failure Justification for the Regulation of Professional Service Markets and the Characteristics of Consumers’ and R. </w:t>
      </w:r>
      <w:r w:rsidRPr="00070AD6">
        <w:rPr>
          <w:smallCaps/>
          <w:color w:val="000000" w:themeColor="text1"/>
          <w:sz w:val="21"/>
          <w:szCs w:val="21"/>
          <w:lang w:val="en-US" w:eastAsia="en-US"/>
        </w:rPr>
        <w:t>Van den Bergh</w:t>
      </w:r>
      <w:r w:rsidRPr="00070AD6">
        <w:rPr>
          <w:color w:val="000000" w:themeColor="text1"/>
          <w:sz w:val="21"/>
          <w:szCs w:val="21"/>
          <w:lang w:val="en-GB"/>
        </w:rPr>
        <w:t xml:space="preserve">, ‘Towards Efficient Self-Regulation in Markets for Professional Services’ in </w:t>
      </w:r>
      <w:r w:rsidRPr="00070AD6">
        <w:rPr>
          <w:color w:val="000000" w:themeColor="text1"/>
          <w:sz w:val="21"/>
          <w:szCs w:val="21"/>
          <w:lang w:val="en-US"/>
        </w:rPr>
        <w:t xml:space="preserve">C.D. </w:t>
      </w:r>
      <w:r w:rsidRPr="00070AD6">
        <w:rPr>
          <w:smallCaps/>
          <w:color w:val="000000" w:themeColor="text1"/>
          <w:sz w:val="21"/>
          <w:szCs w:val="21"/>
          <w:lang w:val="en-US" w:eastAsia="en-US"/>
        </w:rPr>
        <w:t xml:space="preserve">Ehlermann </w:t>
      </w:r>
      <w:r w:rsidRPr="00070AD6">
        <w:rPr>
          <w:color w:val="000000" w:themeColor="text1"/>
          <w:sz w:val="21"/>
          <w:szCs w:val="21"/>
          <w:lang w:val="en-GB"/>
        </w:rPr>
        <w:t xml:space="preserve">and I. </w:t>
      </w:r>
      <w:r w:rsidRPr="00070AD6">
        <w:rPr>
          <w:smallCaps/>
          <w:color w:val="000000" w:themeColor="text1"/>
          <w:sz w:val="21"/>
          <w:szCs w:val="21"/>
          <w:lang w:val="en-US" w:eastAsia="en-US"/>
        </w:rPr>
        <w:t>Atanasiu</w:t>
      </w:r>
      <w:r w:rsidRPr="00070AD6">
        <w:rPr>
          <w:color w:val="000000" w:themeColor="text1"/>
          <w:sz w:val="21"/>
          <w:szCs w:val="21"/>
          <w:lang w:val="en-US"/>
        </w:rPr>
        <w:t xml:space="preserve">, </w:t>
      </w:r>
      <w:r w:rsidRPr="00070AD6">
        <w:rPr>
          <w:i/>
          <w:color w:val="000000" w:themeColor="text1"/>
          <w:sz w:val="21"/>
          <w:szCs w:val="21"/>
          <w:lang w:val="en-US"/>
        </w:rPr>
        <w:t>European Competition Law Annual 2004: The Relationship Between Competition Law and the (Liberal) Professions</w:t>
      </w:r>
      <w:r w:rsidRPr="00070AD6">
        <w:rPr>
          <w:color w:val="000000" w:themeColor="text1"/>
          <w:sz w:val="21"/>
          <w:szCs w:val="21"/>
          <w:lang w:val="en-US"/>
        </w:rPr>
        <w:t xml:space="preserve"> (</w:t>
      </w:r>
      <w:r w:rsidRPr="00070AD6">
        <w:rPr>
          <w:color w:val="000000" w:themeColor="text1"/>
          <w:sz w:val="21"/>
          <w:szCs w:val="21"/>
          <w:shd w:val="clear" w:color="auto" w:fill="FFFFFF"/>
          <w:lang w:val="en-US"/>
        </w:rPr>
        <w:t xml:space="preserve">Oxford and Portland, Oregon: </w:t>
      </w:r>
      <w:r w:rsidRPr="00070AD6">
        <w:rPr>
          <w:color w:val="000000" w:themeColor="text1"/>
          <w:sz w:val="21"/>
          <w:szCs w:val="21"/>
          <w:lang w:val="en-US"/>
        </w:rPr>
        <w:t xml:space="preserve">Hart Publishing 2006), </w:t>
      </w:r>
      <w:r w:rsidRPr="00070AD6">
        <w:rPr>
          <w:color w:val="000000" w:themeColor="text1"/>
          <w:sz w:val="21"/>
          <w:szCs w:val="21"/>
          <w:lang w:val="en-GB"/>
        </w:rPr>
        <w:t>p 143 &amp; p 155</w:t>
      </w:r>
      <w:r w:rsidRPr="00070AD6">
        <w:rPr>
          <w:color w:val="000000" w:themeColor="text1"/>
          <w:sz w:val="21"/>
          <w:szCs w:val="21"/>
          <w:lang w:val="en-US"/>
        </w:rPr>
        <w:t>.</w:t>
      </w:r>
    </w:p>
  </w:footnote>
  <w:footnote w:id="8">
    <w:p w:rsidR="00677175" w:rsidRPr="00070AD6" w:rsidRDefault="00677175" w:rsidP="00A03668">
      <w:pPr>
        <w:rPr>
          <w:color w:val="000000" w:themeColor="text1"/>
          <w:sz w:val="21"/>
          <w:szCs w:val="21"/>
          <w:lang w:val="en-US"/>
        </w:rPr>
      </w:pPr>
      <w:r w:rsidRPr="00070AD6">
        <w:rPr>
          <w:rStyle w:val="FootnoteReference"/>
          <w:sz w:val="21"/>
          <w:szCs w:val="21"/>
        </w:rPr>
        <w:footnoteRef/>
      </w:r>
      <w:r w:rsidRPr="00070AD6">
        <w:rPr>
          <w:sz w:val="21"/>
          <w:szCs w:val="21"/>
          <w:lang w:val="en-US"/>
        </w:rPr>
        <w:t xml:space="preserve"> </w:t>
      </w:r>
      <w:r w:rsidRPr="00070AD6">
        <w:rPr>
          <w:color w:val="000000" w:themeColor="text1"/>
          <w:sz w:val="21"/>
          <w:szCs w:val="21"/>
          <w:lang w:val="en-GB"/>
        </w:rPr>
        <w:t xml:space="preserve">G. </w:t>
      </w:r>
      <w:r w:rsidRPr="00070AD6">
        <w:rPr>
          <w:smallCaps/>
          <w:color w:val="000000" w:themeColor="text1"/>
          <w:sz w:val="21"/>
          <w:szCs w:val="21"/>
          <w:lang w:val="en-US" w:eastAsia="en-US"/>
        </w:rPr>
        <w:t>Akerlof</w:t>
      </w:r>
      <w:r w:rsidRPr="00070AD6">
        <w:rPr>
          <w:color w:val="000000" w:themeColor="text1"/>
          <w:sz w:val="21"/>
          <w:szCs w:val="21"/>
          <w:lang w:val="en-GB"/>
        </w:rPr>
        <w:t>, ‘</w:t>
      </w:r>
      <w:r w:rsidRPr="00070AD6">
        <w:rPr>
          <w:iCs/>
          <w:color w:val="000000" w:themeColor="text1"/>
          <w:sz w:val="21"/>
          <w:szCs w:val="21"/>
          <w:lang w:val="en-GB"/>
        </w:rPr>
        <w:t>The Market for Lemons: Quality Uncertainty and the Market Mechanism’, in</w:t>
      </w:r>
      <w:r w:rsidRPr="00070AD6">
        <w:rPr>
          <w:color w:val="000000" w:themeColor="text1"/>
          <w:sz w:val="21"/>
          <w:szCs w:val="21"/>
          <w:lang w:val="en-GB"/>
        </w:rPr>
        <w:t xml:space="preserve"> </w:t>
      </w:r>
      <w:r w:rsidRPr="00070AD6">
        <w:rPr>
          <w:i/>
          <w:iCs/>
          <w:color w:val="000000" w:themeColor="text1"/>
          <w:sz w:val="21"/>
          <w:szCs w:val="21"/>
          <w:lang w:val="en-US"/>
        </w:rPr>
        <w:t>Q. J. Econ (</w:t>
      </w:r>
      <w:r w:rsidRPr="00070AD6">
        <w:rPr>
          <w:i/>
          <w:iCs/>
          <w:color w:val="000000" w:themeColor="text1"/>
          <w:sz w:val="21"/>
          <w:szCs w:val="21"/>
          <w:lang w:val="en-GB"/>
        </w:rPr>
        <w:t>The</w:t>
      </w:r>
      <w:r w:rsidRPr="00070AD6">
        <w:rPr>
          <w:iCs/>
          <w:color w:val="000000" w:themeColor="text1"/>
          <w:sz w:val="21"/>
          <w:szCs w:val="21"/>
          <w:lang w:val="en-GB"/>
        </w:rPr>
        <w:t xml:space="preserve"> </w:t>
      </w:r>
      <w:r w:rsidRPr="00070AD6">
        <w:rPr>
          <w:i/>
          <w:iCs/>
          <w:color w:val="000000" w:themeColor="text1"/>
          <w:sz w:val="21"/>
          <w:szCs w:val="21"/>
          <w:lang w:val="en-GB"/>
        </w:rPr>
        <w:t>Quarterly Journal of Economics)</w:t>
      </w:r>
      <w:r w:rsidRPr="00070AD6">
        <w:rPr>
          <w:iCs/>
          <w:color w:val="000000" w:themeColor="text1"/>
          <w:sz w:val="21"/>
          <w:szCs w:val="21"/>
          <w:lang w:val="en-GB"/>
        </w:rPr>
        <w:t xml:space="preserve"> 1970, p </w:t>
      </w:r>
      <w:r w:rsidRPr="00070AD6">
        <w:rPr>
          <w:color w:val="000000" w:themeColor="text1"/>
          <w:sz w:val="21"/>
          <w:szCs w:val="21"/>
          <w:lang w:val="en-GB"/>
        </w:rPr>
        <w:t xml:space="preserve">488; </w:t>
      </w:r>
      <w:r w:rsidRPr="00070AD6">
        <w:rPr>
          <w:color w:val="000000" w:themeColor="text1"/>
          <w:sz w:val="21"/>
          <w:szCs w:val="21"/>
          <w:lang w:val="en-US"/>
        </w:rPr>
        <w:t xml:space="preserve">I. </w:t>
      </w:r>
      <w:r w:rsidRPr="00070AD6">
        <w:rPr>
          <w:smallCaps/>
          <w:color w:val="000000" w:themeColor="text1"/>
          <w:sz w:val="21"/>
          <w:szCs w:val="21"/>
          <w:lang w:val="en-US" w:eastAsia="en-US"/>
        </w:rPr>
        <w:t>Paterson</w:t>
      </w:r>
      <w:r w:rsidRPr="00070AD6">
        <w:rPr>
          <w:color w:val="000000" w:themeColor="text1"/>
          <w:sz w:val="21"/>
          <w:szCs w:val="21"/>
          <w:lang w:val="en-US"/>
        </w:rPr>
        <w:t xml:space="preserve">, M. </w:t>
      </w:r>
      <w:r w:rsidRPr="00070AD6">
        <w:rPr>
          <w:smallCaps/>
          <w:color w:val="000000" w:themeColor="text1"/>
          <w:sz w:val="21"/>
          <w:szCs w:val="21"/>
          <w:lang w:val="en-US" w:eastAsia="en-US"/>
        </w:rPr>
        <w:t>Fink</w:t>
      </w:r>
      <w:r w:rsidRPr="00070AD6">
        <w:rPr>
          <w:color w:val="000000" w:themeColor="text1"/>
          <w:sz w:val="21"/>
          <w:szCs w:val="21"/>
          <w:lang w:val="en-US"/>
        </w:rPr>
        <w:t xml:space="preserve"> </w:t>
      </w:r>
      <w:r w:rsidR="00385A5D">
        <w:rPr>
          <w:color w:val="000000" w:themeColor="text1"/>
          <w:sz w:val="21"/>
          <w:szCs w:val="21"/>
          <w:lang w:val="en-US"/>
        </w:rPr>
        <w:t>&amp;</w:t>
      </w:r>
      <w:r w:rsidR="00385A5D" w:rsidRPr="00070AD6">
        <w:rPr>
          <w:color w:val="000000" w:themeColor="text1"/>
          <w:sz w:val="21"/>
          <w:szCs w:val="21"/>
          <w:lang w:val="en-US"/>
        </w:rPr>
        <w:t xml:space="preserve"> </w:t>
      </w:r>
      <w:r w:rsidRPr="00070AD6">
        <w:rPr>
          <w:color w:val="000000" w:themeColor="text1"/>
          <w:sz w:val="21"/>
          <w:szCs w:val="21"/>
          <w:lang w:val="en-US"/>
        </w:rPr>
        <w:t xml:space="preserve">A. </w:t>
      </w:r>
      <w:r w:rsidRPr="00070AD6">
        <w:rPr>
          <w:smallCaps/>
          <w:color w:val="000000" w:themeColor="text1"/>
          <w:sz w:val="21"/>
          <w:szCs w:val="21"/>
          <w:lang w:val="en-US" w:eastAsia="en-US"/>
        </w:rPr>
        <w:t>Ogus</w:t>
      </w:r>
      <w:r w:rsidRPr="00070AD6">
        <w:rPr>
          <w:color w:val="000000" w:themeColor="text1"/>
          <w:sz w:val="21"/>
          <w:szCs w:val="21"/>
          <w:lang w:val="en-US"/>
        </w:rPr>
        <w:t xml:space="preserve">, </w:t>
      </w:r>
      <w:r w:rsidRPr="00070AD6">
        <w:rPr>
          <w:i/>
          <w:color w:val="000000" w:themeColor="text1"/>
          <w:sz w:val="21"/>
          <w:szCs w:val="21"/>
          <w:lang w:val="en-US"/>
        </w:rPr>
        <w:t xml:space="preserve">Economic Impact of Regulation in the Field of the Liberal Professions in Different Member States: Regulation of Professional Services </w:t>
      </w:r>
      <w:r w:rsidRPr="00070AD6">
        <w:rPr>
          <w:color w:val="000000" w:themeColor="text1"/>
          <w:sz w:val="21"/>
          <w:szCs w:val="21"/>
          <w:lang w:val="en-US"/>
        </w:rPr>
        <w:t xml:space="preserve">(European Network Of Economic Policy Research Institutes Working Paper 52/February 2007), p 17, https://www.ceps.eu/system/files/book/1455.pdf; R. </w:t>
      </w:r>
      <w:r w:rsidRPr="00070AD6">
        <w:rPr>
          <w:smallCaps/>
          <w:color w:val="000000" w:themeColor="text1"/>
          <w:sz w:val="21"/>
          <w:szCs w:val="21"/>
          <w:lang w:val="en-US" w:eastAsia="en-US"/>
        </w:rPr>
        <w:t>Spiegler</w:t>
      </w:r>
      <w:r w:rsidRPr="00070AD6">
        <w:rPr>
          <w:color w:val="000000" w:themeColor="text1"/>
          <w:sz w:val="21"/>
          <w:szCs w:val="21"/>
          <w:lang w:val="en-US"/>
        </w:rPr>
        <w:t xml:space="preserve">, ‘The Market for Quacks’, in 76. </w:t>
      </w:r>
      <w:r w:rsidRPr="00070AD6">
        <w:rPr>
          <w:i/>
          <w:iCs/>
          <w:color w:val="000000" w:themeColor="text1"/>
          <w:sz w:val="21"/>
          <w:szCs w:val="21"/>
          <w:lang w:val="en-US"/>
        </w:rPr>
        <w:t>Rev. Econ. Stud.</w:t>
      </w:r>
      <w:r w:rsidRPr="00070AD6">
        <w:rPr>
          <w:i/>
          <w:color w:val="000000" w:themeColor="text1"/>
          <w:sz w:val="21"/>
          <w:szCs w:val="21"/>
          <w:lang w:val="en-US"/>
        </w:rPr>
        <w:t xml:space="preserve"> (The Review of Economic Studies)</w:t>
      </w:r>
      <w:r w:rsidRPr="00070AD6">
        <w:rPr>
          <w:color w:val="000000" w:themeColor="text1"/>
          <w:sz w:val="21"/>
          <w:szCs w:val="21"/>
          <w:lang w:val="en-US"/>
        </w:rPr>
        <w:t xml:space="preserve"> 2006, p 1113; </w:t>
      </w:r>
      <w:r w:rsidRPr="00070AD6">
        <w:rPr>
          <w:rFonts w:eastAsiaTheme="minorHAnsi"/>
          <w:color w:val="000000"/>
          <w:sz w:val="21"/>
          <w:szCs w:val="21"/>
          <w:lang w:val="en-US" w:eastAsia="en-US"/>
        </w:rPr>
        <w:t xml:space="preserve">H. E. </w:t>
      </w:r>
      <w:r w:rsidRPr="00070AD6">
        <w:rPr>
          <w:smallCaps/>
          <w:color w:val="000000" w:themeColor="text1"/>
          <w:sz w:val="21"/>
          <w:szCs w:val="21"/>
          <w:lang w:val="en-US"/>
        </w:rPr>
        <w:t>Leland</w:t>
      </w:r>
      <w:r w:rsidRPr="00070AD6">
        <w:rPr>
          <w:rFonts w:eastAsiaTheme="minorHAnsi"/>
          <w:color w:val="000000"/>
          <w:sz w:val="21"/>
          <w:szCs w:val="21"/>
          <w:lang w:val="en-US" w:eastAsia="en-US"/>
        </w:rPr>
        <w:t xml:space="preserve">, ‘Quacks, Lemons, and Licensing: A Theory of Minimum Quality Standards’, in 87. </w:t>
      </w:r>
      <w:r w:rsidRPr="00070AD6">
        <w:rPr>
          <w:rFonts w:eastAsiaTheme="minorHAnsi"/>
          <w:i/>
          <w:color w:val="000000"/>
          <w:sz w:val="21"/>
          <w:szCs w:val="21"/>
          <w:lang w:val="en-US" w:eastAsia="en-US"/>
        </w:rPr>
        <w:t>Journal of Political Economy</w:t>
      </w:r>
      <w:r w:rsidRPr="00070AD6">
        <w:rPr>
          <w:rFonts w:eastAsiaTheme="minorHAnsi"/>
          <w:color w:val="000000"/>
          <w:sz w:val="21"/>
          <w:szCs w:val="21"/>
          <w:lang w:val="en-US" w:eastAsia="en-US"/>
        </w:rPr>
        <w:t xml:space="preserve"> 1979, p 1328.</w:t>
      </w:r>
    </w:p>
  </w:footnote>
  <w:footnote w:id="9">
    <w:p w:rsidR="00677175" w:rsidRPr="00070AD6" w:rsidRDefault="00677175" w:rsidP="00A03668">
      <w:pPr>
        <w:autoSpaceDE w:val="0"/>
        <w:autoSpaceDN w:val="0"/>
        <w:adjustRightInd w:val="0"/>
        <w:rPr>
          <w:color w:val="000000" w:themeColor="text1"/>
          <w:sz w:val="21"/>
          <w:szCs w:val="21"/>
          <w:lang w:val="en-US"/>
        </w:rPr>
      </w:pPr>
      <w:r w:rsidRPr="00070AD6">
        <w:rPr>
          <w:rStyle w:val="FootnoteReference"/>
          <w:sz w:val="21"/>
          <w:szCs w:val="21"/>
        </w:rPr>
        <w:footnoteRef/>
      </w:r>
      <w:r w:rsidRPr="00070AD6">
        <w:rPr>
          <w:sz w:val="21"/>
          <w:szCs w:val="21"/>
          <w:lang w:val="en-US"/>
        </w:rPr>
        <w:t xml:space="preserve"> </w:t>
      </w:r>
      <w:r w:rsidRPr="00070AD6">
        <w:rPr>
          <w:color w:val="000000" w:themeColor="text1"/>
          <w:sz w:val="21"/>
          <w:szCs w:val="21"/>
          <w:lang w:val="en-US"/>
        </w:rPr>
        <w:t xml:space="preserve">F. H. </w:t>
      </w:r>
      <w:r w:rsidRPr="00070AD6">
        <w:rPr>
          <w:smallCaps/>
          <w:color w:val="000000" w:themeColor="text1"/>
          <w:sz w:val="21"/>
          <w:szCs w:val="21"/>
          <w:lang w:val="en-US"/>
        </w:rPr>
        <w:t>Stephen</w:t>
      </w:r>
      <w:r w:rsidRPr="00070AD6">
        <w:rPr>
          <w:color w:val="000000" w:themeColor="text1"/>
          <w:sz w:val="21"/>
          <w:szCs w:val="21"/>
          <w:lang w:val="en-US"/>
        </w:rPr>
        <w:t xml:space="preserve"> </w:t>
      </w:r>
      <w:r w:rsidR="00385A5D">
        <w:rPr>
          <w:color w:val="000000" w:themeColor="text1"/>
          <w:sz w:val="21"/>
          <w:szCs w:val="21"/>
          <w:lang w:val="en-US"/>
        </w:rPr>
        <w:t>&amp;</w:t>
      </w:r>
      <w:r w:rsidR="00385A5D" w:rsidRPr="00070AD6">
        <w:rPr>
          <w:color w:val="000000" w:themeColor="text1"/>
          <w:sz w:val="21"/>
          <w:szCs w:val="21"/>
          <w:lang w:val="en-US"/>
        </w:rPr>
        <w:t xml:space="preserve"> </w:t>
      </w:r>
      <w:r w:rsidRPr="00070AD6">
        <w:rPr>
          <w:color w:val="000000" w:themeColor="text1"/>
          <w:sz w:val="21"/>
          <w:szCs w:val="21"/>
          <w:lang w:val="en-US"/>
        </w:rPr>
        <w:t xml:space="preserve">J. H. </w:t>
      </w:r>
      <w:r w:rsidRPr="00070AD6">
        <w:rPr>
          <w:smallCaps/>
          <w:color w:val="000000" w:themeColor="text1"/>
          <w:sz w:val="21"/>
          <w:szCs w:val="21"/>
          <w:lang w:val="en-US"/>
        </w:rPr>
        <w:t>Love</w:t>
      </w:r>
      <w:r w:rsidRPr="00070AD6">
        <w:rPr>
          <w:color w:val="000000" w:themeColor="text1"/>
          <w:sz w:val="21"/>
          <w:szCs w:val="21"/>
          <w:lang w:val="en-US"/>
        </w:rPr>
        <w:t xml:space="preserve">, ‘Regulation of the Legal Profession’ in B. </w:t>
      </w:r>
      <w:r w:rsidRPr="00070AD6">
        <w:rPr>
          <w:smallCaps/>
          <w:color w:val="000000" w:themeColor="text1"/>
          <w:sz w:val="21"/>
          <w:szCs w:val="21"/>
          <w:lang w:val="en-US"/>
        </w:rPr>
        <w:t>Bouckaert</w:t>
      </w:r>
      <w:r w:rsidRPr="00070AD6">
        <w:rPr>
          <w:color w:val="000000" w:themeColor="text1"/>
          <w:sz w:val="21"/>
          <w:szCs w:val="21"/>
          <w:lang w:val="en-US"/>
        </w:rPr>
        <w:t xml:space="preserve"> </w:t>
      </w:r>
      <w:r w:rsidR="00385A5D">
        <w:rPr>
          <w:color w:val="000000" w:themeColor="text1"/>
          <w:sz w:val="21"/>
          <w:szCs w:val="21"/>
          <w:lang w:val="en-US"/>
        </w:rPr>
        <w:t>&amp;</w:t>
      </w:r>
      <w:r w:rsidR="00385A5D" w:rsidRPr="00070AD6">
        <w:rPr>
          <w:color w:val="000000" w:themeColor="text1"/>
          <w:sz w:val="21"/>
          <w:szCs w:val="21"/>
          <w:lang w:val="en-US"/>
        </w:rPr>
        <w:t xml:space="preserve"> </w:t>
      </w:r>
      <w:r w:rsidRPr="00070AD6">
        <w:rPr>
          <w:color w:val="000000" w:themeColor="text1"/>
          <w:sz w:val="21"/>
          <w:szCs w:val="21"/>
          <w:lang w:val="en-US"/>
        </w:rPr>
        <w:t xml:space="preserve">G. </w:t>
      </w:r>
      <w:r w:rsidRPr="00070AD6">
        <w:rPr>
          <w:smallCaps/>
          <w:color w:val="000000" w:themeColor="text1"/>
          <w:sz w:val="21"/>
          <w:szCs w:val="21"/>
          <w:lang w:val="en-US"/>
        </w:rPr>
        <w:t>De Geest</w:t>
      </w:r>
      <w:r w:rsidRPr="00070AD6">
        <w:rPr>
          <w:color w:val="000000" w:themeColor="text1"/>
          <w:sz w:val="21"/>
          <w:szCs w:val="21"/>
          <w:lang w:val="en-US"/>
        </w:rPr>
        <w:t xml:space="preserve"> (eds</w:t>
      </w:r>
      <w:r>
        <w:rPr>
          <w:color w:val="000000" w:themeColor="text1"/>
          <w:sz w:val="21"/>
          <w:szCs w:val="21"/>
          <w:lang w:val="en-US"/>
        </w:rPr>
        <w:t>.</w:t>
      </w:r>
      <w:r w:rsidRPr="00070AD6">
        <w:rPr>
          <w:color w:val="000000" w:themeColor="text1"/>
          <w:sz w:val="21"/>
          <w:szCs w:val="21"/>
          <w:lang w:val="en-US"/>
        </w:rPr>
        <w:t xml:space="preserve">), </w:t>
      </w:r>
      <w:r w:rsidRPr="00070AD6">
        <w:rPr>
          <w:i/>
          <w:color w:val="000000" w:themeColor="text1"/>
          <w:sz w:val="21"/>
          <w:szCs w:val="21"/>
          <w:lang w:val="en-US"/>
        </w:rPr>
        <w:t>Encyclopedia of Law and Economics, Volume III: The Regulation of Contracts</w:t>
      </w:r>
      <w:r w:rsidRPr="00070AD6">
        <w:rPr>
          <w:color w:val="000000" w:themeColor="text1"/>
          <w:sz w:val="21"/>
          <w:szCs w:val="21"/>
          <w:lang w:val="en-US"/>
        </w:rPr>
        <w:t xml:space="preserve"> (</w:t>
      </w:r>
      <w:r w:rsidRPr="00070AD6">
        <w:rPr>
          <w:color w:val="000000" w:themeColor="text1"/>
          <w:sz w:val="21"/>
          <w:szCs w:val="21"/>
          <w:shd w:val="clear" w:color="auto" w:fill="FFFFFF"/>
          <w:lang w:val="en-US"/>
        </w:rPr>
        <w:t xml:space="preserve">Cheltenham: </w:t>
      </w:r>
      <w:r w:rsidRPr="00070AD6">
        <w:rPr>
          <w:color w:val="000000" w:themeColor="text1"/>
          <w:sz w:val="21"/>
          <w:szCs w:val="21"/>
          <w:lang w:val="en-US"/>
        </w:rPr>
        <w:t xml:space="preserve">Edward Elgar 2000), p 989; R. </w:t>
      </w:r>
      <w:r w:rsidRPr="00070AD6">
        <w:rPr>
          <w:smallCaps/>
          <w:color w:val="000000" w:themeColor="text1"/>
          <w:sz w:val="21"/>
          <w:szCs w:val="21"/>
          <w:lang w:val="en-US"/>
        </w:rPr>
        <w:t>Van den Bergh</w:t>
      </w:r>
      <w:r w:rsidRPr="00070AD6">
        <w:rPr>
          <w:color w:val="000000" w:themeColor="text1"/>
          <w:sz w:val="21"/>
          <w:szCs w:val="21"/>
          <w:lang w:val="en-US"/>
        </w:rPr>
        <w:t xml:space="preserve"> </w:t>
      </w:r>
      <w:r w:rsidR="00385A5D">
        <w:rPr>
          <w:color w:val="000000" w:themeColor="text1"/>
          <w:sz w:val="21"/>
          <w:szCs w:val="21"/>
          <w:lang w:val="en-US"/>
        </w:rPr>
        <w:t>&amp;</w:t>
      </w:r>
      <w:r w:rsidR="00385A5D" w:rsidRPr="00070AD6">
        <w:rPr>
          <w:color w:val="000000" w:themeColor="text1"/>
          <w:sz w:val="21"/>
          <w:szCs w:val="21"/>
          <w:lang w:val="en-US"/>
        </w:rPr>
        <w:t xml:space="preserve"> </w:t>
      </w:r>
      <w:r w:rsidRPr="00070AD6">
        <w:rPr>
          <w:color w:val="000000" w:themeColor="text1"/>
          <w:sz w:val="21"/>
          <w:szCs w:val="21"/>
          <w:lang w:val="en-US"/>
        </w:rPr>
        <w:t xml:space="preserve">Y. </w:t>
      </w:r>
      <w:r w:rsidRPr="00070AD6">
        <w:rPr>
          <w:smallCaps/>
          <w:color w:val="000000" w:themeColor="text1"/>
          <w:sz w:val="21"/>
          <w:szCs w:val="21"/>
          <w:lang w:val="en-US"/>
        </w:rPr>
        <w:t>Montangie</w:t>
      </w:r>
      <w:r w:rsidRPr="00070AD6">
        <w:rPr>
          <w:color w:val="000000" w:themeColor="text1"/>
          <w:sz w:val="21"/>
          <w:szCs w:val="21"/>
          <w:lang w:val="en-US"/>
        </w:rPr>
        <w:t xml:space="preserve">, ‘Competition in Professional Services Markets: Are Latin Notaries Different?’, in 2. </w:t>
      </w:r>
      <w:r w:rsidRPr="00070AD6">
        <w:rPr>
          <w:i/>
          <w:iCs/>
          <w:color w:val="000000" w:themeColor="text1"/>
          <w:sz w:val="21"/>
          <w:szCs w:val="21"/>
          <w:lang w:val="en-US"/>
        </w:rPr>
        <w:t>Journal of Competition Law &amp; Economics</w:t>
      </w:r>
      <w:r w:rsidRPr="00070AD6">
        <w:rPr>
          <w:iCs/>
          <w:color w:val="000000" w:themeColor="text1"/>
          <w:sz w:val="21"/>
          <w:szCs w:val="21"/>
          <w:lang w:val="en-US"/>
        </w:rPr>
        <w:t xml:space="preserve"> 2006, p (</w:t>
      </w:r>
      <w:r w:rsidRPr="00070AD6">
        <w:rPr>
          <w:color w:val="000000" w:themeColor="text1"/>
          <w:sz w:val="21"/>
          <w:szCs w:val="21"/>
          <w:lang w:val="en-US"/>
        </w:rPr>
        <w:t xml:space="preserve">189) at 193–194; E. </w:t>
      </w:r>
      <w:r w:rsidRPr="00070AD6">
        <w:rPr>
          <w:smallCaps/>
          <w:color w:val="000000" w:themeColor="text1"/>
          <w:sz w:val="21"/>
          <w:szCs w:val="21"/>
          <w:lang w:val="en-US" w:eastAsia="en-US"/>
        </w:rPr>
        <w:t>Shinnick</w:t>
      </w:r>
      <w:r w:rsidRPr="00070AD6">
        <w:rPr>
          <w:color w:val="000000" w:themeColor="text1"/>
          <w:sz w:val="21"/>
          <w:szCs w:val="21"/>
          <w:lang w:val="en-US"/>
        </w:rPr>
        <w:t xml:space="preserve">, F. </w:t>
      </w:r>
      <w:r w:rsidRPr="00070AD6">
        <w:rPr>
          <w:smallCaps/>
          <w:color w:val="000000" w:themeColor="text1"/>
          <w:sz w:val="21"/>
          <w:szCs w:val="21"/>
          <w:lang w:val="en-US" w:eastAsia="en-US"/>
        </w:rPr>
        <w:t>Bruinsma</w:t>
      </w:r>
      <w:r w:rsidRPr="00070AD6">
        <w:rPr>
          <w:color w:val="000000" w:themeColor="text1"/>
          <w:sz w:val="21"/>
          <w:szCs w:val="21"/>
          <w:lang w:val="en-US"/>
        </w:rPr>
        <w:t xml:space="preserve"> </w:t>
      </w:r>
      <w:r w:rsidR="00385A5D">
        <w:rPr>
          <w:color w:val="000000" w:themeColor="text1"/>
          <w:sz w:val="21"/>
          <w:szCs w:val="21"/>
          <w:lang w:val="en-US"/>
        </w:rPr>
        <w:t>&amp;</w:t>
      </w:r>
      <w:r w:rsidR="00385A5D" w:rsidRPr="00070AD6">
        <w:rPr>
          <w:color w:val="000000" w:themeColor="text1"/>
          <w:sz w:val="21"/>
          <w:szCs w:val="21"/>
          <w:lang w:val="en-US"/>
        </w:rPr>
        <w:t xml:space="preserve"> </w:t>
      </w:r>
      <w:r w:rsidRPr="00070AD6">
        <w:rPr>
          <w:color w:val="000000" w:themeColor="text1"/>
          <w:sz w:val="21"/>
          <w:szCs w:val="21"/>
          <w:lang w:val="en-US"/>
        </w:rPr>
        <w:t xml:space="preserve">C. </w:t>
      </w:r>
      <w:r w:rsidRPr="00070AD6">
        <w:rPr>
          <w:smallCaps/>
          <w:color w:val="000000" w:themeColor="text1"/>
          <w:sz w:val="21"/>
          <w:szCs w:val="21"/>
          <w:lang w:val="en-US" w:eastAsia="en-US"/>
        </w:rPr>
        <w:t>Parker</w:t>
      </w:r>
      <w:r w:rsidRPr="00070AD6">
        <w:rPr>
          <w:color w:val="000000" w:themeColor="text1"/>
          <w:sz w:val="21"/>
          <w:szCs w:val="21"/>
          <w:lang w:val="en-US"/>
        </w:rPr>
        <w:t xml:space="preserve">, ‘Aspects of Regulatory Reform in the Legal Profession: Australia, Ireland and the Netherlands’, in 10. </w:t>
      </w:r>
      <w:r w:rsidRPr="00070AD6">
        <w:rPr>
          <w:i/>
          <w:color w:val="000000" w:themeColor="text1"/>
          <w:sz w:val="21"/>
          <w:szCs w:val="21"/>
          <w:lang w:val="en-US"/>
        </w:rPr>
        <w:t>Int’l J. Legal Prof</w:t>
      </w:r>
      <w:r w:rsidRPr="00070AD6">
        <w:rPr>
          <w:color w:val="000000" w:themeColor="text1"/>
          <w:sz w:val="21"/>
          <w:szCs w:val="21"/>
          <w:lang w:val="en-US"/>
        </w:rPr>
        <w:t>. (</w:t>
      </w:r>
      <w:r w:rsidRPr="00070AD6">
        <w:rPr>
          <w:i/>
          <w:color w:val="000000" w:themeColor="text1"/>
          <w:sz w:val="21"/>
          <w:szCs w:val="21"/>
          <w:lang w:val="en-US"/>
        </w:rPr>
        <w:t>International Journal of the Legal Profession)</w:t>
      </w:r>
      <w:r w:rsidRPr="00070AD6">
        <w:rPr>
          <w:color w:val="000000" w:themeColor="text1"/>
          <w:sz w:val="21"/>
          <w:szCs w:val="21"/>
          <w:lang w:val="en-US"/>
        </w:rPr>
        <w:t xml:space="preserve"> 2003, p 237</w:t>
      </w:r>
      <w:r>
        <w:rPr>
          <w:color w:val="000000" w:themeColor="text1"/>
          <w:sz w:val="21"/>
          <w:szCs w:val="21"/>
          <w:lang w:val="en-US"/>
        </w:rPr>
        <w:t>.</w:t>
      </w:r>
    </w:p>
  </w:footnote>
  <w:footnote w:id="10">
    <w:p w:rsidR="00677175" w:rsidRPr="00070AD6" w:rsidRDefault="00677175" w:rsidP="00A03668">
      <w:pPr>
        <w:autoSpaceDE w:val="0"/>
        <w:autoSpaceDN w:val="0"/>
        <w:adjustRightInd w:val="0"/>
        <w:rPr>
          <w:rFonts w:eastAsiaTheme="minorHAnsi"/>
          <w:sz w:val="21"/>
          <w:szCs w:val="21"/>
          <w:lang w:val="en-US" w:eastAsia="en-US"/>
        </w:rPr>
      </w:pPr>
      <w:r w:rsidRPr="00070AD6">
        <w:rPr>
          <w:rStyle w:val="FootnoteReference"/>
          <w:sz w:val="21"/>
          <w:szCs w:val="21"/>
        </w:rPr>
        <w:footnoteRef/>
      </w:r>
      <w:r w:rsidRPr="00070AD6">
        <w:rPr>
          <w:sz w:val="21"/>
          <w:szCs w:val="21"/>
          <w:lang w:val="en-US"/>
        </w:rPr>
        <w:t xml:space="preserve"> </w:t>
      </w:r>
      <w:r w:rsidRPr="00070AD6">
        <w:rPr>
          <w:color w:val="000000" w:themeColor="text1"/>
          <w:sz w:val="21"/>
          <w:szCs w:val="21"/>
          <w:lang w:val="en-US"/>
        </w:rPr>
        <w:t xml:space="preserve">R.l N.M. </w:t>
      </w:r>
      <w:r w:rsidRPr="00070AD6">
        <w:rPr>
          <w:smallCaps/>
          <w:color w:val="000000" w:themeColor="text1"/>
          <w:sz w:val="21"/>
          <w:szCs w:val="21"/>
          <w:lang w:val="en-US"/>
        </w:rPr>
        <w:t>Graham</w:t>
      </w:r>
      <w:r w:rsidRPr="00070AD6">
        <w:rPr>
          <w:color w:val="000000" w:themeColor="text1"/>
          <w:sz w:val="21"/>
          <w:szCs w:val="21"/>
          <w:lang w:val="en-US"/>
        </w:rPr>
        <w:t xml:space="preserve">, </w:t>
      </w:r>
      <w:r w:rsidRPr="00070AD6">
        <w:rPr>
          <w:i/>
          <w:iCs/>
          <w:color w:val="000000" w:themeColor="text1"/>
          <w:sz w:val="21"/>
          <w:szCs w:val="21"/>
          <w:lang w:val="en-US"/>
        </w:rPr>
        <w:t xml:space="preserve">Legal Ethics: Theories, Cases, and Professional Regulation </w:t>
      </w:r>
      <w:r w:rsidRPr="00070AD6">
        <w:rPr>
          <w:color w:val="000000" w:themeColor="text1"/>
          <w:sz w:val="21"/>
          <w:szCs w:val="21"/>
          <w:lang w:val="en-US"/>
        </w:rPr>
        <w:t>(3rd edn., Toronto: Emond Publishing 2014).</w:t>
      </w:r>
    </w:p>
  </w:footnote>
  <w:footnote w:id="11">
    <w:p w:rsidR="00677175" w:rsidRPr="00070AD6" w:rsidRDefault="00677175" w:rsidP="00A03668">
      <w:pPr>
        <w:autoSpaceDE w:val="0"/>
        <w:autoSpaceDN w:val="0"/>
        <w:adjustRightInd w:val="0"/>
        <w:rPr>
          <w:rFonts w:eastAsiaTheme="minorHAnsi"/>
          <w:sz w:val="21"/>
          <w:szCs w:val="21"/>
          <w:lang w:val="en-US" w:eastAsia="en-US"/>
        </w:rPr>
      </w:pPr>
      <w:r w:rsidRPr="00070AD6">
        <w:rPr>
          <w:rStyle w:val="FootnoteReference"/>
          <w:sz w:val="21"/>
          <w:szCs w:val="21"/>
        </w:rPr>
        <w:footnoteRef/>
      </w:r>
      <w:r w:rsidRPr="00070AD6">
        <w:rPr>
          <w:sz w:val="21"/>
          <w:szCs w:val="21"/>
          <w:lang w:val="en-US"/>
        </w:rPr>
        <w:t xml:space="preserve"> Moreover, the </w:t>
      </w:r>
      <w:r w:rsidRPr="00070AD6">
        <w:rPr>
          <w:rFonts w:eastAsiaTheme="minorHAnsi"/>
          <w:sz w:val="21"/>
          <w:szCs w:val="21"/>
          <w:lang w:val="en-US" w:eastAsia="en-US"/>
        </w:rPr>
        <w:t>‘public interest theories of regulation are challenged by private interest theories’ (</w:t>
      </w:r>
      <w:r w:rsidRPr="00070AD6">
        <w:rPr>
          <w:color w:val="000000" w:themeColor="text1"/>
          <w:sz w:val="21"/>
          <w:szCs w:val="21"/>
          <w:lang w:val="en-US"/>
        </w:rPr>
        <w:t xml:space="preserve">R. </w:t>
      </w:r>
      <w:r w:rsidRPr="00070AD6">
        <w:rPr>
          <w:smallCaps/>
          <w:color w:val="000000" w:themeColor="text1"/>
          <w:sz w:val="21"/>
          <w:szCs w:val="21"/>
          <w:lang w:val="en-US"/>
        </w:rPr>
        <w:t>Van Den Bergh</w:t>
      </w:r>
      <w:r w:rsidRPr="00070AD6">
        <w:rPr>
          <w:color w:val="000000" w:themeColor="text1"/>
          <w:sz w:val="21"/>
          <w:szCs w:val="21"/>
          <w:lang w:val="en-US"/>
        </w:rPr>
        <w:t xml:space="preserve">, </w:t>
      </w:r>
      <w:r w:rsidRPr="00070AD6">
        <w:rPr>
          <w:bCs/>
          <w:i/>
          <w:color w:val="000000" w:themeColor="text1"/>
          <w:sz w:val="21"/>
          <w:szCs w:val="21"/>
          <w:lang w:val="en-US"/>
        </w:rPr>
        <w:t>Towards Better Regulation of the Legal Professions in the European Union</w:t>
      </w:r>
      <w:r w:rsidRPr="00070AD6">
        <w:rPr>
          <w:bCs/>
          <w:color w:val="000000" w:themeColor="text1"/>
          <w:sz w:val="21"/>
          <w:szCs w:val="21"/>
          <w:lang w:val="en-US"/>
        </w:rPr>
        <w:t xml:space="preserve"> (</w:t>
      </w:r>
      <w:r w:rsidRPr="00070AD6">
        <w:rPr>
          <w:color w:val="000000" w:themeColor="text1"/>
          <w:sz w:val="21"/>
          <w:szCs w:val="21"/>
          <w:lang w:val="en-US"/>
        </w:rPr>
        <w:t xml:space="preserve">RILE </w:t>
      </w:r>
      <w:r w:rsidRPr="00070AD6">
        <w:rPr>
          <w:bCs/>
          <w:color w:val="000000" w:themeColor="text1"/>
          <w:sz w:val="21"/>
          <w:szCs w:val="21"/>
          <w:lang w:val="en-US"/>
        </w:rPr>
        <w:t xml:space="preserve">Working Paper Series n. 2008/7 2007). </w:t>
      </w:r>
      <w:r w:rsidRPr="00070AD6">
        <w:rPr>
          <w:rFonts w:eastAsiaTheme="minorHAnsi"/>
          <w:sz w:val="21"/>
          <w:szCs w:val="21"/>
          <w:lang w:val="en-US" w:eastAsia="en-US"/>
        </w:rPr>
        <w:t xml:space="preserve">Several economists are skeptical about the benefits of professional restrictive rules, arguing that professional regulation is used to serve mainly the interests of the legal profession and can be better explained by rent-seeking behavior, effective lobbying and regulatory capture. See </w:t>
      </w:r>
      <w:r w:rsidRPr="00070AD6">
        <w:rPr>
          <w:color w:val="000000" w:themeColor="text1"/>
          <w:sz w:val="21"/>
          <w:szCs w:val="21"/>
          <w:lang w:val="en-GB"/>
        </w:rPr>
        <w:t xml:space="preserve">J. A. </w:t>
      </w:r>
      <w:r w:rsidRPr="00070AD6">
        <w:rPr>
          <w:smallCaps/>
          <w:color w:val="000000" w:themeColor="text1"/>
          <w:sz w:val="21"/>
          <w:szCs w:val="21"/>
          <w:lang w:val="en-US"/>
        </w:rPr>
        <w:t>Kay</w:t>
      </w:r>
      <w:r w:rsidRPr="00070AD6">
        <w:rPr>
          <w:color w:val="000000" w:themeColor="text1"/>
          <w:sz w:val="21"/>
          <w:szCs w:val="21"/>
          <w:lang w:val="en-GB"/>
        </w:rPr>
        <w:t xml:space="preserve">, ‘The Forms of Regulation’, in A. </w:t>
      </w:r>
      <w:r w:rsidRPr="00070AD6">
        <w:rPr>
          <w:smallCaps/>
          <w:color w:val="000000" w:themeColor="text1"/>
          <w:sz w:val="21"/>
          <w:szCs w:val="21"/>
          <w:lang w:val="en-US"/>
        </w:rPr>
        <w:t>Seldon</w:t>
      </w:r>
      <w:r w:rsidRPr="00070AD6">
        <w:rPr>
          <w:color w:val="000000" w:themeColor="text1"/>
          <w:sz w:val="21"/>
          <w:szCs w:val="21"/>
          <w:lang w:val="en-GB"/>
        </w:rPr>
        <w:t xml:space="preserve"> (ed</w:t>
      </w:r>
      <w:r>
        <w:rPr>
          <w:color w:val="000000" w:themeColor="text1"/>
          <w:sz w:val="21"/>
          <w:szCs w:val="21"/>
          <w:lang w:val="en-GB"/>
        </w:rPr>
        <w:t>.</w:t>
      </w:r>
      <w:r w:rsidRPr="00070AD6">
        <w:rPr>
          <w:color w:val="000000" w:themeColor="text1"/>
          <w:sz w:val="21"/>
          <w:szCs w:val="21"/>
          <w:lang w:val="en-GB"/>
        </w:rPr>
        <w:t xml:space="preserve">), </w:t>
      </w:r>
      <w:r w:rsidRPr="00070AD6">
        <w:rPr>
          <w:i/>
          <w:color w:val="000000" w:themeColor="text1"/>
          <w:sz w:val="21"/>
          <w:szCs w:val="21"/>
          <w:lang w:val="en-GB"/>
        </w:rPr>
        <w:t>Financial Regulation or Over-Regulation</w:t>
      </w:r>
      <w:r w:rsidRPr="00070AD6">
        <w:rPr>
          <w:color w:val="000000" w:themeColor="text1"/>
          <w:sz w:val="21"/>
          <w:szCs w:val="21"/>
          <w:lang w:val="en-GB"/>
        </w:rPr>
        <w:t xml:space="preserve"> (London: Institute for Economic Affairs 1988), p 33</w:t>
      </w:r>
      <w:r w:rsidRPr="00070AD6">
        <w:rPr>
          <w:color w:val="000000" w:themeColor="text1"/>
          <w:sz w:val="21"/>
          <w:szCs w:val="21"/>
          <w:lang w:val="en-GB"/>
        </w:rPr>
        <w:softHyphen/>
        <w:t>42</w:t>
      </w:r>
      <w:r w:rsidRPr="00070AD6">
        <w:rPr>
          <w:rFonts w:eastAsiaTheme="minorHAnsi"/>
          <w:sz w:val="21"/>
          <w:szCs w:val="21"/>
          <w:lang w:val="en-US" w:eastAsia="en-US"/>
        </w:rPr>
        <w:t>. The origin of this approach may be traced in Smith’s view, who defined self-regulatory occupational groups as natural institution</w:t>
      </w:r>
      <w:r>
        <w:rPr>
          <w:rFonts w:eastAsiaTheme="minorHAnsi"/>
          <w:sz w:val="21"/>
          <w:szCs w:val="21"/>
          <w:lang w:val="en-US" w:eastAsia="en-US"/>
        </w:rPr>
        <w:t>s</w:t>
      </w:r>
      <w:r w:rsidRPr="00070AD6">
        <w:rPr>
          <w:rFonts w:eastAsiaTheme="minorHAnsi"/>
          <w:sz w:val="21"/>
          <w:szCs w:val="21"/>
          <w:lang w:val="en-US" w:eastAsia="en-US"/>
        </w:rPr>
        <w:t xml:space="preserve"> for ‘conspiracy against the public’ and ‘contrivance to raise prices’. See, also, </w:t>
      </w:r>
      <w:r w:rsidRPr="00070AD6">
        <w:rPr>
          <w:color w:val="000000" w:themeColor="text1"/>
          <w:sz w:val="21"/>
          <w:szCs w:val="21"/>
          <w:lang w:val="en-US"/>
        </w:rPr>
        <w:t xml:space="preserve">A. </w:t>
      </w:r>
      <w:r w:rsidRPr="00070AD6">
        <w:rPr>
          <w:smallCaps/>
          <w:color w:val="000000" w:themeColor="text1"/>
          <w:sz w:val="21"/>
          <w:szCs w:val="21"/>
          <w:lang w:val="en-US"/>
        </w:rPr>
        <w:t>Smith</w:t>
      </w:r>
      <w:r w:rsidRPr="00070AD6">
        <w:rPr>
          <w:color w:val="000000" w:themeColor="text1"/>
          <w:sz w:val="21"/>
          <w:szCs w:val="21"/>
          <w:lang w:val="en-US"/>
        </w:rPr>
        <w:t>, ‘Of Wages and Profit in the Different Employments of Labour and</w:t>
      </w:r>
      <w:r w:rsidRPr="00070AD6">
        <w:rPr>
          <w:color w:val="000000" w:themeColor="text1"/>
          <w:sz w:val="21"/>
          <w:szCs w:val="21"/>
          <w:lang w:val="en-US"/>
        </w:rPr>
        <w:br/>
        <w:t xml:space="preserve">Stock, Part II: </w:t>
      </w:r>
      <w:r w:rsidRPr="00070AD6">
        <w:rPr>
          <w:iCs/>
          <w:color w:val="000000" w:themeColor="text1"/>
          <w:sz w:val="21"/>
          <w:szCs w:val="21"/>
          <w:lang w:val="en-US"/>
        </w:rPr>
        <w:t>Inequalities Occasioned by the Policy of Europe’,</w:t>
      </w:r>
      <w:r w:rsidRPr="00070AD6">
        <w:rPr>
          <w:i/>
          <w:iCs/>
          <w:color w:val="000000" w:themeColor="text1"/>
          <w:sz w:val="21"/>
          <w:szCs w:val="21"/>
          <w:lang w:val="en-US"/>
        </w:rPr>
        <w:t xml:space="preserve"> </w:t>
      </w:r>
      <w:r w:rsidRPr="00070AD6">
        <w:rPr>
          <w:color w:val="000000" w:themeColor="text1"/>
          <w:sz w:val="21"/>
          <w:szCs w:val="21"/>
          <w:lang w:val="en-US"/>
        </w:rPr>
        <w:t xml:space="preserve">in A. </w:t>
      </w:r>
      <w:r w:rsidRPr="00070AD6">
        <w:rPr>
          <w:smallCaps/>
          <w:color w:val="000000" w:themeColor="text1"/>
          <w:sz w:val="21"/>
          <w:szCs w:val="21"/>
          <w:lang w:val="en-US"/>
        </w:rPr>
        <w:t>Smith</w:t>
      </w:r>
      <w:r w:rsidRPr="00070AD6">
        <w:rPr>
          <w:color w:val="000000" w:themeColor="text1"/>
          <w:sz w:val="21"/>
          <w:szCs w:val="21"/>
          <w:lang w:val="en-US"/>
        </w:rPr>
        <w:t>,</w:t>
      </w:r>
      <w:r w:rsidRPr="00070AD6">
        <w:rPr>
          <w:i/>
          <w:iCs/>
          <w:color w:val="000000" w:themeColor="text1"/>
          <w:sz w:val="21"/>
          <w:szCs w:val="21"/>
          <w:lang w:val="en-US"/>
        </w:rPr>
        <w:t xml:space="preserve"> An Inquiry into the Nature and Causes of the Wealth of Nations </w:t>
      </w:r>
      <w:r w:rsidRPr="00070AD6">
        <w:rPr>
          <w:color w:val="000000" w:themeColor="text1"/>
          <w:sz w:val="21"/>
          <w:szCs w:val="21"/>
          <w:lang w:val="en-US"/>
        </w:rPr>
        <w:t>(1776 – New York: MetaLibri 2007), p 97</w:t>
      </w:r>
      <w:r w:rsidRPr="00070AD6">
        <w:rPr>
          <w:rFonts w:eastAsiaTheme="minorHAnsi"/>
          <w:sz w:val="21"/>
          <w:szCs w:val="21"/>
          <w:lang w:val="en-US" w:eastAsia="en-US"/>
        </w:rPr>
        <w:t>.</w:t>
      </w:r>
    </w:p>
  </w:footnote>
  <w:footnote w:id="12">
    <w:p w:rsidR="00677175" w:rsidRPr="00070AD6" w:rsidRDefault="00677175" w:rsidP="00A03668">
      <w:pPr>
        <w:pStyle w:val="FootnoteText"/>
        <w:rPr>
          <w:rFonts w:ascii="Times New Roman" w:hAnsi="Times New Roman" w:cs="Times New Roman"/>
          <w:sz w:val="21"/>
          <w:szCs w:val="21"/>
          <w:lang w:val="en-US"/>
        </w:rPr>
      </w:pPr>
      <w:r w:rsidRPr="00070AD6">
        <w:rPr>
          <w:rStyle w:val="FootnoteReference"/>
          <w:rFonts w:ascii="Times New Roman" w:hAnsi="Times New Roman" w:cs="Times New Roman"/>
          <w:sz w:val="21"/>
          <w:szCs w:val="21"/>
        </w:rPr>
        <w:footnoteRef/>
      </w:r>
      <w:r w:rsidRPr="00070AD6">
        <w:rPr>
          <w:rFonts w:ascii="Times New Roman" w:hAnsi="Times New Roman" w:cs="Times New Roman"/>
          <w:sz w:val="21"/>
          <w:szCs w:val="21"/>
          <w:lang w:val="en-US"/>
        </w:rPr>
        <w:t xml:space="preserve"> </w:t>
      </w:r>
      <w:r>
        <w:rPr>
          <w:rFonts w:ascii="Times New Roman" w:hAnsi="Times New Roman" w:cs="Times New Roman"/>
          <w:sz w:val="21"/>
          <w:szCs w:val="21"/>
          <w:lang w:val="en-US"/>
        </w:rPr>
        <w:t>A</w:t>
      </w:r>
      <w:r w:rsidRPr="00070AD6">
        <w:rPr>
          <w:rFonts w:ascii="Times New Roman" w:hAnsi="Times New Roman" w:cs="Times New Roman"/>
          <w:sz w:val="21"/>
          <w:szCs w:val="21"/>
          <w:lang w:val="en-US"/>
        </w:rPr>
        <w:t xml:space="preserve">s it is stated in Article 3.1., lett. a, 2005/36/CE, the regulated profession is a ‘professional activity or group of professional activities, access to which, the pursuit of which, or one of the modes of pursuit of which is subject, directly or indirectly, by virtue of legislative, regulatory or administrative provisions to the possession of specific professional qualifications; in particular, the use of a professional title limited by legislative, regulatory or administrative provisions to holders of a given professional qualification shall constitute a mode of pursuit. Where the first sentence of this definition does not apply, a profession referred to in paragraph 2 shall be treated as a regulated profession’ (Directive 2005/36/EC of the European Parliament and of the Council of 7 September 2005 on the Recognition of Professional Qualifications, in </w:t>
      </w:r>
      <w:r w:rsidRPr="00240257">
        <w:rPr>
          <w:rFonts w:ascii="Times New Roman" w:hAnsi="Times New Roman" w:cs="Times New Roman"/>
          <w:i/>
          <w:sz w:val="21"/>
          <w:szCs w:val="21"/>
          <w:lang w:val="en-US"/>
        </w:rPr>
        <w:t>Official Journal of the European Union</w:t>
      </w:r>
      <w:r w:rsidRPr="00070AD6">
        <w:rPr>
          <w:rFonts w:ascii="Times New Roman" w:hAnsi="Times New Roman" w:cs="Times New Roman"/>
          <w:sz w:val="21"/>
          <w:szCs w:val="21"/>
          <w:lang w:val="en-US"/>
        </w:rPr>
        <w:t>, L 255, 30.9.2005, p 22–142).</w:t>
      </w:r>
    </w:p>
  </w:footnote>
  <w:footnote w:id="13">
    <w:p w:rsidR="00677175" w:rsidRPr="00070AD6" w:rsidRDefault="00677175" w:rsidP="00A03668">
      <w:pPr>
        <w:autoSpaceDE w:val="0"/>
        <w:autoSpaceDN w:val="0"/>
        <w:adjustRightInd w:val="0"/>
        <w:rPr>
          <w:color w:val="000000" w:themeColor="text1"/>
          <w:sz w:val="21"/>
          <w:szCs w:val="21"/>
          <w:lang w:val="en-US"/>
        </w:rPr>
      </w:pPr>
      <w:r w:rsidRPr="00070AD6">
        <w:rPr>
          <w:rStyle w:val="FootnoteReference"/>
          <w:sz w:val="21"/>
          <w:szCs w:val="21"/>
        </w:rPr>
        <w:footnoteRef/>
      </w:r>
      <w:r w:rsidRPr="00070AD6">
        <w:rPr>
          <w:sz w:val="21"/>
          <w:szCs w:val="21"/>
          <w:lang w:val="en-US"/>
        </w:rPr>
        <w:t xml:space="preserve"> See </w:t>
      </w:r>
      <w:r w:rsidRPr="00070AD6">
        <w:rPr>
          <w:color w:val="000000" w:themeColor="text1"/>
          <w:sz w:val="21"/>
          <w:szCs w:val="21"/>
          <w:lang w:val="en-US"/>
        </w:rPr>
        <w:t xml:space="preserve">F. H. </w:t>
      </w:r>
      <w:r w:rsidRPr="00070AD6">
        <w:rPr>
          <w:smallCaps/>
          <w:color w:val="000000" w:themeColor="text1"/>
          <w:sz w:val="21"/>
          <w:szCs w:val="21"/>
          <w:lang w:val="en-US"/>
        </w:rPr>
        <w:t>Stephen</w:t>
      </w:r>
      <w:r w:rsidRPr="00070AD6">
        <w:rPr>
          <w:color w:val="000000" w:themeColor="text1"/>
          <w:sz w:val="21"/>
          <w:szCs w:val="21"/>
          <w:lang w:val="en-US"/>
        </w:rPr>
        <w:t xml:space="preserve"> </w:t>
      </w:r>
      <w:r w:rsidR="00385A5D">
        <w:rPr>
          <w:color w:val="000000" w:themeColor="text1"/>
          <w:sz w:val="21"/>
          <w:szCs w:val="21"/>
          <w:lang w:val="en-US"/>
        </w:rPr>
        <w:t>&amp;</w:t>
      </w:r>
      <w:r w:rsidR="00385A5D" w:rsidRPr="00070AD6">
        <w:rPr>
          <w:color w:val="000000" w:themeColor="text1"/>
          <w:sz w:val="21"/>
          <w:szCs w:val="21"/>
          <w:lang w:val="en-US"/>
        </w:rPr>
        <w:t xml:space="preserve"> </w:t>
      </w:r>
      <w:r w:rsidRPr="00070AD6">
        <w:rPr>
          <w:color w:val="000000" w:themeColor="text1"/>
          <w:sz w:val="21"/>
          <w:szCs w:val="21"/>
          <w:lang w:val="en-US"/>
        </w:rPr>
        <w:t xml:space="preserve">J. H. </w:t>
      </w:r>
      <w:r w:rsidRPr="00070AD6">
        <w:rPr>
          <w:smallCaps/>
          <w:color w:val="000000" w:themeColor="text1"/>
          <w:sz w:val="21"/>
          <w:szCs w:val="21"/>
          <w:lang w:val="en-US"/>
        </w:rPr>
        <w:t>Love</w:t>
      </w:r>
      <w:r w:rsidRPr="00070AD6">
        <w:rPr>
          <w:color w:val="000000" w:themeColor="text1"/>
          <w:sz w:val="21"/>
          <w:szCs w:val="21"/>
          <w:lang w:val="en-US"/>
        </w:rPr>
        <w:t xml:space="preserve">, ‘Regulation of the Legal Profession’, cit., p 989; R. </w:t>
      </w:r>
      <w:r w:rsidRPr="00070AD6">
        <w:rPr>
          <w:smallCaps/>
          <w:color w:val="000000" w:themeColor="text1"/>
          <w:sz w:val="21"/>
          <w:szCs w:val="21"/>
          <w:lang w:val="en-US"/>
        </w:rPr>
        <w:t>Van den Bergh</w:t>
      </w:r>
      <w:r w:rsidRPr="00070AD6">
        <w:rPr>
          <w:color w:val="000000" w:themeColor="text1"/>
          <w:sz w:val="21"/>
          <w:szCs w:val="21"/>
          <w:lang w:val="en-US"/>
        </w:rPr>
        <w:t xml:space="preserve"> </w:t>
      </w:r>
      <w:r w:rsidR="00385A5D">
        <w:rPr>
          <w:color w:val="000000" w:themeColor="text1"/>
          <w:sz w:val="21"/>
          <w:szCs w:val="21"/>
          <w:lang w:val="en-US"/>
        </w:rPr>
        <w:t>&amp;</w:t>
      </w:r>
      <w:r w:rsidR="00385A5D" w:rsidRPr="00070AD6">
        <w:rPr>
          <w:color w:val="000000" w:themeColor="text1"/>
          <w:sz w:val="21"/>
          <w:szCs w:val="21"/>
          <w:lang w:val="en-US"/>
        </w:rPr>
        <w:t xml:space="preserve"> </w:t>
      </w:r>
      <w:r w:rsidRPr="00070AD6">
        <w:rPr>
          <w:color w:val="000000" w:themeColor="text1"/>
          <w:sz w:val="21"/>
          <w:szCs w:val="21"/>
          <w:lang w:val="en-US"/>
        </w:rPr>
        <w:t xml:space="preserve">Y. </w:t>
      </w:r>
      <w:r w:rsidRPr="00070AD6">
        <w:rPr>
          <w:smallCaps/>
          <w:color w:val="000000" w:themeColor="text1"/>
          <w:sz w:val="21"/>
          <w:szCs w:val="21"/>
          <w:lang w:val="en-US"/>
        </w:rPr>
        <w:t>Montangie</w:t>
      </w:r>
      <w:r w:rsidRPr="00070AD6">
        <w:rPr>
          <w:color w:val="000000" w:themeColor="text1"/>
          <w:sz w:val="21"/>
          <w:szCs w:val="21"/>
          <w:lang w:val="en-US"/>
        </w:rPr>
        <w:t>, ‘Competition in Professional Services Markets: Are Latin Notaries Different?’, cit., p 193–194</w:t>
      </w:r>
      <w:r w:rsidRPr="00070AD6">
        <w:rPr>
          <w:rFonts w:eastAsiaTheme="minorHAnsi"/>
          <w:sz w:val="21"/>
          <w:szCs w:val="21"/>
          <w:lang w:val="en-US" w:eastAsia="en-US"/>
        </w:rPr>
        <w:t>.</w:t>
      </w:r>
    </w:p>
  </w:footnote>
  <w:footnote w:id="14">
    <w:p w:rsidR="00677175" w:rsidRPr="00070AD6" w:rsidRDefault="00677175" w:rsidP="00A03668">
      <w:pPr>
        <w:rPr>
          <w:color w:val="2A2A2A"/>
          <w:sz w:val="21"/>
          <w:szCs w:val="21"/>
          <w:lang w:val="en-US"/>
        </w:rPr>
      </w:pPr>
      <w:r w:rsidRPr="00070AD6">
        <w:rPr>
          <w:rStyle w:val="FootnoteReference"/>
          <w:sz w:val="21"/>
          <w:szCs w:val="21"/>
        </w:rPr>
        <w:footnoteRef/>
      </w:r>
      <w:r w:rsidRPr="00070AD6">
        <w:rPr>
          <w:sz w:val="21"/>
          <w:szCs w:val="21"/>
          <w:lang w:val="en-US"/>
        </w:rPr>
        <w:t xml:space="preserve"> </w:t>
      </w:r>
      <w:r w:rsidRPr="00070AD6">
        <w:rPr>
          <w:rFonts w:eastAsiaTheme="minorHAnsi"/>
          <w:color w:val="000000"/>
          <w:sz w:val="21"/>
          <w:szCs w:val="21"/>
          <w:lang w:val="en-US" w:eastAsia="en-US"/>
        </w:rPr>
        <w:t>T.</w:t>
      </w:r>
      <w:r w:rsidRPr="00070AD6">
        <w:rPr>
          <w:color w:val="000000"/>
          <w:sz w:val="21"/>
          <w:szCs w:val="21"/>
          <w:lang w:val="en-US"/>
        </w:rPr>
        <w:t xml:space="preserve"> </w:t>
      </w:r>
      <w:r w:rsidRPr="00070AD6">
        <w:rPr>
          <w:smallCaps/>
          <w:color w:val="000000" w:themeColor="text1"/>
          <w:sz w:val="21"/>
          <w:szCs w:val="21"/>
          <w:lang w:val="en-US"/>
        </w:rPr>
        <w:t>Heremans</w:t>
      </w:r>
      <w:r w:rsidRPr="00070AD6">
        <w:rPr>
          <w:color w:val="000000"/>
          <w:sz w:val="21"/>
          <w:szCs w:val="21"/>
          <w:lang w:val="en-US"/>
        </w:rPr>
        <w:t>,</w:t>
      </w:r>
      <w:r w:rsidRPr="00070AD6">
        <w:rPr>
          <w:sz w:val="21"/>
          <w:szCs w:val="21"/>
          <w:lang w:val="en-US"/>
        </w:rPr>
        <w:t xml:space="preserve"> </w:t>
      </w:r>
      <w:r w:rsidRPr="00070AD6">
        <w:rPr>
          <w:i/>
          <w:sz w:val="21"/>
          <w:szCs w:val="21"/>
          <w:lang w:val="en-US"/>
        </w:rPr>
        <w:t xml:space="preserve">Professional Services in the EU </w:t>
      </w:r>
      <w:r>
        <w:rPr>
          <w:i/>
          <w:sz w:val="21"/>
          <w:szCs w:val="21"/>
          <w:lang w:val="en-US"/>
        </w:rPr>
        <w:t>I</w:t>
      </w:r>
      <w:r w:rsidRPr="00070AD6">
        <w:rPr>
          <w:i/>
          <w:sz w:val="21"/>
          <w:szCs w:val="21"/>
          <w:lang w:val="en-US"/>
        </w:rPr>
        <w:t xml:space="preserve">nternal Market: </w:t>
      </w:r>
      <w:r>
        <w:rPr>
          <w:i/>
          <w:sz w:val="21"/>
          <w:szCs w:val="21"/>
          <w:lang w:val="en-US"/>
        </w:rPr>
        <w:t>Q</w:t>
      </w:r>
      <w:r w:rsidRPr="00070AD6">
        <w:rPr>
          <w:i/>
          <w:sz w:val="21"/>
          <w:szCs w:val="21"/>
          <w:lang w:val="en-US"/>
        </w:rPr>
        <w:t xml:space="preserve">uality </w:t>
      </w:r>
      <w:r>
        <w:rPr>
          <w:i/>
          <w:sz w:val="21"/>
          <w:szCs w:val="21"/>
          <w:lang w:val="en-US"/>
        </w:rPr>
        <w:t>R</w:t>
      </w:r>
      <w:r w:rsidRPr="00070AD6">
        <w:rPr>
          <w:i/>
          <w:sz w:val="21"/>
          <w:szCs w:val="21"/>
          <w:lang w:val="en-US"/>
        </w:rPr>
        <w:t xml:space="preserve">egulation and </w:t>
      </w:r>
      <w:r>
        <w:rPr>
          <w:i/>
          <w:sz w:val="21"/>
          <w:szCs w:val="21"/>
          <w:lang w:val="en-US"/>
        </w:rPr>
        <w:t>S</w:t>
      </w:r>
      <w:r w:rsidRPr="00070AD6">
        <w:rPr>
          <w:i/>
          <w:sz w:val="21"/>
          <w:szCs w:val="21"/>
          <w:lang w:val="en-US"/>
        </w:rPr>
        <w:t>elf-</w:t>
      </w:r>
      <w:r>
        <w:rPr>
          <w:i/>
          <w:sz w:val="21"/>
          <w:szCs w:val="21"/>
          <w:lang w:val="en-US"/>
        </w:rPr>
        <w:t>R</w:t>
      </w:r>
      <w:r w:rsidRPr="00070AD6">
        <w:rPr>
          <w:i/>
          <w:sz w:val="21"/>
          <w:szCs w:val="21"/>
          <w:lang w:val="en-US"/>
        </w:rPr>
        <w:t>egulation</w:t>
      </w:r>
      <w:r w:rsidRPr="00070AD6">
        <w:rPr>
          <w:sz w:val="21"/>
          <w:szCs w:val="21"/>
          <w:lang w:val="en-US"/>
        </w:rPr>
        <w:t xml:space="preserve"> (</w:t>
      </w:r>
      <w:r w:rsidRPr="00070AD6">
        <w:rPr>
          <w:color w:val="2A2A2A"/>
          <w:sz w:val="21"/>
          <w:szCs w:val="21"/>
          <w:lang w:val="en-US"/>
        </w:rPr>
        <w:t>Hart Publishing</w:t>
      </w:r>
      <w:r w:rsidRPr="00070AD6">
        <w:rPr>
          <w:sz w:val="21"/>
          <w:szCs w:val="21"/>
          <w:lang w:val="en-US"/>
        </w:rPr>
        <w:t xml:space="preserve">, 2012), spec. p 4. </w:t>
      </w:r>
    </w:p>
  </w:footnote>
  <w:footnote w:id="15">
    <w:p w:rsidR="00677175" w:rsidRPr="00070AD6" w:rsidRDefault="00677175" w:rsidP="00A03668">
      <w:pPr>
        <w:autoSpaceDE w:val="0"/>
        <w:autoSpaceDN w:val="0"/>
        <w:adjustRightInd w:val="0"/>
        <w:rPr>
          <w:rFonts w:eastAsiaTheme="minorHAnsi"/>
          <w:sz w:val="21"/>
          <w:szCs w:val="21"/>
          <w:lang w:val="en-US" w:eastAsia="en-US"/>
        </w:rPr>
      </w:pPr>
      <w:r w:rsidRPr="00070AD6">
        <w:rPr>
          <w:rStyle w:val="FootnoteReference"/>
          <w:sz w:val="21"/>
          <w:szCs w:val="21"/>
        </w:rPr>
        <w:footnoteRef/>
      </w:r>
      <w:r w:rsidRPr="00070AD6">
        <w:rPr>
          <w:sz w:val="21"/>
          <w:szCs w:val="21"/>
          <w:lang w:val="en-US"/>
        </w:rPr>
        <w:t xml:space="preserve"> See </w:t>
      </w:r>
      <w:r w:rsidRPr="00070AD6">
        <w:rPr>
          <w:rFonts w:eastAsiaTheme="minorHAnsi"/>
          <w:color w:val="000000"/>
          <w:sz w:val="21"/>
          <w:szCs w:val="21"/>
          <w:lang w:val="en-US" w:eastAsia="en-US"/>
        </w:rPr>
        <w:t xml:space="preserve">H. E. </w:t>
      </w:r>
      <w:r w:rsidRPr="00070AD6">
        <w:rPr>
          <w:smallCaps/>
          <w:color w:val="000000" w:themeColor="text1"/>
          <w:sz w:val="21"/>
          <w:szCs w:val="21"/>
          <w:lang w:val="en-US"/>
        </w:rPr>
        <w:t>Leland</w:t>
      </w:r>
      <w:r w:rsidRPr="00070AD6">
        <w:rPr>
          <w:rFonts w:eastAsiaTheme="minorHAnsi"/>
          <w:color w:val="000000"/>
          <w:sz w:val="21"/>
          <w:szCs w:val="21"/>
          <w:lang w:val="en-US" w:eastAsia="en-US"/>
        </w:rPr>
        <w:t>, ‘Quacks, Lemons, and Licensing: A Theory of Minimum Quality Standards’</w:t>
      </w:r>
      <w:r w:rsidRPr="00070AD6">
        <w:rPr>
          <w:rFonts w:eastAsiaTheme="minorHAnsi"/>
          <w:sz w:val="21"/>
          <w:szCs w:val="21"/>
          <w:lang w:val="en-US" w:eastAsia="en-US"/>
        </w:rPr>
        <w:t>, cit.</w:t>
      </w:r>
    </w:p>
  </w:footnote>
  <w:footnote w:id="16">
    <w:p w:rsidR="00677175" w:rsidRPr="00070AD6" w:rsidRDefault="00677175" w:rsidP="00A03668">
      <w:pPr>
        <w:pStyle w:val="FootnoteText"/>
        <w:rPr>
          <w:rFonts w:ascii="Times New Roman" w:hAnsi="Times New Roman" w:cs="Times New Roman"/>
          <w:color w:val="333333"/>
          <w:sz w:val="21"/>
          <w:szCs w:val="21"/>
          <w:lang w:val="en-US"/>
        </w:rPr>
      </w:pPr>
      <w:r w:rsidRPr="00070AD6">
        <w:rPr>
          <w:rStyle w:val="FootnoteReference"/>
          <w:rFonts w:ascii="Times New Roman" w:hAnsi="Times New Roman" w:cs="Times New Roman"/>
          <w:sz w:val="21"/>
          <w:szCs w:val="21"/>
        </w:rPr>
        <w:footnoteRef/>
      </w:r>
      <w:r w:rsidRPr="00070AD6">
        <w:rPr>
          <w:rFonts w:ascii="Times New Roman" w:hAnsi="Times New Roman" w:cs="Times New Roman"/>
          <w:sz w:val="21"/>
          <w:szCs w:val="21"/>
          <w:lang w:val="en-US"/>
        </w:rPr>
        <w:t xml:space="preserve"> C. </w:t>
      </w:r>
      <w:r w:rsidRPr="00070AD6">
        <w:rPr>
          <w:rFonts w:ascii="Times New Roman" w:eastAsia="Times New Roman" w:hAnsi="Times New Roman" w:cs="Times New Roman"/>
          <w:smallCaps/>
          <w:color w:val="000000" w:themeColor="text1"/>
          <w:sz w:val="21"/>
          <w:szCs w:val="21"/>
          <w:lang w:val="en-US" w:eastAsia="it-IT"/>
        </w:rPr>
        <w:t>Shapiro</w:t>
      </w:r>
      <w:r w:rsidRPr="00070AD6">
        <w:rPr>
          <w:rFonts w:ascii="Times New Roman" w:hAnsi="Times New Roman" w:cs="Times New Roman"/>
          <w:sz w:val="21"/>
          <w:szCs w:val="21"/>
          <w:lang w:val="en-US"/>
        </w:rPr>
        <w:t>, ‘I</w:t>
      </w:r>
      <w:r w:rsidRPr="00070AD6">
        <w:rPr>
          <w:rFonts w:ascii="Times New Roman" w:hAnsi="Times New Roman" w:cs="Times New Roman"/>
          <w:bCs/>
          <w:sz w:val="21"/>
          <w:szCs w:val="21"/>
          <w:lang w:val="en-US"/>
        </w:rPr>
        <w:t xml:space="preserve">nvestment, Moral Hazard, and Occupational Licensing’, 53. </w:t>
      </w:r>
      <w:r w:rsidRPr="00070AD6">
        <w:rPr>
          <w:rStyle w:val="HTMLCite"/>
          <w:rFonts w:ascii="Times New Roman" w:hAnsi="Times New Roman" w:cs="Times New Roman"/>
          <w:color w:val="333333"/>
          <w:sz w:val="21"/>
          <w:szCs w:val="21"/>
          <w:lang w:val="en-US"/>
        </w:rPr>
        <w:t>The Review of Economic Studies</w:t>
      </w:r>
      <w:r w:rsidRPr="00070AD6">
        <w:rPr>
          <w:rFonts w:ascii="Times New Roman" w:hAnsi="Times New Roman" w:cs="Times New Roman"/>
          <w:color w:val="333333"/>
          <w:sz w:val="21"/>
          <w:szCs w:val="21"/>
          <w:lang w:val="en-US"/>
        </w:rPr>
        <w:t xml:space="preserve"> 1986, p 843.</w:t>
      </w:r>
    </w:p>
  </w:footnote>
  <w:footnote w:id="17">
    <w:p w:rsidR="00677175" w:rsidRPr="00070AD6" w:rsidRDefault="00677175" w:rsidP="00A03668">
      <w:pPr>
        <w:autoSpaceDE w:val="0"/>
        <w:autoSpaceDN w:val="0"/>
        <w:adjustRightInd w:val="0"/>
        <w:rPr>
          <w:rFonts w:eastAsiaTheme="minorHAnsi"/>
          <w:sz w:val="21"/>
          <w:szCs w:val="21"/>
          <w:lang w:val="en-US" w:eastAsia="en-US"/>
        </w:rPr>
      </w:pPr>
      <w:r w:rsidRPr="00070AD6">
        <w:rPr>
          <w:rStyle w:val="FootnoteReference"/>
          <w:sz w:val="21"/>
          <w:szCs w:val="21"/>
        </w:rPr>
        <w:footnoteRef/>
      </w:r>
      <w:r w:rsidRPr="00070AD6">
        <w:rPr>
          <w:sz w:val="21"/>
          <w:szCs w:val="21"/>
          <w:lang w:val="en-US"/>
        </w:rPr>
        <w:t xml:space="preserve"> </w:t>
      </w:r>
      <w:r w:rsidRPr="00070AD6">
        <w:rPr>
          <w:rFonts w:eastAsiaTheme="minorHAnsi"/>
          <w:sz w:val="21"/>
          <w:szCs w:val="21"/>
          <w:lang w:val="en-US" w:eastAsia="en-US"/>
        </w:rPr>
        <w:t>Art. 25 of the Bar Act, The Official Gazette of the Republic of Slovenia, No. 18-817/1993, dated 9 April 1993, Official Gazette of the Republic of Slovenia, No. 24-1465/1996, 10 May 1996; Decision by the Constitutional Court, Official Gazette of the Republic of Slovenia, No. 24-1455/2001, 5 April 2001, Official Gazette of the Republic of Slovenia, No. 54/08, 2 June 2008, Official Gazette of the Republic of Slovenia, No. 35/09, 8 May 2009.</w:t>
      </w:r>
    </w:p>
  </w:footnote>
  <w:footnote w:id="18">
    <w:p w:rsidR="00677175" w:rsidRPr="00070AD6" w:rsidRDefault="00677175" w:rsidP="00A03668">
      <w:pPr>
        <w:pStyle w:val="FootnoteText"/>
        <w:rPr>
          <w:rFonts w:ascii="Times New Roman" w:hAnsi="Times New Roman" w:cs="Times New Roman"/>
          <w:sz w:val="21"/>
          <w:szCs w:val="21"/>
          <w:lang w:val="en-US"/>
        </w:rPr>
      </w:pPr>
      <w:r w:rsidRPr="00070AD6">
        <w:rPr>
          <w:rStyle w:val="FootnoteReference"/>
          <w:rFonts w:ascii="Times New Roman" w:hAnsi="Times New Roman" w:cs="Times New Roman"/>
          <w:sz w:val="21"/>
          <w:szCs w:val="21"/>
        </w:rPr>
        <w:footnoteRef/>
      </w:r>
      <w:r w:rsidRPr="00070AD6">
        <w:rPr>
          <w:rFonts w:ascii="Times New Roman" w:hAnsi="Times New Roman" w:cs="Times New Roman"/>
          <w:sz w:val="21"/>
          <w:szCs w:val="21"/>
          <w:lang w:val="en-US"/>
        </w:rPr>
        <w:t xml:space="preserve"> For more information concerning the licensing procedure in Germany, </w:t>
      </w:r>
      <w:r w:rsidRPr="00070AD6">
        <w:rPr>
          <w:rFonts w:ascii="Times New Roman" w:hAnsi="Times New Roman" w:cs="Times New Roman"/>
          <w:color w:val="000000" w:themeColor="text1"/>
          <w:sz w:val="21"/>
          <w:szCs w:val="21"/>
          <w:lang w:val="en-US"/>
        </w:rPr>
        <w:t xml:space="preserve">see </w:t>
      </w:r>
      <w:r w:rsidRPr="00070AD6">
        <w:rPr>
          <w:rFonts w:ascii="Times New Roman" w:hAnsi="Times New Roman" w:cs="Times New Roman"/>
          <w:i/>
          <w:color w:val="000000" w:themeColor="text1"/>
          <w:sz w:val="21"/>
          <w:szCs w:val="21"/>
          <w:lang w:val="en-US"/>
        </w:rPr>
        <w:t>Bundesrechtsanwaltsordnung</w:t>
      </w:r>
      <w:r w:rsidRPr="00070AD6">
        <w:rPr>
          <w:rFonts w:ascii="Times New Roman" w:hAnsi="Times New Roman" w:cs="Times New Roman"/>
          <w:color w:val="000000" w:themeColor="text1"/>
          <w:sz w:val="21"/>
          <w:szCs w:val="21"/>
          <w:lang w:val="en-US"/>
        </w:rPr>
        <w:t xml:space="preserve"> (BRAO), arts. </w:t>
      </w:r>
      <w:r w:rsidRPr="0071567C">
        <w:rPr>
          <w:rFonts w:ascii="Times New Roman" w:hAnsi="Times New Roman" w:cs="Times New Roman"/>
          <w:color w:val="000000" w:themeColor="text1"/>
          <w:sz w:val="21"/>
          <w:szCs w:val="21"/>
          <w:lang w:val="de-DE"/>
        </w:rPr>
        <w:t xml:space="preserve">4–17; see also the </w:t>
      </w:r>
      <w:r w:rsidRPr="0071567C">
        <w:rPr>
          <w:rFonts w:ascii="Times New Roman" w:hAnsi="Times New Roman" w:cs="Times New Roman"/>
          <w:i/>
          <w:color w:val="000000" w:themeColor="text1"/>
          <w:sz w:val="21"/>
          <w:szCs w:val="21"/>
          <w:lang w:val="de-DE"/>
        </w:rPr>
        <w:t>Gesetz zur Reform der Juristenausbildung vom 11.07.2002</w:t>
      </w:r>
      <w:r w:rsidRPr="0071567C">
        <w:rPr>
          <w:rFonts w:ascii="Times New Roman" w:hAnsi="Times New Roman" w:cs="Times New Roman"/>
          <w:color w:val="000000" w:themeColor="text1"/>
          <w:sz w:val="21"/>
          <w:szCs w:val="21"/>
          <w:lang w:val="de-DE"/>
        </w:rPr>
        <w:t xml:space="preserve">, Bundesgesetzblatt 2002 Teil I Nr. 48, 2592; J. </w:t>
      </w:r>
      <w:r w:rsidRPr="0071567C">
        <w:rPr>
          <w:rFonts w:ascii="Times New Roman" w:hAnsi="Times New Roman" w:cs="Times New Roman"/>
          <w:smallCaps/>
          <w:color w:val="000000" w:themeColor="text1"/>
          <w:sz w:val="21"/>
          <w:szCs w:val="21"/>
          <w:lang w:val="de-DE"/>
        </w:rPr>
        <w:t>Riedel</w:t>
      </w:r>
      <w:r w:rsidRPr="0071567C">
        <w:rPr>
          <w:rFonts w:ascii="Times New Roman" w:hAnsi="Times New Roman" w:cs="Times New Roman"/>
          <w:color w:val="000000" w:themeColor="text1"/>
          <w:sz w:val="21"/>
          <w:szCs w:val="21"/>
          <w:lang w:val="de-DE"/>
        </w:rPr>
        <w:t xml:space="preserve">, ‘The Reform of Legal Education in Germany’, in 0. </w:t>
      </w:r>
      <w:r w:rsidRPr="00070AD6">
        <w:rPr>
          <w:rFonts w:ascii="Times New Roman" w:hAnsi="Times New Roman" w:cs="Times New Roman"/>
          <w:i/>
          <w:color w:val="000000" w:themeColor="text1"/>
          <w:sz w:val="21"/>
          <w:szCs w:val="21"/>
          <w:lang w:val="en-US"/>
        </w:rPr>
        <w:t xml:space="preserve">Eur. </w:t>
      </w:r>
      <w:r w:rsidRPr="00070AD6">
        <w:rPr>
          <w:rFonts w:ascii="Times New Roman" w:hAnsi="Times New Roman" w:cs="Times New Roman"/>
          <w:i/>
          <w:color w:val="000000" w:themeColor="text1"/>
          <w:sz w:val="21"/>
          <w:szCs w:val="21"/>
          <w:shd w:val="clear" w:color="auto" w:fill="FFFFFF"/>
          <w:lang w:val="en-US"/>
        </w:rPr>
        <w:t>J. Legal Educ</w:t>
      </w:r>
      <w:r w:rsidRPr="00070AD6">
        <w:rPr>
          <w:rFonts w:ascii="Times New Roman" w:hAnsi="Times New Roman" w:cs="Times New Roman"/>
          <w:color w:val="000000" w:themeColor="text1"/>
          <w:sz w:val="21"/>
          <w:szCs w:val="21"/>
          <w:shd w:val="clear" w:color="auto" w:fill="FFFFFF"/>
          <w:lang w:val="en-US"/>
        </w:rPr>
        <w:t>.</w:t>
      </w:r>
      <w:r w:rsidRPr="00070AD6">
        <w:rPr>
          <w:rStyle w:val="apple-converted-space"/>
          <w:rFonts w:ascii="Times New Roman" w:hAnsi="Times New Roman" w:cs="Times New Roman"/>
          <w:color w:val="000000" w:themeColor="text1"/>
          <w:sz w:val="21"/>
          <w:szCs w:val="21"/>
          <w:shd w:val="clear" w:color="auto" w:fill="FFFFFF"/>
          <w:lang w:val="en-US"/>
        </w:rPr>
        <w:t> (</w:t>
      </w:r>
      <w:r w:rsidRPr="00070AD6">
        <w:rPr>
          <w:rFonts w:ascii="Times New Roman" w:hAnsi="Times New Roman" w:cs="Times New Roman"/>
          <w:i/>
          <w:color w:val="000000" w:themeColor="text1"/>
          <w:sz w:val="21"/>
          <w:szCs w:val="21"/>
          <w:lang w:val="en-US"/>
        </w:rPr>
        <w:t>European Journal of Legal Education)</w:t>
      </w:r>
      <w:r w:rsidRPr="00070AD6">
        <w:rPr>
          <w:rFonts w:ascii="Times New Roman" w:hAnsi="Times New Roman" w:cs="Times New Roman"/>
          <w:color w:val="000000" w:themeColor="text1"/>
          <w:sz w:val="21"/>
          <w:szCs w:val="21"/>
          <w:lang w:val="en-US"/>
        </w:rPr>
        <w:t xml:space="preserve"> 2001, p (3) at 3</w:t>
      </w:r>
      <w:r w:rsidRPr="00070AD6">
        <w:rPr>
          <w:rFonts w:ascii="Times New Roman" w:hAnsi="Times New Roman" w:cs="Times New Roman"/>
          <w:color w:val="000000" w:themeColor="text1"/>
          <w:sz w:val="21"/>
          <w:szCs w:val="21"/>
          <w:lang w:val="en-US"/>
        </w:rPr>
        <w:softHyphen/>
        <w:t xml:space="preserve">–10; A. </w:t>
      </w:r>
      <w:r w:rsidRPr="00070AD6">
        <w:rPr>
          <w:rFonts w:ascii="Times New Roman" w:hAnsi="Times New Roman" w:cs="Times New Roman"/>
          <w:smallCaps/>
          <w:color w:val="000000" w:themeColor="text1"/>
          <w:sz w:val="21"/>
          <w:szCs w:val="21"/>
          <w:lang w:val="en-US"/>
        </w:rPr>
        <w:t>Keilmann</w:t>
      </w:r>
      <w:r w:rsidRPr="00070AD6">
        <w:rPr>
          <w:rFonts w:ascii="Times New Roman" w:hAnsi="Times New Roman" w:cs="Times New Roman"/>
          <w:color w:val="000000" w:themeColor="text1"/>
          <w:sz w:val="21"/>
          <w:szCs w:val="21"/>
          <w:lang w:val="en-US"/>
        </w:rPr>
        <w:t xml:space="preserve">, ‘The Einheitsjurist: A German Phenomenon’, in 7. </w:t>
      </w:r>
      <w:r w:rsidRPr="00070AD6">
        <w:rPr>
          <w:rFonts w:ascii="Times New Roman" w:hAnsi="Times New Roman" w:cs="Times New Roman"/>
          <w:i/>
          <w:iCs/>
          <w:color w:val="000000" w:themeColor="text1"/>
          <w:sz w:val="21"/>
          <w:szCs w:val="21"/>
          <w:lang w:val="en-US"/>
        </w:rPr>
        <w:t>Germ. Law jour</w:t>
      </w:r>
      <w:r w:rsidRPr="00070AD6">
        <w:rPr>
          <w:rFonts w:ascii="Times New Roman" w:hAnsi="Times New Roman" w:cs="Times New Roman"/>
          <w:color w:val="000000" w:themeColor="text1"/>
          <w:sz w:val="21"/>
          <w:szCs w:val="21"/>
          <w:lang w:val="en-US"/>
        </w:rPr>
        <w:t>. (</w:t>
      </w:r>
      <w:r w:rsidRPr="00070AD6">
        <w:rPr>
          <w:rFonts w:ascii="Times New Roman" w:hAnsi="Times New Roman" w:cs="Times New Roman"/>
          <w:i/>
          <w:color w:val="000000" w:themeColor="text1"/>
          <w:sz w:val="21"/>
          <w:szCs w:val="21"/>
          <w:lang w:val="en-US"/>
        </w:rPr>
        <w:t>German Law Journal)</w:t>
      </w:r>
      <w:r w:rsidRPr="00070AD6">
        <w:rPr>
          <w:rFonts w:ascii="Times New Roman" w:hAnsi="Times New Roman" w:cs="Times New Roman"/>
          <w:color w:val="000000" w:themeColor="text1"/>
          <w:sz w:val="21"/>
          <w:szCs w:val="21"/>
          <w:lang w:val="en-US"/>
        </w:rPr>
        <w:t xml:space="preserve"> 2006, p (293) at 297</w:t>
      </w:r>
      <w:r w:rsidRPr="00070AD6">
        <w:rPr>
          <w:rFonts w:ascii="Times New Roman" w:hAnsi="Times New Roman" w:cs="Times New Roman"/>
          <w:color w:val="000000" w:themeColor="text1"/>
          <w:sz w:val="21"/>
          <w:szCs w:val="21"/>
          <w:lang w:val="en-US"/>
        </w:rPr>
        <w:softHyphen/>
        <w:t>–298</w:t>
      </w:r>
      <w:r w:rsidRPr="00070AD6">
        <w:rPr>
          <w:rFonts w:ascii="Times New Roman" w:hAnsi="Times New Roman" w:cs="Times New Roman"/>
          <w:sz w:val="21"/>
          <w:szCs w:val="21"/>
          <w:lang w:val="en-US"/>
        </w:rPr>
        <w:t xml:space="preserve">. </w:t>
      </w:r>
    </w:p>
  </w:footnote>
  <w:footnote w:id="19">
    <w:p w:rsidR="00677175" w:rsidRPr="00070AD6" w:rsidRDefault="00677175" w:rsidP="00A03668">
      <w:pPr>
        <w:pStyle w:val="NormalWeb"/>
        <w:spacing w:before="0" w:beforeAutospacing="0" w:after="0" w:afterAutospacing="0"/>
        <w:rPr>
          <w:rFonts w:eastAsia="Times New Roman"/>
          <w:color w:val="000000" w:themeColor="text1"/>
          <w:sz w:val="21"/>
          <w:szCs w:val="21"/>
          <w:lang w:val="en-US"/>
        </w:rPr>
      </w:pPr>
      <w:r w:rsidRPr="00070AD6">
        <w:rPr>
          <w:rStyle w:val="FootnoteReference"/>
          <w:sz w:val="21"/>
          <w:szCs w:val="21"/>
        </w:rPr>
        <w:footnoteRef/>
      </w:r>
      <w:r w:rsidRPr="00070AD6">
        <w:rPr>
          <w:sz w:val="21"/>
          <w:szCs w:val="21"/>
          <w:lang w:val="en-US"/>
        </w:rPr>
        <w:t xml:space="preserve"> </w:t>
      </w:r>
      <w:r w:rsidRPr="00070AD6">
        <w:rPr>
          <w:sz w:val="21"/>
          <w:szCs w:val="21"/>
          <w:lang w:val="en-US" w:eastAsia="en-US"/>
        </w:rPr>
        <w:t xml:space="preserve">For more information concerning the Polish formal requirement to be admitted to the Bar, see </w:t>
      </w:r>
      <w:r w:rsidRPr="00070AD6">
        <w:rPr>
          <w:rFonts w:eastAsia="Times New Roman"/>
          <w:color w:val="000000" w:themeColor="text1"/>
          <w:sz w:val="21"/>
          <w:szCs w:val="21"/>
          <w:lang w:val="en-US"/>
        </w:rPr>
        <w:t xml:space="preserve">A. </w:t>
      </w:r>
      <w:r w:rsidRPr="00070AD6">
        <w:rPr>
          <w:smallCaps/>
          <w:color w:val="000000" w:themeColor="text1"/>
          <w:sz w:val="21"/>
          <w:szCs w:val="21"/>
          <w:lang w:val="en-US"/>
        </w:rPr>
        <w:t>Bodnar</w:t>
      </w:r>
      <w:r w:rsidRPr="00070AD6">
        <w:rPr>
          <w:rFonts w:eastAsia="Times New Roman"/>
          <w:color w:val="000000" w:themeColor="text1"/>
          <w:position w:val="12"/>
          <w:sz w:val="21"/>
          <w:szCs w:val="21"/>
          <w:lang w:val="en-US"/>
        </w:rPr>
        <w:t xml:space="preserve"> </w:t>
      </w:r>
      <w:r w:rsidR="001D1E1E">
        <w:rPr>
          <w:rFonts w:eastAsia="Times New Roman"/>
          <w:color w:val="000000" w:themeColor="text1"/>
          <w:sz w:val="21"/>
          <w:szCs w:val="21"/>
          <w:lang w:val="en-US"/>
        </w:rPr>
        <w:t>&amp;</w:t>
      </w:r>
      <w:r w:rsidR="001D1E1E" w:rsidRPr="00070AD6">
        <w:rPr>
          <w:rFonts w:eastAsia="Times New Roman"/>
          <w:color w:val="000000" w:themeColor="text1"/>
          <w:sz w:val="21"/>
          <w:szCs w:val="21"/>
          <w:lang w:val="en-US"/>
        </w:rPr>
        <w:t xml:space="preserve"> </w:t>
      </w:r>
      <w:r w:rsidRPr="00070AD6">
        <w:rPr>
          <w:rFonts w:eastAsia="Times New Roman"/>
          <w:color w:val="000000" w:themeColor="text1"/>
          <w:sz w:val="21"/>
          <w:szCs w:val="21"/>
          <w:lang w:val="en-US"/>
        </w:rPr>
        <w:t xml:space="preserve">D. </w:t>
      </w:r>
      <w:r w:rsidRPr="00070AD6">
        <w:rPr>
          <w:smallCaps/>
          <w:color w:val="000000" w:themeColor="text1"/>
          <w:sz w:val="21"/>
          <w:szCs w:val="21"/>
          <w:lang w:val="en-US"/>
        </w:rPr>
        <w:t>Bychawska</w:t>
      </w:r>
      <w:r w:rsidRPr="00070AD6">
        <w:rPr>
          <w:rFonts w:eastAsia="Times New Roman"/>
          <w:color w:val="000000" w:themeColor="text1"/>
          <w:sz w:val="21"/>
          <w:szCs w:val="21"/>
          <w:lang w:val="en-US"/>
        </w:rPr>
        <w:t xml:space="preserve">, </w:t>
      </w:r>
      <w:r w:rsidRPr="00070AD6">
        <w:rPr>
          <w:rFonts w:eastAsia="Times New Roman"/>
          <w:i/>
          <w:color w:val="000000" w:themeColor="text1"/>
          <w:sz w:val="21"/>
          <w:szCs w:val="21"/>
          <w:lang w:val="en-US"/>
        </w:rPr>
        <w:t>The Legal Profession in Poland</w:t>
      </w:r>
      <w:r w:rsidRPr="00070AD6">
        <w:rPr>
          <w:rFonts w:eastAsia="Times New Roman"/>
          <w:color w:val="000000" w:themeColor="text1"/>
          <w:sz w:val="21"/>
          <w:szCs w:val="21"/>
          <w:lang w:val="en-US"/>
        </w:rPr>
        <w:t>, 2009, https://www.osce.org/odihr/36308?download=true.</w:t>
      </w:r>
    </w:p>
  </w:footnote>
  <w:footnote w:id="20">
    <w:p w:rsidR="00677175" w:rsidRPr="00070AD6" w:rsidRDefault="00677175" w:rsidP="00A03668">
      <w:pPr>
        <w:autoSpaceDE w:val="0"/>
        <w:autoSpaceDN w:val="0"/>
        <w:adjustRightInd w:val="0"/>
        <w:rPr>
          <w:rFonts w:eastAsiaTheme="minorHAnsi"/>
          <w:sz w:val="21"/>
          <w:szCs w:val="21"/>
          <w:lang w:val="en-US" w:eastAsia="en-US"/>
        </w:rPr>
      </w:pPr>
      <w:r w:rsidRPr="00070AD6">
        <w:rPr>
          <w:rStyle w:val="FootnoteReference"/>
          <w:sz w:val="21"/>
          <w:szCs w:val="21"/>
        </w:rPr>
        <w:footnoteRef/>
      </w:r>
      <w:r w:rsidRPr="00070AD6">
        <w:rPr>
          <w:sz w:val="21"/>
          <w:szCs w:val="21"/>
          <w:lang w:val="en-US"/>
        </w:rPr>
        <w:t xml:space="preserve"> </w:t>
      </w:r>
      <w:r w:rsidRPr="00070AD6">
        <w:rPr>
          <w:rFonts w:eastAsiaTheme="minorHAnsi"/>
          <w:sz w:val="21"/>
          <w:szCs w:val="21"/>
          <w:lang w:val="en-US" w:eastAsia="en-US"/>
        </w:rPr>
        <w:t xml:space="preserve">This is the case, for example, </w:t>
      </w:r>
      <w:r>
        <w:rPr>
          <w:rFonts w:eastAsiaTheme="minorHAnsi"/>
          <w:sz w:val="21"/>
          <w:szCs w:val="21"/>
          <w:lang w:val="en-US" w:eastAsia="en-US"/>
        </w:rPr>
        <w:t>in</w:t>
      </w:r>
      <w:r w:rsidRPr="00070AD6">
        <w:rPr>
          <w:rFonts w:eastAsiaTheme="minorHAnsi"/>
          <w:sz w:val="21"/>
          <w:szCs w:val="21"/>
          <w:lang w:val="en-US" w:eastAsia="en-US"/>
        </w:rPr>
        <w:t xml:space="preserve"> </w:t>
      </w:r>
      <w:r>
        <w:rPr>
          <w:rFonts w:eastAsiaTheme="minorHAnsi"/>
          <w:sz w:val="21"/>
          <w:szCs w:val="21"/>
          <w:lang w:val="en-US" w:eastAsia="en-US"/>
        </w:rPr>
        <w:t xml:space="preserve">the </w:t>
      </w:r>
      <w:r w:rsidRPr="00070AD6">
        <w:rPr>
          <w:rFonts w:eastAsiaTheme="minorHAnsi"/>
          <w:sz w:val="21"/>
          <w:szCs w:val="21"/>
          <w:lang w:val="en-US" w:eastAsia="en-US"/>
        </w:rPr>
        <w:t>Czech Republic, Greece, Malta, Slovakia, Slovenia and Spain.</w:t>
      </w:r>
    </w:p>
  </w:footnote>
  <w:footnote w:id="21">
    <w:p w:rsidR="00677175" w:rsidRPr="00EA736D" w:rsidRDefault="00677175" w:rsidP="00A03668">
      <w:pPr>
        <w:pStyle w:val="FootnoteText"/>
        <w:rPr>
          <w:rFonts w:ascii="Times New Roman" w:eastAsia="Verdana" w:hAnsi="Times New Roman" w:cs="Times New Roman"/>
          <w:color w:val="000000"/>
          <w:sz w:val="21"/>
          <w:szCs w:val="21"/>
        </w:rPr>
      </w:pPr>
      <w:r w:rsidRPr="00070AD6">
        <w:rPr>
          <w:rStyle w:val="FootnoteReference"/>
          <w:rFonts w:ascii="Times New Roman" w:hAnsi="Times New Roman" w:cs="Times New Roman"/>
          <w:sz w:val="21"/>
          <w:szCs w:val="21"/>
        </w:rPr>
        <w:footnoteRef/>
      </w:r>
      <w:r w:rsidRPr="00070AD6">
        <w:rPr>
          <w:rFonts w:ascii="Times New Roman" w:hAnsi="Times New Roman" w:cs="Times New Roman"/>
          <w:sz w:val="21"/>
          <w:szCs w:val="21"/>
        </w:rPr>
        <w:t xml:space="preserve"> </w:t>
      </w:r>
      <w:r>
        <w:rPr>
          <w:rFonts w:ascii="Times New Roman" w:eastAsia="Arial Unicode MS" w:hAnsi="Times New Roman" w:cs="Times New Roman"/>
          <w:color w:val="000000"/>
          <w:sz w:val="21"/>
          <w:szCs w:val="21"/>
        </w:rPr>
        <w:t>‘</w:t>
      </w:r>
      <w:r w:rsidRPr="00070AD6">
        <w:rPr>
          <w:rFonts w:ascii="Times New Roman" w:eastAsia="Arial Unicode MS" w:hAnsi="Times New Roman" w:cs="Times New Roman"/>
          <w:i/>
          <w:color w:val="000000"/>
          <w:sz w:val="21"/>
          <w:szCs w:val="21"/>
        </w:rPr>
        <w:t>L'università fu la base comune del poderoso ceto internazionale dei giuristi</w:t>
      </w:r>
      <w:r>
        <w:rPr>
          <w:rFonts w:ascii="Times New Roman" w:eastAsia="Arial Unicode MS" w:hAnsi="Times New Roman" w:cs="Times New Roman"/>
          <w:color w:val="000000"/>
          <w:sz w:val="21"/>
          <w:szCs w:val="21"/>
        </w:rPr>
        <w:t>’</w:t>
      </w:r>
      <w:r w:rsidRPr="00070AD6">
        <w:rPr>
          <w:rFonts w:ascii="Times New Roman" w:eastAsia="Arial Unicode MS" w:hAnsi="Times New Roman" w:cs="Times New Roman"/>
          <w:color w:val="000000"/>
          <w:sz w:val="21"/>
          <w:szCs w:val="21"/>
        </w:rPr>
        <w:t xml:space="preserve">: </w:t>
      </w:r>
      <w:r w:rsidRPr="00070AD6">
        <w:rPr>
          <w:rFonts w:ascii="Times New Roman" w:eastAsia="Verdana" w:hAnsi="Times New Roman" w:cs="Times New Roman"/>
          <w:color w:val="000000"/>
          <w:sz w:val="21"/>
          <w:szCs w:val="21"/>
        </w:rPr>
        <w:t xml:space="preserve">P. G. </w:t>
      </w:r>
      <w:r w:rsidRPr="00070AD6">
        <w:rPr>
          <w:rFonts w:ascii="Times New Roman" w:hAnsi="Times New Roman" w:cs="Times New Roman"/>
          <w:smallCaps/>
          <w:color w:val="000000" w:themeColor="text1"/>
          <w:sz w:val="21"/>
          <w:szCs w:val="21"/>
          <w:lang w:eastAsia="it-IT"/>
        </w:rPr>
        <w:t>Monateri</w:t>
      </w:r>
      <w:r w:rsidRPr="00070AD6">
        <w:rPr>
          <w:rFonts w:ascii="Times New Roman" w:eastAsia="Verdana" w:hAnsi="Times New Roman" w:cs="Times New Roman"/>
          <w:color w:val="000000"/>
          <w:sz w:val="21"/>
          <w:szCs w:val="21"/>
        </w:rPr>
        <w:t xml:space="preserve"> </w:t>
      </w:r>
      <w:r w:rsidR="001D1E1E">
        <w:rPr>
          <w:rFonts w:ascii="Times New Roman" w:eastAsia="Verdana" w:hAnsi="Times New Roman" w:cs="Times New Roman"/>
          <w:color w:val="000000"/>
          <w:sz w:val="21"/>
          <w:szCs w:val="21"/>
        </w:rPr>
        <w:t>&amp;</w:t>
      </w:r>
      <w:r w:rsidRPr="00070AD6">
        <w:rPr>
          <w:rFonts w:ascii="Times New Roman" w:eastAsia="Verdana" w:hAnsi="Times New Roman" w:cs="Times New Roman"/>
          <w:color w:val="000000"/>
          <w:sz w:val="21"/>
          <w:szCs w:val="21"/>
        </w:rPr>
        <w:t xml:space="preserve"> A. </w:t>
      </w:r>
      <w:r w:rsidRPr="00070AD6">
        <w:rPr>
          <w:rFonts w:ascii="Times New Roman" w:hAnsi="Times New Roman" w:cs="Times New Roman"/>
          <w:smallCaps/>
          <w:color w:val="000000" w:themeColor="text1"/>
          <w:sz w:val="21"/>
          <w:szCs w:val="21"/>
          <w:lang w:eastAsia="it-IT"/>
        </w:rPr>
        <w:t>Somma</w:t>
      </w:r>
      <w:r w:rsidRPr="00070AD6">
        <w:rPr>
          <w:rFonts w:ascii="Times New Roman" w:eastAsia="Verdana" w:hAnsi="Times New Roman" w:cs="Times New Roman"/>
          <w:color w:val="000000"/>
          <w:sz w:val="21"/>
          <w:szCs w:val="21"/>
        </w:rPr>
        <w:t>, ‘</w:t>
      </w:r>
      <w:r w:rsidRPr="00070AD6">
        <w:rPr>
          <w:rFonts w:ascii="Times New Roman" w:eastAsia="Verdana" w:hAnsi="Times New Roman" w:cs="Times New Roman"/>
          <w:iCs/>
          <w:color w:val="000000"/>
          <w:sz w:val="21"/>
          <w:szCs w:val="21"/>
        </w:rPr>
        <w:t>Il modello di civil law’</w:t>
      </w:r>
      <w:r w:rsidRPr="00070AD6">
        <w:rPr>
          <w:rFonts w:ascii="Times New Roman" w:eastAsia="Verdana" w:hAnsi="Times New Roman" w:cs="Times New Roman"/>
          <w:color w:val="000000"/>
          <w:sz w:val="21"/>
          <w:szCs w:val="21"/>
        </w:rPr>
        <w:t xml:space="preserve">, in A. </w:t>
      </w:r>
      <w:r w:rsidRPr="00070AD6">
        <w:rPr>
          <w:rFonts w:ascii="Times New Roman" w:hAnsi="Times New Roman" w:cs="Times New Roman"/>
          <w:smallCaps/>
          <w:color w:val="000000" w:themeColor="text1"/>
          <w:sz w:val="21"/>
          <w:szCs w:val="21"/>
          <w:lang w:eastAsia="it-IT"/>
        </w:rPr>
        <w:t>Procida Mirabelli di Lauro</w:t>
      </w:r>
      <w:r w:rsidRPr="00070AD6">
        <w:rPr>
          <w:rFonts w:ascii="Times New Roman" w:eastAsia="Verdana" w:hAnsi="Times New Roman" w:cs="Times New Roman"/>
          <w:color w:val="000000"/>
          <w:sz w:val="21"/>
          <w:szCs w:val="21"/>
        </w:rPr>
        <w:t xml:space="preserve"> (</w:t>
      </w:r>
      <w:r>
        <w:rPr>
          <w:rFonts w:ascii="Times New Roman" w:eastAsia="Verdana" w:hAnsi="Times New Roman" w:cs="Times New Roman"/>
          <w:color w:val="000000"/>
          <w:sz w:val="21"/>
          <w:szCs w:val="21"/>
        </w:rPr>
        <w:t>ed.</w:t>
      </w:r>
      <w:r w:rsidRPr="00070AD6">
        <w:rPr>
          <w:rFonts w:ascii="Times New Roman" w:eastAsia="Verdana" w:hAnsi="Times New Roman" w:cs="Times New Roman"/>
          <w:color w:val="000000"/>
          <w:sz w:val="21"/>
          <w:szCs w:val="21"/>
        </w:rPr>
        <w:t xml:space="preserve">), </w:t>
      </w:r>
      <w:r w:rsidRPr="00070AD6">
        <w:rPr>
          <w:rFonts w:ascii="Times New Roman" w:eastAsia="Verdana" w:hAnsi="Times New Roman" w:cs="Times New Roman"/>
          <w:i/>
          <w:iCs/>
          <w:color w:val="000000"/>
          <w:sz w:val="21"/>
          <w:szCs w:val="21"/>
        </w:rPr>
        <w:t>Sistemi Giuridici Comparati</w:t>
      </w:r>
      <w:r w:rsidRPr="00070AD6">
        <w:rPr>
          <w:rFonts w:ascii="Times New Roman" w:eastAsia="Verdana" w:hAnsi="Times New Roman" w:cs="Times New Roman"/>
          <w:color w:val="000000"/>
          <w:sz w:val="21"/>
          <w:szCs w:val="21"/>
        </w:rPr>
        <w:t xml:space="preserve"> (Torino, 2009), p 33.</w:t>
      </w:r>
    </w:p>
  </w:footnote>
  <w:footnote w:id="22">
    <w:p w:rsidR="00677175" w:rsidRPr="00070AD6" w:rsidRDefault="00677175" w:rsidP="00A03668">
      <w:pPr>
        <w:pStyle w:val="NormalWeb"/>
        <w:spacing w:before="0" w:beforeAutospacing="0" w:after="0" w:afterAutospacing="0"/>
        <w:rPr>
          <w:sz w:val="21"/>
          <w:szCs w:val="21"/>
          <w:lang w:val="en-GB"/>
        </w:rPr>
      </w:pPr>
      <w:r w:rsidRPr="00070AD6">
        <w:rPr>
          <w:rStyle w:val="FootnoteReference"/>
          <w:sz w:val="21"/>
          <w:szCs w:val="21"/>
        </w:rPr>
        <w:footnoteRef/>
      </w:r>
      <w:r w:rsidRPr="00070AD6">
        <w:rPr>
          <w:sz w:val="21"/>
          <w:szCs w:val="21"/>
          <w:lang w:val="en-GB"/>
        </w:rPr>
        <w:t xml:space="preserve"> See D. </w:t>
      </w:r>
      <w:r w:rsidRPr="00070AD6">
        <w:rPr>
          <w:smallCaps/>
          <w:color w:val="000000" w:themeColor="text1"/>
          <w:sz w:val="21"/>
          <w:szCs w:val="21"/>
          <w:lang w:val="en-US"/>
        </w:rPr>
        <w:t>René</w:t>
      </w:r>
      <w:r w:rsidRPr="00070AD6">
        <w:rPr>
          <w:sz w:val="21"/>
          <w:szCs w:val="21"/>
          <w:lang w:val="en-GB"/>
        </w:rPr>
        <w:t xml:space="preserve"> </w:t>
      </w:r>
      <w:r w:rsidR="001D1E1E">
        <w:rPr>
          <w:sz w:val="21"/>
          <w:szCs w:val="21"/>
          <w:lang w:val="en-GB"/>
        </w:rPr>
        <w:t>&amp;</w:t>
      </w:r>
      <w:r w:rsidR="001D1E1E" w:rsidRPr="00070AD6">
        <w:rPr>
          <w:sz w:val="21"/>
          <w:szCs w:val="21"/>
          <w:lang w:val="en-GB"/>
        </w:rPr>
        <w:t xml:space="preserve"> </w:t>
      </w:r>
      <w:r w:rsidRPr="00070AD6">
        <w:rPr>
          <w:sz w:val="21"/>
          <w:szCs w:val="21"/>
          <w:lang w:val="en-GB"/>
        </w:rPr>
        <w:t xml:space="preserve">J. </w:t>
      </w:r>
      <w:r w:rsidRPr="00070AD6">
        <w:rPr>
          <w:smallCaps/>
          <w:color w:val="000000" w:themeColor="text1"/>
          <w:sz w:val="21"/>
          <w:szCs w:val="21"/>
          <w:lang w:val="en-US"/>
        </w:rPr>
        <w:t>Spinosi</w:t>
      </w:r>
      <w:r w:rsidRPr="00070AD6">
        <w:rPr>
          <w:sz w:val="21"/>
          <w:szCs w:val="21"/>
          <w:lang w:val="en-GB"/>
        </w:rPr>
        <w:t xml:space="preserve"> </w:t>
      </w:r>
      <w:r w:rsidRPr="00070AD6">
        <w:rPr>
          <w:smallCaps/>
          <w:color w:val="000000" w:themeColor="text1"/>
          <w:sz w:val="21"/>
          <w:szCs w:val="21"/>
          <w:lang w:val="en-US"/>
        </w:rPr>
        <w:t>Camille</w:t>
      </w:r>
      <w:r w:rsidRPr="00070AD6">
        <w:rPr>
          <w:sz w:val="21"/>
          <w:szCs w:val="21"/>
          <w:lang w:val="en-GB"/>
        </w:rPr>
        <w:t xml:space="preserve">, </w:t>
      </w:r>
      <w:r w:rsidRPr="00070AD6">
        <w:rPr>
          <w:i/>
          <w:iCs/>
          <w:sz w:val="21"/>
          <w:szCs w:val="21"/>
          <w:lang w:val="en-GB"/>
        </w:rPr>
        <w:t>I grandi sistemi giuridici contemporanei</w:t>
      </w:r>
      <w:r w:rsidRPr="00070AD6">
        <w:rPr>
          <w:sz w:val="21"/>
          <w:szCs w:val="21"/>
          <w:lang w:val="en-GB"/>
        </w:rPr>
        <w:t xml:space="preserve"> (5 ed, CEDAM 2004), p 33: </w:t>
      </w:r>
      <w:r>
        <w:rPr>
          <w:sz w:val="21"/>
          <w:szCs w:val="21"/>
          <w:lang w:val="en-GB"/>
        </w:rPr>
        <w:t>‘</w:t>
      </w:r>
      <w:r w:rsidRPr="00070AD6">
        <w:rPr>
          <w:i/>
          <w:sz w:val="21"/>
          <w:szCs w:val="21"/>
          <w:lang w:val="en-GB"/>
        </w:rPr>
        <w:t>The Law, as the Moral, is a “Sollen” (what we should do) and not a “Sein” (what we do in practice)</w:t>
      </w:r>
      <w:r>
        <w:rPr>
          <w:i/>
          <w:sz w:val="21"/>
          <w:szCs w:val="21"/>
          <w:lang w:val="en-GB"/>
        </w:rPr>
        <w:t>’</w:t>
      </w:r>
      <w:r w:rsidRPr="00070AD6">
        <w:rPr>
          <w:i/>
          <w:sz w:val="21"/>
          <w:szCs w:val="21"/>
          <w:lang w:val="en-GB"/>
        </w:rPr>
        <w:t>.</w:t>
      </w:r>
    </w:p>
  </w:footnote>
  <w:footnote w:id="23">
    <w:p w:rsidR="00677175" w:rsidRPr="00070AD6" w:rsidRDefault="00677175" w:rsidP="00A03668">
      <w:pPr>
        <w:widowControl w:val="0"/>
        <w:tabs>
          <w:tab w:val="left" w:pos="220"/>
          <w:tab w:val="left" w:pos="720"/>
        </w:tabs>
        <w:autoSpaceDE w:val="0"/>
        <w:autoSpaceDN w:val="0"/>
        <w:adjustRightInd w:val="0"/>
        <w:rPr>
          <w:sz w:val="21"/>
          <w:szCs w:val="21"/>
        </w:rPr>
      </w:pPr>
      <w:r w:rsidRPr="00070AD6">
        <w:rPr>
          <w:rStyle w:val="FootnoteReference"/>
          <w:sz w:val="21"/>
          <w:szCs w:val="21"/>
        </w:rPr>
        <w:footnoteRef/>
      </w:r>
      <w:r w:rsidRPr="00070AD6">
        <w:rPr>
          <w:sz w:val="21"/>
          <w:szCs w:val="21"/>
        </w:rPr>
        <w:t xml:space="preserve"> See M. </w:t>
      </w:r>
      <w:r w:rsidRPr="00070AD6">
        <w:rPr>
          <w:rFonts w:eastAsiaTheme="minorHAnsi"/>
          <w:smallCaps/>
          <w:color w:val="000000" w:themeColor="text1"/>
          <w:sz w:val="21"/>
          <w:szCs w:val="21"/>
        </w:rPr>
        <w:t>Malatesta</w:t>
      </w:r>
      <w:r w:rsidRPr="00070AD6">
        <w:rPr>
          <w:sz w:val="21"/>
          <w:szCs w:val="21"/>
        </w:rPr>
        <w:t>, ‘</w:t>
      </w:r>
      <w:r w:rsidRPr="00070AD6">
        <w:rPr>
          <w:iCs/>
          <w:sz w:val="21"/>
          <w:szCs w:val="21"/>
        </w:rPr>
        <w:t>L'Ordine professionale, ovvero l'espansione del paradigma avvocatizio’</w:t>
      </w:r>
      <w:r w:rsidRPr="00070AD6">
        <w:rPr>
          <w:sz w:val="21"/>
          <w:szCs w:val="21"/>
        </w:rPr>
        <w:t xml:space="preserve">, in 3. </w:t>
      </w:r>
      <w:r w:rsidRPr="00070AD6">
        <w:rPr>
          <w:i/>
          <w:iCs/>
          <w:sz w:val="21"/>
          <w:szCs w:val="21"/>
        </w:rPr>
        <w:t>Parolechiave</w:t>
      </w:r>
      <w:r w:rsidRPr="00070AD6">
        <w:rPr>
          <w:iCs/>
          <w:sz w:val="21"/>
          <w:szCs w:val="21"/>
        </w:rPr>
        <w:t xml:space="preserve"> 1995, </w:t>
      </w:r>
      <w:r w:rsidRPr="00070AD6">
        <w:rPr>
          <w:sz w:val="21"/>
          <w:szCs w:val="21"/>
        </w:rPr>
        <w:t xml:space="preserve">p 270. See also S. </w:t>
      </w:r>
      <w:r w:rsidRPr="00070AD6">
        <w:rPr>
          <w:rFonts w:eastAsiaTheme="minorHAnsi"/>
          <w:smallCaps/>
          <w:color w:val="000000" w:themeColor="text1"/>
          <w:sz w:val="21"/>
          <w:szCs w:val="21"/>
        </w:rPr>
        <w:t>Parini</w:t>
      </w:r>
      <w:r w:rsidRPr="00070AD6">
        <w:rPr>
          <w:sz w:val="21"/>
          <w:szCs w:val="21"/>
        </w:rPr>
        <w:t xml:space="preserve"> </w:t>
      </w:r>
      <w:r w:rsidRPr="00070AD6">
        <w:rPr>
          <w:rFonts w:eastAsiaTheme="minorHAnsi"/>
          <w:smallCaps/>
          <w:color w:val="000000" w:themeColor="text1"/>
          <w:sz w:val="21"/>
          <w:szCs w:val="21"/>
        </w:rPr>
        <w:t>Vincenti</w:t>
      </w:r>
      <w:r w:rsidRPr="00070AD6">
        <w:rPr>
          <w:sz w:val="21"/>
          <w:szCs w:val="21"/>
        </w:rPr>
        <w:t>, ‘</w:t>
      </w:r>
      <w:r w:rsidRPr="00070AD6">
        <w:rPr>
          <w:i/>
          <w:sz w:val="21"/>
          <w:szCs w:val="21"/>
        </w:rPr>
        <w:t>Ad Auxilium Vocatus</w:t>
      </w:r>
      <w:r w:rsidRPr="00070AD6">
        <w:rPr>
          <w:sz w:val="21"/>
          <w:szCs w:val="21"/>
        </w:rPr>
        <w:t xml:space="preserve">. </w:t>
      </w:r>
      <w:r w:rsidRPr="00070AD6">
        <w:rPr>
          <w:iCs/>
          <w:sz w:val="21"/>
          <w:szCs w:val="21"/>
        </w:rPr>
        <w:t>Studi sul praticantato da Napoleone alla Legge professionale del 1874: l</w:t>
      </w:r>
      <w:r>
        <w:rPr>
          <w:iCs/>
          <w:sz w:val="21"/>
          <w:szCs w:val="21"/>
        </w:rPr>
        <w:t>’</w:t>
      </w:r>
      <w:r w:rsidRPr="00070AD6">
        <w:rPr>
          <w:iCs/>
          <w:sz w:val="21"/>
          <w:szCs w:val="21"/>
        </w:rPr>
        <w:t>esperienza normativa’</w:t>
      </w:r>
      <w:r w:rsidRPr="00070AD6">
        <w:rPr>
          <w:sz w:val="21"/>
          <w:szCs w:val="21"/>
        </w:rPr>
        <w:t xml:space="preserve">, in A. </w:t>
      </w:r>
      <w:r w:rsidRPr="00070AD6">
        <w:rPr>
          <w:rFonts w:eastAsiaTheme="minorHAnsi"/>
          <w:smallCaps/>
          <w:color w:val="000000" w:themeColor="text1"/>
          <w:sz w:val="21"/>
          <w:szCs w:val="21"/>
        </w:rPr>
        <w:t>Padoa</w:t>
      </w:r>
      <w:r w:rsidRPr="00070AD6">
        <w:rPr>
          <w:sz w:val="21"/>
          <w:szCs w:val="21"/>
        </w:rPr>
        <w:t xml:space="preserve"> </w:t>
      </w:r>
      <w:r w:rsidRPr="00070AD6">
        <w:rPr>
          <w:rFonts w:eastAsiaTheme="minorHAnsi"/>
          <w:smallCaps/>
          <w:color w:val="000000" w:themeColor="text1"/>
          <w:sz w:val="21"/>
          <w:szCs w:val="21"/>
        </w:rPr>
        <w:t>Schioppa</w:t>
      </w:r>
      <w:r w:rsidRPr="00070AD6">
        <w:rPr>
          <w:sz w:val="21"/>
          <w:szCs w:val="21"/>
        </w:rPr>
        <w:t xml:space="preserve"> (ed</w:t>
      </w:r>
      <w:r>
        <w:rPr>
          <w:sz w:val="21"/>
          <w:szCs w:val="21"/>
        </w:rPr>
        <w:t>.</w:t>
      </w:r>
      <w:r w:rsidRPr="00070AD6">
        <w:rPr>
          <w:sz w:val="21"/>
          <w:szCs w:val="21"/>
        </w:rPr>
        <w:t xml:space="preserve">), </w:t>
      </w:r>
      <w:r w:rsidRPr="00070AD6">
        <w:rPr>
          <w:i/>
          <w:iCs/>
          <w:sz w:val="21"/>
          <w:szCs w:val="21"/>
        </w:rPr>
        <w:t>Avvocati e avvocatura nell'Italia dell'Ottocento</w:t>
      </w:r>
      <w:r w:rsidRPr="00070AD6">
        <w:rPr>
          <w:sz w:val="21"/>
          <w:szCs w:val="21"/>
        </w:rPr>
        <w:t xml:space="preserve"> (Bologna, 2009), p 59 ff. </w:t>
      </w:r>
      <w:r w:rsidRPr="00070AD6">
        <w:rPr>
          <w:rFonts w:ascii="MS Mincho" w:eastAsia="MS Mincho" w:hAnsi="MS Mincho" w:cs="MS Mincho" w:hint="eastAsia"/>
          <w:sz w:val="21"/>
          <w:szCs w:val="21"/>
        </w:rPr>
        <w:t> </w:t>
      </w:r>
    </w:p>
  </w:footnote>
  <w:footnote w:id="24">
    <w:p w:rsidR="00677175" w:rsidRPr="0071567C" w:rsidRDefault="00677175" w:rsidP="00070AD6">
      <w:pPr>
        <w:widowControl w:val="0"/>
        <w:tabs>
          <w:tab w:val="left" w:pos="220"/>
          <w:tab w:val="left" w:pos="720"/>
        </w:tabs>
        <w:autoSpaceDE w:val="0"/>
        <w:autoSpaceDN w:val="0"/>
        <w:adjustRightInd w:val="0"/>
        <w:jc w:val="both"/>
        <w:rPr>
          <w:sz w:val="21"/>
          <w:szCs w:val="21"/>
          <w:lang w:val="es-ES_tradnl"/>
        </w:rPr>
      </w:pPr>
      <w:r w:rsidRPr="00070AD6">
        <w:rPr>
          <w:rStyle w:val="FootnoteReference"/>
          <w:sz w:val="21"/>
          <w:szCs w:val="21"/>
        </w:rPr>
        <w:footnoteRef/>
      </w:r>
      <w:r w:rsidRPr="00070AD6">
        <w:rPr>
          <w:sz w:val="21"/>
          <w:szCs w:val="21"/>
        </w:rPr>
        <w:t xml:space="preserve"> See A. </w:t>
      </w:r>
      <w:r w:rsidRPr="00070AD6">
        <w:rPr>
          <w:rFonts w:eastAsiaTheme="minorHAnsi"/>
          <w:smallCaps/>
          <w:color w:val="000000" w:themeColor="text1"/>
          <w:sz w:val="21"/>
          <w:szCs w:val="21"/>
        </w:rPr>
        <w:t>Bianchi</w:t>
      </w:r>
      <w:r w:rsidRPr="00070AD6">
        <w:rPr>
          <w:sz w:val="21"/>
          <w:szCs w:val="21"/>
        </w:rPr>
        <w:t xml:space="preserve">, </w:t>
      </w:r>
      <w:r w:rsidRPr="00070AD6">
        <w:rPr>
          <w:i/>
          <w:iCs/>
          <w:sz w:val="21"/>
          <w:szCs w:val="21"/>
        </w:rPr>
        <w:t xml:space="preserve">Sull'esercizio delle professioni di avvocato e procuratore. </w:t>
      </w:r>
      <w:r w:rsidRPr="0071567C">
        <w:rPr>
          <w:i/>
          <w:iCs/>
          <w:sz w:val="21"/>
          <w:szCs w:val="21"/>
          <w:lang w:val="es-ES_tradnl"/>
        </w:rPr>
        <w:t>Testo e commento della legge 8 giugno 1874</w:t>
      </w:r>
      <w:r w:rsidRPr="0071567C">
        <w:rPr>
          <w:sz w:val="21"/>
          <w:szCs w:val="21"/>
          <w:lang w:val="es-ES_tradnl"/>
        </w:rPr>
        <w:t xml:space="preserve"> (Torino, 1886), p 99.</w:t>
      </w:r>
    </w:p>
  </w:footnote>
  <w:footnote w:id="25">
    <w:p w:rsidR="00677175" w:rsidRPr="00B63012" w:rsidRDefault="00677175" w:rsidP="00070AD6">
      <w:pPr>
        <w:pStyle w:val="FootnoteText"/>
        <w:jc w:val="both"/>
        <w:rPr>
          <w:rFonts w:ascii="Times New Roman" w:eastAsia="ArialMT" w:hAnsi="Times New Roman" w:cs="Times New Roman"/>
          <w:color w:val="000000"/>
          <w:sz w:val="21"/>
          <w:szCs w:val="21"/>
          <w:lang w:val="en-US"/>
        </w:rPr>
      </w:pPr>
      <w:r w:rsidRPr="00070AD6">
        <w:rPr>
          <w:rStyle w:val="FootnoteReference"/>
          <w:rFonts w:ascii="Times New Roman" w:hAnsi="Times New Roman" w:cs="Times New Roman"/>
          <w:sz w:val="21"/>
          <w:szCs w:val="21"/>
        </w:rPr>
        <w:footnoteRef/>
      </w:r>
      <w:r w:rsidRPr="00070AD6">
        <w:rPr>
          <w:rFonts w:ascii="Times New Roman" w:hAnsi="Times New Roman" w:cs="Times New Roman"/>
          <w:sz w:val="21"/>
          <w:szCs w:val="21"/>
          <w:lang w:val="en-US"/>
        </w:rPr>
        <w:t xml:space="preserve"> Concerning the evolution of legal education in UK, see: </w:t>
      </w:r>
      <w:r w:rsidRPr="00070AD6">
        <w:rPr>
          <w:rFonts w:ascii="Times New Roman" w:eastAsia="Times New Roman" w:hAnsi="Times New Roman" w:cs="Times New Roman"/>
          <w:sz w:val="21"/>
          <w:szCs w:val="21"/>
          <w:lang w:val="en-US"/>
        </w:rPr>
        <w:t xml:space="preserve">C. N. </w:t>
      </w:r>
      <w:r w:rsidRPr="00070AD6">
        <w:rPr>
          <w:rFonts w:ascii="Times New Roman" w:hAnsi="Times New Roman" w:cs="Times New Roman"/>
          <w:smallCaps/>
          <w:color w:val="000000" w:themeColor="text1"/>
          <w:sz w:val="21"/>
          <w:szCs w:val="21"/>
          <w:lang w:val="en-US"/>
        </w:rPr>
        <w:t>Gregory</w:t>
      </w:r>
      <w:r w:rsidRPr="00070AD6">
        <w:rPr>
          <w:rFonts w:ascii="Times New Roman" w:eastAsia="Times New Roman" w:hAnsi="Times New Roman" w:cs="Times New Roman"/>
          <w:sz w:val="21"/>
          <w:szCs w:val="21"/>
          <w:lang w:val="en-US"/>
        </w:rPr>
        <w:t xml:space="preserve">, ‘A Movement in English Legal Education’, in 10 </w:t>
      </w:r>
      <w:r w:rsidRPr="00070AD6">
        <w:rPr>
          <w:rFonts w:ascii="Times New Roman" w:eastAsia="Times New Roman" w:hAnsi="Times New Roman" w:cs="Times New Roman"/>
          <w:i/>
          <w:sz w:val="21"/>
          <w:szCs w:val="21"/>
          <w:lang w:val="en-US"/>
        </w:rPr>
        <w:t>Harvard Law Review</w:t>
      </w:r>
      <w:r w:rsidRPr="00070AD6">
        <w:rPr>
          <w:rFonts w:ascii="Times New Roman" w:eastAsia="Times New Roman" w:hAnsi="Times New Roman" w:cs="Times New Roman"/>
          <w:sz w:val="21"/>
          <w:szCs w:val="21"/>
          <w:lang w:val="en-US"/>
        </w:rPr>
        <w:t xml:space="preserve"> 1897, p 418 ff.; </w:t>
      </w:r>
      <w:r w:rsidRPr="00070AD6">
        <w:rPr>
          <w:rFonts w:ascii="Times New Roman" w:eastAsia="Times-Roman" w:hAnsi="Times New Roman" w:cs="Times New Roman"/>
          <w:color w:val="000000"/>
          <w:sz w:val="21"/>
          <w:szCs w:val="21"/>
          <w:lang w:val="en-US"/>
        </w:rPr>
        <w:t xml:space="preserve">R. M. </w:t>
      </w:r>
      <w:r w:rsidRPr="00070AD6">
        <w:rPr>
          <w:rFonts w:ascii="Times New Roman" w:hAnsi="Times New Roman" w:cs="Times New Roman"/>
          <w:smallCaps/>
          <w:sz w:val="21"/>
          <w:szCs w:val="21"/>
          <w:lang w:val="en-US"/>
        </w:rPr>
        <w:t>Stein</w:t>
      </w:r>
      <w:r w:rsidRPr="00070AD6">
        <w:rPr>
          <w:rFonts w:ascii="Times New Roman" w:eastAsia="Times-Roman" w:hAnsi="Times New Roman" w:cs="Times New Roman"/>
          <w:color w:val="000000"/>
          <w:sz w:val="21"/>
          <w:szCs w:val="21"/>
          <w:lang w:val="en-US"/>
        </w:rPr>
        <w:t>, ‘T</w:t>
      </w:r>
      <w:r w:rsidRPr="00070AD6">
        <w:rPr>
          <w:rFonts w:ascii="Times New Roman" w:eastAsia="Times-Roman" w:hAnsi="Times New Roman" w:cs="Times New Roman"/>
          <w:iCs/>
          <w:color w:val="000000"/>
          <w:sz w:val="21"/>
          <w:szCs w:val="21"/>
          <w:lang w:val="en-US"/>
        </w:rPr>
        <w:t xml:space="preserve">he Path of Legal Education from Edward I to Langdell: </w:t>
      </w:r>
      <w:r>
        <w:rPr>
          <w:rFonts w:ascii="Times New Roman" w:eastAsia="Times-Roman" w:hAnsi="Times New Roman" w:cs="Times New Roman"/>
          <w:iCs/>
          <w:color w:val="000000"/>
          <w:sz w:val="21"/>
          <w:szCs w:val="21"/>
          <w:lang w:val="en-US"/>
        </w:rPr>
        <w:t>A</w:t>
      </w:r>
      <w:r w:rsidRPr="00070AD6">
        <w:rPr>
          <w:rFonts w:ascii="Times New Roman" w:eastAsia="Times-Roman" w:hAnsi="Times New Roman" w:cs="Times New Roman"/>
          <w:iCs/>
          <w:color w:val="000000"/>
          <w:sz w:val="21"/>
          <w:szCs w:val="21"/>
          <w:lang w:val="en-US"/>
        </w:rPr>
        <w:t xml:space="preserve"> History of Insular Reaction’</w:t>
      </w:r>
      <w:r w:rsidRPr="00070AD6">
        <w:rPr>
          <w:rFonts w:ascii="Times New Roman" w:eastAsia="Times-Roman" w:hAnsi="Times New Roman" w:cs="Times New Roman"/>
          <w:i/>
          <w:iCs/>
          <w:color w:val="000000"/>
          <w:sz w:val="21"/>
          <w:szCs w:val="21"/>
          <w:lang w:val="en-US"/>
        </w:rPr>
        <w:t>,</w:t>
      </w:r>
      <w:r w:rsidRPr="00070AD6">
        <w:rPr>
          <w:rFonts w:ascii="Times New Roman" w:eastAsia="Times-Roman" w:hAnsi="Times New Roman" w:cs="Times New Roman"/>
          <w:color w:val="000000"/>
          <w:sz w:val="21"/>
          <w:szCs w:val="21"/>
          <w:lang w:val="en-US"/>
        </w:rPr>
        <w:t xml:space="preserve"> in 57. </w:t>
      </w:r>
      <w:r w:rsidRPr="00070AD6">
        <w:rPr>
          <w:rFonts w:ascii="Times New Roman" w:eastAsia="Times-Roman" w:hAnsi="Times New Roman" w:cs="Times New Roman"/>
          <w:i/>
          <w:color w:val="000000"/>
          <w:sz w:val="21"/>
          <w:szCs w:val="21"/>
          <w:lang w:val="en-US"/>
        </w:rPr>
        <w:t>Chi. Kent L. Rev</w:t>
      </w:r>
      <w:r w:rsidRPr="00070AD6">
        <w:rPr>
          <w:rFonts w:ascii="Times New Roman" w:eastAsia="Times-Roman" w:hAnsi="Times New Roman" w:cs="Times New Roman"/>
          <w:color w:val="000000"/>
          <w:sz w:val="21"/>
          <w:szCs w:val="21"/>
          <w:lang w:val="en-US"/>
        </w:rPr>
        <w:t xml:space="preserve">. 1981, p 429; </w:t>
      </w:r>
      <w:r w:rsidRPr="00070AD6">
        <w:rPr>
          <w:rFonts w:ascii="Times New Roman" w:hAnsi="Times New Roman" w:cs="Times New Roman"/>
          <w:sz w:val="21"/>
          <w:szCs w:val="21"/>
          <w:lang w:val="en-US"/>
        </w:rPr>
        <w:t xml:space="preserve">A. </w:t>
      </w:r>
      <w:r w:rsidRPr="00070AD6">
        <w:rPr>
          <w:rFonts w:ascii="Times New Roman" w:hAnsi="Times New Roman" w:cs="Times New Roman"/>
          <w:smallCaps/>
          <w:sz w:val="21"/>
          <w:szCs w:val="21"/>
          <w:lang w:val="en-US"/>
        </w:rPr>
        <w:t>Boon</w:t>
      </w:r>
      <w:r w:rsidRPr="00070AD6">
        <w:rPr>
          <w:rFonts w:ascii="Times New Roman" w:hAnsi="Times New Roman" w:cs="Times New Roman"/>
          <w:sz w:val="21"/>
          <w:szCs w:val="21"/>
          <w:lang w:val="en-US"/>
        </w:rPr>
        <w:t xml:space="preserve"> </w:t>
      </w:r>
      <w:r w:rsidR="001D1E1E">
        <w:rPr>
          <w:rFonts w:ascii="Times New Roman" w:hAnsi="Times New Roman" w:cs="Times New Roman"/>
          <w:sz w:val="21"/>
          <w:szCs w:val="21"/>
          <w:lang w:val="en-US"/>
        </w:rPr>
        <w:t>&amp;</w:t>
      </w:r>
      <w:r w:rsidRPr="00070AD6">
        <w:rPr>
          <w:rFonts w:ascii="Times New Roman" w:hAnsi="Times New Roman" w:cs="Times New Roman"/>
          <w:sz w:val="21"/>
          <w:szCs w:val="21"/>
          <w:lang w:val="en-US"/>
        </w:rPr>
        <w:t xml:space="preserve"> J. </w:t>
      </w:r>
      <w:r w:rsidRPr="00070AD6">
        <w:rPr>
          <w:rFonts w:ascii="Times New Roman" w:hAnsi="Times New Roman" w:cs="Times New Roman"/>
          <w:smallCaps/>
          <w:sz w:val="21"/>
          <w:szCs w:val="21"/>
          <w:lang w:val="en-US"/>
        </w:rPr>
        <w:t>Webb</w:t>
      </w:r>
      <w:r w:rsidRPr="00070AD6">
        <w:rPr>
          <w:rFonts w:ascii="Times New Roman" w:hAnsi="Times New Roman" w:cs="Times New Roman"/>
          <w:sz w:val="21"/>
          <w:szCs w:val="21"/>
          <w:lang w:val="en-US"/>
        </w:rPr>
        <w:t>, ‘</w:t>
      </w:r>
      <w:r w:rsidRPr="00070AD6">
        <w:rPr>
          <w:rFonts w:ascii="Times New Roman" w:hAnsi="Times New Roman" w:cs="Times New Roman"/>
          <w:iCs/>
          <w:sz w:val="21"/>
          <w:szCs w:val="21"/>
          <w:lang w:val="en-US"/>
        </w:rPr>
        <w:t xml:space="preserve">Legal Education and Training </w:t>
      </w:r>
      <w:r>
        <w:rPr>
          <w:rFonts w:ascii="Times New Roman" w:hAnsi="Times New Roman" w:cs="Times New Roman"/>
          <w:iCs/>
          <w:sz w:val="21"/>
          <w:szCs w:val="21"/>
          <w:lang w:val="en-US"/>
        </w:rPr>
        <w:t>in</w:t>
      </w:r>
      <w:r w:rsidRPr="00070AD6">
        <w:rPr>
          <w:rFonts w:ascii="Times New Roman" w:hAnsi="Times New Roman" w:cs="Times New Roman"/>
          <w:iCs/>
          <w:sz w:val="21"/>
          <w:szCs w:val="21"/>
          <w:lang w:val="en-US"/>
        </w:rPr>
        <w:t xml:space="preserve"> England and Wales: Back to the Future?</w:t>
      </w:r>
      <w:r w:rsidRPr="00070AD6">
        <w:rPr>
          <w:rFonts w:ascii="Times New Roman" w:hAnsi="Times New Roman" w:cs="Times New Roman"/>
          <w:i/>
          <w:iCs/>
          <w:sz w:val="21"/>
          <w:szCs w:val="21"/>
          <w:lang w:val="en-US"/>
        </w:rPr>
        <w:t>’,</w:t>
      </w:r>
      <w:r w:rsidRPr="00070AD6">
        <w:rPr>
          <w:rFonts w:ascii="Times New Roman" w:hAnsi="Times New Roman" w:cs="Times New Roman"/>
          <w:sz w:val="21"/>
          <w:szCs w:val="21"/>
          <w:lang w:val="en-US"/>
        </w:rPr>
        <w:t xml:space="preserve"> in 58. </w:t>
      </w:r>
      <w:r w:rsidRPr="00B63012">
        <w:rPr>
          <w:rFonts w:ascii="Times New Roman" w:hAnsi="Times New Roman" w:cs="Times New Roman"/>
          <w:i/>
          <w:iCs/>
          <w:sz w:val="21"/>
          <w:szCs w:val="21"/>
          <w:lang w:val="en-US"/>
        </w:rPr>
        <w:t>Journal of Legal Education</w:t>
      </w:r>
      <w:r w:rsidRPr="00B63012">
        <w:rPr>
          <w:rFonts w:ascii="Times New Roman" w:hAnsi="Times New Roman" w:cs="Times New Roman"/>
          <w:sz w:val="21"/>
          <w:szCs w:val="21"/>
          <w:lang w:val="en-US"/>
        </w:rPr>
        <w:t xml:space="preserve"> 2008, p 79; </w:t>
      </w:r>
      <w:r w:rsidRPr="00B63012">
        <w:rPr>
          <w:rFonts w:ascii="Times New Roman" w:eastAsia="Times-Roman" w:hAnsi="Times New Roman" w:cs="Times New Roman"/>
          <w:color w:val="000000"/>
          <w:sz w:val="21"/>
          <w:szCs w:val="21"/>
          <w:lang w:val="en-US"/>
        </w:rPr>
        <w:t xml:space="preserve">N. </w:t>
      </w:r>
      <w:r w:rsidRPr="00B63012">
        <w:rPr>
          <w:rFonts w:ascii="Times New Roman" w:hAnsi="Times New Roman" w:cs="Times New Roman"/>
          <w:smallCaps/>
          <w:color w:val="000000" w:themeColor="text1"/>
          <w:sz w:val="21"/>
          <w:szCs w:val="21"/>
          <w:lang w:val="en-US"/>
        </w:rPr>
        <w:t>Picardi</w:t>
      </w:r>
      <w:r w:rsidRPr="00B63012">
        <w:rPr>
          <w:rFonts w:ascii="Times New Roman" w:eastAsia="Times-Roman" w:hAnsi="Times New Roman" w:cs="Times New Roman"/>
          <w:color w:val="000000"/>
          <w:sz w:val="21"/>
          <w:szCs w:val="21"/>
          <w:lang w:val="en-US"/>
        </w:rPr>
        <w:t xml:space="preserve"> and R. </w:t>
      </w:r>
      <w:r w:rsidRPr="00B63012">
        <w:rPr>
          <w:rFonts w:ascii="Times New Roman" w:hAnsi="Times New Roman" w:cs="Times New Roman"/>
          <w:smallCaps/>
          <w:color w:val="000000" w:themeColor="text1"/>
          <w:sz w:val="21"/>
          <w:szCs w:val="21"/>
          <w:lang w:val="en-US"/>
        </w:rPr>
        <w:t>Martino</w:t>
      </w:r>
      <w:r w:rsidRPr="00B63012">
        <w:rPr>
          <w:rFonts w:ascii="Times New Roman" w:eastAsia="Times-Roman" w:hAnsi="Times New Roman" w:cs="Times New Roman"/>
          <w:color w:val="000000"/>
          <w:sz w:val="21"/>
          <w:szCs w:val="21"/>
          <w:lang w:val="en-US"/>
        </w:rPr>
        <w:t xml:space="preserve"> (eds.), </w:t>
      </w:r>
      <w:r w:rsidRPr="00B63012">
        <w:rPr>
          <w:rFonts w:ascii="Times New Roman" w:eastAsia="Times-Roman" w:hAnsi="Times New Roman" w:cs="Times New Roman"/>
          <w:i/>
          <w:iCs/>
          <w:color w:val="000000"/>
          <w:sz w:val="21"/>
          <w:szCs w:val="21"/>
          <w:lang w:val="en-US"/>
        </w:rPr>
        <w:t>L'educazione giuridica</w:t>
      </w:r>
      <w:r w:rsidRPr="00B63012">
        <w:rPr>
          <w:rFonts w:ascii="Times New Roman" w:eastAsia="Times-Roman" w:hAnsi="Times New Roman" w:cs="Times New Roman"/>
          <w:color w:val="000000"/>
          <w:sz w:val="21"/>
          <w:szCs w:val="21"/>
          <w:lang w:val="en-US"/>
        </w:rPr>
        <w:t xml:space="preserve"> (Bari, 2008)</w:t>
      </w:r>
      <w:r w:rsidR="00B63012">
        <w:rPr>
          <w:rFonts w:ascii="Times New Roman" w:eastAsia="Times-Roman" w:hAnsi="Times New Roman" w:cs="Times New Roman"/>
          <w:color w:val="000000"/>
          <w:sz w:val="21"/>
          <w:szCs w:val="21"/>
          <w:lang w:val="en-US"/>
        </w:rPr>
        <w:t xml:space="preserve"> </w:t>
      </w:r>
      <w:r w:rsidRPr="00B63012">
        <w:rPr>
          <w:rFonts w:ascii="Times New Roman" w:eastAsia="ArialMT" w:hAnsi="Times New Roman" w:cs="Times New Roman"/>
          <w:color w:val="000000"/>
          <w:sz w:val="21"/>
          <w:szCs w:val="21"/>
          <w:lang w:val="en-US"/>
        </w:rPr>
        <w:t xml:space="preserve">and G. </w:t>
      </w:r>
      <w:r w:rsidRPr="00B63012">
        <w:rPr>
          <w:rFonts w:ascii="Times New Roman" w:hAnsi="Times New Roman" w:cs="Times New Roman"/>
          <w:smallCaps/>
          <w:color w:val="000000" w:themeColor="text1"/>
          <w:sz w:val="21"/>
          <w:szCs w:val="21"/>
          <w:lang w:val="en-US"/>
        </w:rPr>
        <w:t>Morley</w:t>
      </w:r>
      <w:r w:rsidRPr="00B63012">
        <w:rPr>
          <w:rFonts w:ascii="Times New Roman" w:eastAsia="ArialMT" w:hAnsi="Times New Roman" w:cs="Times New Roman"/>
          <w:color w:val="000000"/>
          <w:sz w:val="21"/>
          <w:szCs w:val="21"/>
          <w:lang w:val="en-US"/>
        </w:rPr>
        <w:t>, ‘</w:t>
      </w:r>
      <w:r w:rsidRPr="00B63012">
        <w:rPr>
          <w:rFonts w:ascii="Times New Roman" w:eastAsia="ArialMT" w:hAnsi="Times New Roman" w:cs="Times New Roman"/>
          <w:iCs/>
          <w:color w:val="000000"/>
          <w:sz w:val="21"/>
          <w:szCs w:val="21"/>
          <w:lang w:val="en-US"/>
        </w:rPr>
        <w:t>Legal Education in England and Wales’</w:t>
      </w:r>
      <w:r w:rsidRPr="00B63012">
        <w:rPr>
          <w:rFonts w:ascii="Times New Roman" w:eastAsia="ArialMT" w:hAnsi="Times New Roman" w:cs="Times New Roman"/>
          <w:color w:val="000000"/>
          <w:sz w:val="21"/>
          <w:szCs w:val="21"/>
          <w:lang w:val="en-US"/>
        </w:rPr>
        <w:t xml:space="preserve">, in </w:t>
      </w:r>
      <w:r w:rsidRPr="00B63012">
        <w:rPr>
          <w:rFonts w:ascii="Times New Roman" w:eastAsia="Times-Roman" w:hAnsi="Times New Roman" w:cs="Times New Roman"/>
          <w:color w:val="000000"/>
          <w:sz w:val="21"/>
          <w:szCs w:val="21"/>
          <w:lang w:val="en-US"/>
        </w:rPr>
        <w:t xml:space="preserve">N. </w:t>
      </w:r>
      <w:r w:rsidRPr="00B63012">
        <w:rPr>
          <w:rFonts w:ascii="Times New Roman" w:hAnsi="Times New Roman" w:cs="Times New Roman"/>
          <w:smallCaps/>
          <w:color w:val="000000" w:themeColor="text1"/>
          <w:sz w:val="21"/>
          <w:szCs w:val="21"/>
          <w:lang w:val="en-US"/>
        </w:rPr>
        <w:t>Picardi</w:t>
      </w:r>
      <w:r w:rsidRPr="00B63012">
        <w:rPr>
          <w:rFonts w:ascii="Times New Roman" w:eastAsia="Times-Roman" w:hAnsi="Times New Roman" w:cs="Times New Roman"/>
          <w:color w:val="000000"/>
          <w:sz w:val="21"/>
          <w:szCs w:val="21"/>
          <w:lang w:val="en-US"/>
        </w:rPr>
        <w:t xml:space="preserve"> </w:t>
      </w:r>
      <w:r w:rsidR="001D1E1E" w:rsidRPr="00B63012">
        <w:rPr>
          <w:rFonts w:ascii="Times New Roman" w:eastAsia="Times-Roman" w:hAnsi="Times New Roman" w:cs="Times New Roman"/>
          <w:color w:val="000000"/>
          <w:sz w:val="21"/>
          <w:szCs w:val="21"/>
          <w:lang w:val="en-US"/>
        </w:rPr>
        <w:t>&amp;</w:t>
      </w:r>
      <w:r w:rsidRPr="00B63012">
        <w:rPr>
          <w:rFonts w:ascii="Times New Roman" w:eastAsia="Times-Roman" w:hAnsi="Times New Roman" w:cs="Times New Roman"/>
          <w:color w:val="000000"/>
          <w:sz w:val="21"/>
          <w:szCs w:val="21"/>
          <w:lang w:val="en-US"/>
        </w:rPr>
        <w:t xml:space="preserve"> R. </w:t>
      </w:r>
      <w:r w:rsidRPr="00B63012">
        <w:rPr>
          <w:rFonts w:ascii="Times New Roman" w:hAnsi="Times New Roman" w:cs="Times New Roman"/>
          <w:smallCaps/>
          <w:color w:val="000000" w:themeColor="text1"/>
          <w:sz w:val="21"/>
          <w:szCs w:val="21"/>
          <w:lang w:val="en-US"/>
        </w:rPr>
        <w:t>Martino</w:t>
      </w:r>
      <w:r w:rsidRPr="00B63012">
        <w:rPr>
          <w:rFonts w:ascii="Times New Roman" w:eastAsia="Times-Roman" w:hAnsi="Times New Roman" w:cs="Times New Roman"/>
          <w:color w:val="000000"/>
          <w:sz w:val="21"/>
          <w:szCs w:val="21"/>
          <w:lang w:val="en-US"/>
        </w:rPr>
        <w:t xml:space="preserve"> </w:t>
      </w:r>
      <w:r w:rsidRPr="00B63012">
        <w:rPr>
          <w:rFonts w:ascii="Times New Roman" w:eastAsia="ArialMT" w:hAnsi="Times New Roman" w:cs="Times New Roman"/>
          <w:color w:val="000000"/>
          <w:sz w:val="21"/>
          <w:szCs w:val="21"/>
          <w:lang w:val="en-US"/>
        </w:rPr>
        <w:t xml:space="preserve">(eds.), </w:t>
      </w:r>
      <w:r w:rsidRPr="00B63012">
        <w:rPr>
          <w:rFonts w:ascii="Times New Roman" w:eastAsia="ArialMT" w:hAnsi="Times New Roman" w:cs="Times New Roman"/>
          <w:i/>
          <w:iCs/>
          <w:color w:val="000000"/>
          <w:sz w:val="21"/>
          <w:szCs w:val="21"/>
          <w:lang w:val="en-US"/>
        </w:rPr>
        <w:t>L'educazione giuridica</w:t>
      </w:r>
      <w:r w:rsidRPr="00B63012">
        <w:rPr>
          <w:rFonts w:ascii="Times New Roman" w:eastAsia="ArialMT" w:hAnsi="Times New Roman" w:cs="Times New Roman"/>
          <w:color w:val="000000"/>
          <w:sz w:val="21"/>
          <w:szCs w:val="21"/>
          <w:lang w:val="en-US"/>
        </w:rPr>
        <w:t>, cit., 365 ss.</w:t>
      </w:r>
    </w:p>
  </w:footnote>
  <w:footnote w:id="26">
    <w:p w:rsidR="00677175" w:rsidRPr="00070AD6" w:rsidRDefault="00677175" w:rsidP="00070AD6">
      <w:pPr>
        <w:jc w:val="both"/>
        <w:rPr>
          <w:bCs/>
          <w:color w:val="000000"/>
          <w:sz w:val="21"/>
          <w:szCs w:val="21"/>
          <w:lang w:val="en-US"/>
        </w:rPr>
      </w:pPr>
      <w:r w:rsidRPr="00070AD6">
        <w:rPr>
          <w:rStyle w:val="FootnoteReference"/>
          <w:sz w:val="21"/>
          <w:szCs w:val="21"/>
        </w:rPr>
        <w:footnoteRef/>
      </w:r>
      <w:r w:rsidRPr="00070AD6">
        <w:rPr>
          <w:sz w:val="21"/>
          <w:szCs w:val="21"/>
          <w:lang w:val="en-US"/>
        </w:rPr>
        <w:t xml:space="preserve"> </w:t>
      </w:r>
      <w:r w:rsidRPr="00070AD6">
        <w:rPr>
          <w:bCs/>
          <w:color w:val="000000"/>
          <w:sz w:val="21"/>
          <w:szCs w:val="21"/>
          <w:lang w:val="en-US"/>
        </w:rPr>
        <w:t>See, in particular</w:t>
      </w:r>
      <w:r w:rsidRPr="00070AD6">
        <w:rPr>
          <w:b/>
          <w:bCs/>
          <w:color w:val="000000"/>
          <w:sz w:val="21"/>
          <w:szCs w:val="21"/>
          <w:lang w:val="en-US"/>
        </w:rPr>
        <w:t>:</w:t>
      </w:r>
      <w:r w:rsidRPr="00070AD6">
        <w:rPr>
          <w:bCs/>
          <w:color w:val="000000"/>
          <w:sz w:val="21"/>
          <w:szCs w:val="21"/>
          <w:lang w:val="en-US"/>
        </w:rPr>
        <w:t xml:space="preserve"> </w:t>
      </w:r>
      <w:r w:rsidRPr="00070AD6">
        <w:rPr>
          <w:color w:val="000000"/>
          <w:sz w:val="21"/>
          <w:szCs w:val="21"/>
          <w:lang w:val="en-US"/>
        </w:rPr>
        <w:t xml:space="preserve">Report of the Legal Education Committee, Cmd. 4663 (London, HMSO, 1934) (‘Atkin Committee’); </w:t>
      </w:r>
      <w:r w:rsidRPr="00070AD6">
        <w:rPr>
          <w:bCs/>
          <w:color w:val="000000"/>
          <w:sz w:val="21"/>
          <w:szCs w:val="21"/>
          <w:lang w:val="en-US"/>
        </w:rPr>
        <w:t xml:space="preserve">Report of the Committee </w:t>
      </w:r>
      <w:r>
        <w:rPr>
          <w:bCs/>
          <w:color w:val="000000"/>
          <w:sz w:val="21"/>
          <w:szCs w:val="21"/>
          <w:lang w:val="en-US"/>
        </w:rPr>
        <w:t>A</w:t>
      </w:r>
      <w:r w:rsidRPr="00070AD6">
        <w:rPr>
          <w:bCs/>
          <w:color w:val="000000"/>
          <w:sz w:val="21"/>
          <w:szCs w:val="21"/>
          <w:lang w:val="en-US"/>
        </w:rPr>
        <w:t xml:space="preserve">ppointed by the Prime Minister under the Chairmanship of Lord Robbins, </w:t>
      </w:r>
      <w:r w:rsidRPr="00070AD6">
        <w:rPr>
          <w:color w:val="000000"/>
          <w:sz w:val="21"/>
          <w:szCs w:val="21"/>
          <w:lang w:val="en-US"/>
        </w:rPr>
        <w:t xml:space="preserve">Cmnd. 2154 (London, HMSO, 1963) (‘Robbins Report’); Report of the Committee on Legal Education, Cmnd. 4595 (London, HMSO, 1971) (‘Ormrod Report’); Royal Commission on Legal Services, Final Report, Cm. 7648 (London, HMSO, 1979) (‘Benson Report’); A Time for Change: Report of the Committee on the Future of the Legal Profession (London, General Council of the Bar/The Law Society, 1988) (‘Marre Committee’); Lord Chancellor’s Advisory Committee on Legal Education and Conduct, First Report on Legal Education and Training (London, ACLEC, 1996) (‘ACLEC’); Review of the Regulatory Framework for Legal Services in England and Wales, 2004 (‘Clementi Report’); </w:t>
      </w:r>
      <w:r w:rsidRPr="00070AD6">
        <w:rPr>
          <w:rFonts w:eastAsiaTheme="minorHAnsi"/>
          <w:sz w:val="21"/>
          <w:szCs w:val="21"/>
          <w:lang w:val="en-US" w:eastAsia="en-US"/>
        </w:rPr>
        <w:t xml:space="preserve">Legal Education and Training Review, The Future of Legal Services Education and Training Regulation in England and Wales, June 2013, </w:t>
      </w:r>
      <w:hyperlink r:id="rId5" w:history="1">
        <w:r w:rsidRPr="00070AD6">
          <w:rPr>
            <w:rStyle w:val="Hyperlink"/>
            <w:rFonts w:eastAsiaTheme="minorHAnsi"/>
            <w:sz w:val="21"/>
            <w:szCs w:val="21"/>
            <w:lang w:val="en-US" w:eastAsia="en-US"/>
          </w:rPr>
          <w:t>http://www.letr.org.uk/the-report</w:t>
        </w:r>
      </w:hyperlink>
      <w:r w:rsidRPr="00070AD6">
        <w:rPr>
          <w:rFonts w:eastAsiaTheme="minorHAnsi"/>
          <w:sz w:val="21"/>
          <w:szCs w:val="21"/>
          <w:lang w:val="en-US" w:eastAsia="en-US"/>
        </w:rPr>
        <w:t>.</w:t>
      </w:r>
    </w:p>
  </w:footnote>
  <w:footnote w:id="27">
    <w:p w:rsidR="00677175" w:rsidRPr="00070AD6" w:rsidRDefault="00677175" w:rsidP="00070AD6">
      <w:pPr>
        <w:pStyle w:val="FootnoteText"/>
        <w:jc w:val="both"/>
        <w:rPr>
          <w:rFonts w:ascii="Times New Roman" w:hAnsi="Times New Roman" w:cs="Times New Roman"/>
          <w:sz w:val="21"/>
          <w:szCs w:val="21"/>
          <w:lang w:val="en-US"/>
        </w:rPr>
      </w:pPr>
      <w:r w:rsidRPr="00070AD6">
        <w:rPr>
          <w:rStyle w:val="FootnoteReference"/>
          <w:rFonts w:ascii="Times New Roman" w:hAnsi="Times New Roman" w:cs="Times New Roman"/>
          <w:sz w:val="21"/>
          <w:szCs w:val="21"/>
        </w:rPr>
        <w:footnoteRef/>
      </w:r>
      <w:r w:rsidRPr="00070AD6">
        <w:rPr>
          <w:rFonts w:ascii="Times New Roman" w:hAnsi="Times New Roman" w:cs="Times New Roman"/>
          <w:sz w:val="21"/>
          <w:szCs w:val="21"/>
          <w:lang w:val="en-US"/>
        </w:rPr>
        <w:t xml:space="preserve"> </w:t>
      </w:r>
      <w:r w:rsidRPr="00070AD6">
        <w:rPr>
          <w:rFonts w:ascii="Times New Roman" w:hAnsi="Times New Roman" w:cs="Times New Roman"/>
          <w:color w:val="000000"/>
          <w:sz w:val="21"/>
          <w:szCs w:val="21"/>
          <w:lang w:val="en-US"/>
        </w:rPr>
        <w:t>Report of the Committee on Legal Education, cit.</w:t>
      </w:r>
    </w:p>
  </w:footnote>
  <w:footnote w:id="28">
    <w:p w:rsidR="00677175" w:rsidRPr="00240257" w:rsidRDefault="00677175" w:rsidP="00A03668">
      <w:pPr>
        <w:pStyle w:val="NormalWeb"/>
        <w:spacing w:before="0" w:beforeAutospacing="0" w:after="0" w:afterAutospacing="0"/>
        <w:rPr>
          <w:sz w:val="21"/>
          <w:szCs w:val="21"/>
          <w:lang w:val="en-US"/>
        </w:rPr>
      </w:pPr>
      <w:r w:rsidRPr="00070AD6">
        <w:rPr>
          <w:rStyle w:val="FootnoteReference"/>
          <w:sz w:val="21"/>
          <w:szCs w:val="21"/>
        </w:rPr>
        <w:footnoteRef/>
      </w:r>
      <w:r w:rsidRPr="00070AD6">
        <w:rPr>
          <w:sz w:val="21"/>
          <w:szCs w:val="21"/>
          <w:lang w:val="en-US"/>
        </w:rPr>
        <w:t xml:space="preserve"> See </w:t>
      </w:r>
      <w:r w:rsidRPr="00070AD6">
        <w:rPr>
          <w:sz w:val="21"/>
          <w:szCs w:val="21"/>
          <w:lang w:val="en-US" w:eastAsia="en-US"/>
        </w:rPr>
        <w:t>Legal Education and Training Review, The Future of Legal Services Education and Training Regulation in England and Wales,</w:t>
      </w:r>
      <w:r w:rsidRPr="00070AD6">
        <w:rPr>
          <w:sz w:val="21"/>
          <w:szCs w:val="21"/>
          <w:lang w:val="en-US"/>
        </w:rPr>
        <w:t xml:space="preserve"> cit., p xiv: </w:t>
      </w:r>
      <w:r>
        <w:rPr>
          <w:sz w:val="21"/>
          <w:szCs w:val="21"/>
          <w:lang w:val="en-US"/>
        </w:rPr>
        <w:t>‘</w:t>
      </w:r>
      <w:r w:rsidRPr="00070AD6">
        <w:rPr>
          <w:rFonts w:eastAsia="Times New Roman"/>
          <w:i/>
          <w:sz w:val="21"/>
          <w:szCs w:val="21"/>
          <w:lang w:val="en-US"/>
        </w:rPr>
        <w:t>A number of recommendations are made in respect of the Qualifying Law Degree (QLD) and Graduate Diploma in Law (GDL). These continue to provide an important pathway into the legal services sector for a range of authorised persons, and thus constitute an important foundation for professional training</w:t>
      </w:r>
      <w:r w:rsidRPr="00070AD6">
        <w:rPr>
          <w:rFonts w:eastAsia="Times New Roman"/>
          <w:sz w:val="21"/>
          <w:szCs w:val="21"/>
          <w:lang w:val="en-US"/>
        </w:rPr>
        <w:t>.</w:t>
      </w:r>
      <w:r>
        <w:rPr>
          <w:rFonts w:eastAsia="Times New Roman"/>
          <w:sz w:val="21"/>
          <w:szCs w:val="21"/>
          <w:lang w:val="en-US"/>
        </w:rPr>
        <w:t>’</w:t>
      </w:r>
      <w:r w:rsidRPr="00070AD6">
        <w:rPr>
          <w:rFonts w:eastAsia="Times New Roman"/>
          <w:sz w:val="21"/>
          <w:szCs w:val="21"/>
          <w:lang w:val="en-US"/>
        </w:rPr>
        <w:t xml:space="preserve"> </w:t>
      </w:r>
    </w:p>
  </w:footnote>
  <w:footnote w:id="29">
    <w:p w:rsidR="00677175" w:rsidRPr="00070AD6" w:rsidRDefault="00677175" w:rsidP="00A03668">
      <w:pPr>
        <w:pStyle w:val="FootnoteText"/>
        <w:rPr>
          <w:rFonts w:ascii="Times New Roman" w:hAnsi="Times New Roman" w:cs="Times New Roman"/>
          <w:sz w:val="21"/>
          <w:szCs w:val="21"/>
          <w:lang w:val="en-US"/>
        </w:rPr>
      </w:pPr>
      <w:r w:rsidRPr="00070AD6">
        <w:rPr>
          <w:rStyle w:val="FootnoteReference"/>
          <w:rFonts w:ascii="Times New Roman" w:hAnsi="Times New Roman" w:cs="Times New Roman"/>
          <w:sz w:val="21"/>
          <w:szCs w:val="21"/>
        </w:rPr>
        <w:footnoteRef/>
      </w:r>
      <w:r w:rsidRPr="00070AD6">
        <w:rPr>
          <w:rFonts w:ascii="Times New Roman" w:hAnsi="Times New Roman" w:cs="Times New Roman"/>
          <w:sz w:val="21"/>
          <w:szCs w:val="21"/>
          <w:lang w:val="en-US"/>
        </w:rPr>
        <w:t xml:space="preserve"> Even if the freedom of </w:t>
      </w:r>
      <w:r>
        <w:rPr>
          <w:rFonts w:ascii="Times New Roman" w:hAnsi="Times New Roman" w:cs="Times New Roman"/>
          <w:sz w:val="21"/>
          <w:szCs w:val="21"/>
          <w:lang w:val="en-US"/>
        </w:rPr>
        <w:t>u</w:t>
      </w:r>
      <w:r w:rsidRPr="00070AD6">
        <w:rPr>
          <w:rFonts w:ascii="Times New Roman" w:hAnsi="Times New Roman" w:cs="Times New Roman"/>
          <w:sz w:val="21"/>
          <w:szCs w:val="21"/>
          <w:lang w:val="en-US"/>
        </w:rPr>
        <w:t>niversities sometimes encountered some constraints, as in the case of the several core subjects of the English GDL imposed by the professional bodies.</w:t>
      </w:r>
    </w:p>
  </w:footnote>
  <w:footnote w:id="30">
    <w:p w:rsidR="00677175" w:rsidRPr="00070AD6" w:rsidRDefault="00677175" w:rsidP="00A03668">
      <w:pPr>
        <w:widowControl w:val="0"/>
        <w:tabs>
          <w:tab w:val="left" w:pos="220"/>
          <w:tab w:val="left" w:pos="720"/>
        </w:tabs>
        <w:autoSpaceDE w:val="0"/>
        <w:autoSpaceDN w:val="0"/>
        <w:adjustRightInd w:val="0"/>
        <w:rPr>
          <w:rFonts w:eastAsiaTheme="minorHAnsi"/>
          <w:sz w:val="21"/>
          <w:szCs w:val="21"/>
          <w:lang w:val="en-US" w:eastAsia="en-US"/>
        </w:rPr>
      </w:pPr>
      <w:r w:rsidRPr="00070AD6">
        <w:rPr>
          <w:rStyle w:val="FootnoteReference"/>
          <w:sz w:val="21"/>
          <w:szCs w:val="21"/>
        </w:rPr>
        <w:footnoteRef/>
      </w:r>
      <w:r w:rsidRPr="00070AD6">
        <w:rPr>
          <w:sz w:val="21"/>
          <w:szCs w:val="21"/>
          <w:lang w:val="en-US"/>
        </w:rPr>
        <w:t xml:space="preserve"> See S. </w:t>
      </w:r>
      <w:r w:rsidRPr="00070AD6">
        <w:rPr>
          <w:rFonts w:eastAsiaTheme="minorHAnsi"/>
          <w:smallCaps/>
          <w:color w:val="000000" w:themeColor="text1"/>
          <w:sz w:val="21"/>
          <w:szCs w:val="21"/>
          <w:lang w:val="en-US"/>
        </w:rPr>
        <w:t>Cassese</w:t>
      </w:r>
      <w:r w:rsidRPr="00070AD6">
        <w:rPr>
          <w:sz w:val="21"/>
          <w:szCs w:val="21"/>
          <w:lang w:val="en-US"/>
        </w:rPr>
        <w:t xml:space="preserve">, ‘Legal Education under Fire’, in 1. </w:t>
      </w:r>
      <w:r w:rsidRPr="00070AD6">
        <w:rPr>
          <w:rFonts w:eastAsiaTheme="minorHAnsi"/>
          <w:i/>
          <w:sz w:val="21"/>
          <w:szCs w:val="21"/>
          <w:lang w:val="en-US" w:eastAsia="en-US"/>
        </w:rPr>
        <w:t>European Review of Private Law</w:t>
      </w:r>
      <w:r w:rsidRPr="00070AD6">
        <w:rPr>
          <w:rFonts w:eastAsiaTheme="minorHAnsi"/>
          <w:sz w:val="21"/>
          <w:szCs w:val="21"/>
          <w:lang w:val="en-US" w:eastAsia="en-US"/>
        </w:rPr>
        <w:t xml:space="preserve"> (</w:t>
      </w:r>
      <w:r w:rsidRPr="00070AD6">
        <w:rPr>
          <w:rFonts w:eastAsiaTheme="minorHAnsi"/>
          <w:i/>
          <w:sz w:val="21"/>
          <w:szCs w:val="21"/>
          <w:lang w:val="en-US" w:eastAsia="en-US"/>
        </w:rPr>
        <w:t>Eur. rev. priv. law</w:t>
      </w:r>
      <w:r w:rsidRPr="00070AD6">
        <w:rPr>
          <w:rFonts w:eastAsiaTheme="minorHAnsi"/>
          <w:sz w:val="21"/>
          <w:szCs w:val="21"/>
          <w:lang w:val="en-US" w:eastAsia="en-US"/>
        </w:rPr>
        <w:t>.) 2017, p (143) at 144 and 145:</w:t>
      </w:r>
      <w:r w:rsidRPr="00070AD6">
        <w:rPr>
          <w:sz w:val="21"/>
          <w:szCs w:val="21"/>
          <w:lang w:val="en-US"/>
        </w:rPr>
        <w:t xml:space="preserve"> the </w:t>
      </w:r>
      <w:r>
        <w:rPr>
          <w:sz w:val="21"/>
          <w:szCs w:val="21"/>
          <w:lang w:val="en-US"/>
        </w:rPr>
        <w:t>a</w:t>
      </w:r>
      <w:r w:rsidRPr="00070AD6">
        <w:rPr>
          <w:sz w:val="21"/>
          <w:szCs w:val="21"/>
          <w:lang w:val="en-US"/>
        </w:rPr>
        <w:t xml:space="preserve">uthor considering the French </w:t>
      </w:r>
      <w:r>
        <w:rPr>
          <w:sz w:val="21"/>
          <w:szCs w:val="21"/>
          <w:lang w:val="en-US"/>
        </w:rPr>
        <w:t>m</w:t>
      </w:r>
      <w:r w:rsidRPr="00070AD6">
        <w:rPr>
          <w:sz w:val="21"/>
          <w:szCs w:val="21"/>
          <w:lang w:val="en-US"/>
        </w:rPr>
        <w:t xml:space="preserve">odel underlined that: </w:t>
      </w:r>
      <w:r>
        <w:rPr>
          <w:sz w:val="21"/>
          <w:szCs w:val="21"/>
          <w:lang w:val="en-US"/>
        </w:rPr>
        <w:t>‘</w:t>
      </w:r>
      <w:r w:rsidRPr="00240257">
        <w:rPr>
          <w:rFonts w:eastAsiaTheme="minorHAnsi"/>
          <w:sz w:val="21"/>
          <w:szCs w:val="21"/>
          <w:lang w:val="en-US" w:eastAsia="en-US"/>
        </w:rPr>
        <w:t>Teaching methods and materials are criticized as being too dogmatic and doctrinal, closed to the social sciences, and oriented towards the study of law as set out in books rather than to the study of law in action’</w:t>
      </w:r>
      <w:r w:rsidRPr="00070AD6">
        <w:rPr>
          <w:rFonts w:eastAsiaTheme="minorHAnsi"/>
          <w:i/>
          <w:sz w:val="21"/>
          <w:szCs w:val="21"/>
          <w:lang w:val="en-US" w:eastAsia="en-US"/>
        </w:rPr>
        <w:t xml:space="preserve"> </w:t>
      </w:r>
      <w:r w:rsidRPr="00070AD6">
        <w:rPr>
          <w:rFonts w:eastAsiaTheme="minorHAnsi"/>
          <w:sz w:val="21"/>
          <w:szCs w:val="21"/>
          <w:lang w:val="en-US" w:eastAsia="en-US"/>
        </w:rPr>
        <w:t xml:space="preserve">(C. </w:t>
      </w:r>
      <w:r w:rsidRPr="00070AD6">
        <w:rPr>
          <w:rFonts w:eastAsiaTheme="minorHAnsi"/>
          <w:smallCaps/>
          <w:color w:val="000000" w:themeColor="text1"/>
          <w:sz w:val="21"/>
          <w:szCs w:val="21"/>
          <w:lang w:val="en-US"/>
        </w:rPr>
        <w:t>Jamin</w:t>
      </w:r>
      <w:r w:rsidRPr="00070AD6">
        <w:rPr>
          <w:rFonts w:eastAsiaTheme="minorHAnsi"/>
          <w:sz w:val="21"/>
          <w:szCs w:val="21"/>
          <w:lang w:val="en-US" w:eastAsia="en-US"/>
        </w:rPr>
        <w:t xml:space="preserve">, ‘L’enseignement du droit à Sciences Po: autour de la polémique suscitée par l’arreté du 21 mars 2007’, in </w:t>
      </w:r>
      <w:r w:rsidRPr="00070AD6">
        <w:rPr>
          <w:rFonts w:eastAsiaTheme="minorHAnsi"/>
          <w:i/>
          <w:sz w:val="21"/>
          <w:szCs w:val="21"/>
          <w:lang w:val="en-US" w:eastAsia="en-US"/>
        </w:rPr>
        <w:t>Jurisprudence</w:t>
      </w:r>
      <w:r>
        <w:rPr>
          <w:rFonts w:eastAsiaTheme="minorHAnsi"/>
          <w:i/>
          <w:sz w:val="21"/>
          <w:szCs w:val="21"/>
          <w:lang w:val="en-US" w:eastAsia="en-US"/>
        </w:rPr>
        <w:t>:</w:t>
      </w:r>
      <w:r w:rsidRPr="00070AD6">
        <w:rPr>
          <w:rFonts w:eastAsiaTheme="minorHAnsi"/>
          <w:i/>
          <w:sz w:val="21"/>
          <w:szCs w:val="21"/>
          <w:lang w:val="en-US" w:eastAsia="en-US"/>
        </w:rPr>
        <w:t xml:space="preserve"> </w:t>
      </w:r>
      <w:r w:rsidRPr="00B63012">
        <w:rPr>
          <w:rFonts w:eastAsiaTheme="minorHAnsi"/>
          <w:i/>
          <w:sz w:val="21"/>
          <w:szCs w:val="21"/>
          <w:lang w:val="en-US" w:eastAsia="en-US"/>
        </w:rPr>
        <w:t>Revue critique</w:t>
      </w:r>
      <w:r w:rsidRPr="00B63012">
        <w:rPr>
          <w:rFonts w:eastAsiaTheme="minorHAnsi"/>
          <w:sz w:val="21"/>
          <w:szCs w:val="21"/>
          <w:lang w:val="en-US" w:eastAsia="en-US"/>
        </w:rPr>
        <w:t xml:space="preserve"> 2010, p 125 ff.; C. </w:t>
      </w:r>
      <w:r w:rsidRPr="00B63012">
        <w:rPr>
          <w:rFonts w:eastAsiaTheme="minorHAnsi"/>
          <w:smallCaps/>
          <w:color w:val="000000" w:themeColor="text1"/>
          <w:sz w:val="21"/>
          <w:szCs w:val="21"/>
          <w:lang w:val="en-US"/>
        </w:rPr>
        <w:t>Jamin</w:t>
      </w:r>
      <w:r w:rsidRPr="00B63012">
        <w:rPr>
          <w:rFonts w:eastAsiaTheme="minorHAnsi"/>
          <w:sz w:val="21"/>
          <w:szCs w:val="21"/>
          <w:lang w:val="en-US" w:eastAsia="en-US"/>
        </w:rPr>
        <w:t xml:space="preserve">, </w:t>
      </w:r>
      <w:r w:rsidRPr="00B63012">
        <w:rPr>
          <w:rFonts w:eastAsiaTheme="minorHAnsi"/>
          <w:i/>
          <w:sz w:val="21"/>
          <w:szCs w:val="21"/>
          <w:lang w:val="en-US" w:eastAsia="en-US"/>
        </w:rPr>
        <w:t xml:space="preserve">La cuisine du droit: L’École de Droit de Sciences Po: une expérimentation française </w:t>
      </w:r>
      <w:r w:rsidRPr="00B63012">
        <w:rPr>
          <w:rFonts w:eastAsiaTheme="minorHAnsi"/>
          <w:sz w:val="21"/>
          <w:szCs w:val="21"/>
          <w:lang w:val="en-US" w:eastAsia="en-US"/>
        </w:rPr>
        <w:t xml:space="preserve">(Paris: L.G.D.J. 2012); M. </w:t>
      </w:r>
      <w:r w:rsidRPr="00B63012">
        <w:rPr>
          <w:rFonts w:eastAsiaTheme="minorHAnsi"/>
          <w:smallCaps/>
          <w:color w:val="000000" w:themeColor="text1"/>
          <w:sz w:val="21"/>
          <w:szCs w:val="21"/>
          <w:lang w:val="en-US"/>
        </w:rPr>
        <w:t>Vogliotti</w:t>
      </w:r>
      <w:r w:rsidRPr="00B63012">
        <w:rPr>
          <w:rFonts w:eastAsiaTheme="minorHAnsi"/>
          <w:sz w:val="21"/>
          <w:szCs w:val="21"/>
          <w:lang w:val="en-US" w:eastAsia="en-US"/>
        </w:rPr>
        <w:t xml:space="preserve">, ‘L’urgence de la question pédagogique pour le droit postmoderne’, 72. </w:t>
      </w:r>
      <w:r w:rsidRPr="0071567C">
        <w:rPr>
          <w:rFonts w:eastAsiaTheme="minorHAnsi"/>
          <w:i/>
          <w:sz w:val="21"/>
          <w:szCs w:val="21"/>
          <w:lang w:val="fr-FR" w:eastAsia="en-US"/>
        </w:rPr>
        <w:t>Revue Interdisciplinaire d'Études Juridiques</w:t>
      </w:r>
      <w:r w:rsidRPr="0071567C">
        <w:rPr>
          <w:rFonts w:eastAsiaTheme="minorHAnsi"/>
          <w:sz w:val="21"/>
          <w:szCs w:val="21"/>
          <w:lang w:val="fr-FR" w:eastAsia="en-US"/>
        </w:rPr>
        <w:t xml:space="preserve"> </w:t>
      </w:r>
      <w:r w:rsidRPr="0071567C">
        <w:rPr>
          <w:rFonts w:eastAsiaTheme="minorHAnsi"/>
          <w:i/>
          <w:sz w:val="21"/>
          <w:szCs w:val="21"/>
          <w:lang w:val="fr-FR" w:eastAsia="en-US"/>
        </w:rPr>
        <w:t>(RIEJ)</w:t>
      </w:r>
      <w:r w:rsidRPr="0071567C">
        <w:rPr>
          <w:rFonts w:eastAsiaTheme="minorHAnsi"/>
          <w:sz w:val="21"/>
          <w:szCs w:val="21"/>
          <w:lang w:val="fr-FR" w:eastAsia="en-US"/>
        </w:rPr>
        <w:t xml:space="preserve"> 2014, p 73 ff.; C. </w:t>
      </w:r>
      <w:r w:rsidRPr="0071567C">
        <w:rPr>
          <w:rFonts w:eastAsiaTheme="minorHAnsi"/>
          <w:smallCaps/>
          <w:color w:val="000000" w:themeColor="text1"/>
          <w:sz w:val="21"/>
          <w:szCs w:val="21"/>
          <w:lang w:val="fr-FR"/>
        </w:rPr>
        <w:t>Jamin</w:t>
      </w:r>
      <w:r w:rsidRPr="0071567C">
        <w:rPr>
          <w:rFonts w:eastAsiaTheme="minorHAnsi"/>
          <w:sz w:val="21"/>
          <w:szCs w:val="21"/>
          <w:lang w:val="fr-FR" w:eastAsia="en-US"/>
        </w:rPr>
        <w:t xml:space="preserve"> &amp; M. </w:t>
      </w:r>
      <w:r w:rsidRPr="0071567C">
        <w:rPr>
          <w:rFonts w:eastAsiaTheme="minorHAnsi"/>
          <w:smallCaps/>
          <w:color w:val="000000" w:themeColor="text1"/>
          <w:sz w:val="21"/>
          <w:szCs w:val="21"/>
          <w:lang w:val="fr-FR"/>
        </w:rPr>
        <w:t>XiFARAS</w:t>
      </w:r>
      <w:r w:rsidRPr="0071567C">
        <w:rPr>
          <w:rFonts w:eastAsiaTheme="minorHAnsi"/>
          <w:sz w:val="21"/>
          <w:szCs w:val="21"/>
          <w:lang w:val="fr-FR" w:eastAsia="en-US"/>
        </w:rPr>
        <w:t xml:space="preserve">, ‘De la vocation des facultés de droit (françaises) de notre temps pour la science et l’enseignement’, </w:t>
      </w:r>
      <w:r w:rsidRPr="0071567C">
        <w:rPr>
          <w:rFonts w:eastAsiaTheme="minorHAnsi"/>
          <w:i/>
          <w:sz w:val="21"/>
          <w:szCs w:val="21"/>
          <w:lang w:val="fr-FR" w:eastAsia="en-US"/>
        </w:rPr>
        <w:t xml:space="preserve">RIEJ </w:t>
      </w:r>
      <w:r w:rsidRPr="0071567C">
        <w:rPr>
          <w:rFonts w:eastAsiaTheme="minorHAnsi"/>
          <w:sz w:val="21"/>
          <w:szCs w:val="21"/>
          <w:lang w:val="fr-FR" w:eastAsia="en-US"/>
        </w:rPr>
        <w:t xml:space="preserve">2014, p 107 ff.; C. </w:t>
      </w:r>
      <w:r w:rsidRPr="0071567C">
        <w:rPr>
          <w:rFonts w:eastAsiaTheme="minorHAnsi"/>
          <w:smallCaps/>
          <w:color w:val="000000" w:themeColor="text1"/>
          <w:sz w:val="21"/>
          <w:szCs w:val="21"/>
          <w:lang w:val="fr-FR"/>
        </w:rPr>
        <w:t>Jamin</w:t>
      </w:r>
      <w:r w:rsidRPr="0071567C">
        <w:rPr>
          <w:rFonts w:eastAsiaTheme="minorHAnsi"/>
          <w:sz w:val="21"/>
          <w:szCs w:val="21"/>
          <w:lang w:val="fr-FR" w:eastAsia="en-US"/>
        </w:rPr>
        <w:t xml:space="preserve"> &amp; M. </w:t>
      </w:r>
      <w:r w:rsidRPr="0071567C">
        <w:rPr>
          <w:rFonts w:eastAsiaTheme="minorHAnsi"/>
          <w:smallCaps/>
          <w:color w:val="000000" w:themeColor="text1"/>
          <w:sz w:val="21"/>
          <w:szCs w:val="21"/>
          <w:lang w:val="fr-FR"/>
        </w:rPr>
        <w:t>Xifaras</w:t>
      </w:r>
      <w:r w:rsidRPr="0071567C">
        <w:rPr>
          <w:rFonts w:eastAsiaTheme="minorHAnsi"/>
          <w:sz w:val="21"/>
          <w:szCs w:val="21"/>
          <w:lang w:val="fr-FR" w:eastAsia="en-US"/>
        </w:rPr>
        <w:t xml:space="preserve">, ‘Retour sur la “critique intellectuelle” des facultés de droit’, 4. </w:t>
      </w:r>
      <w:r w:rsidRPr="00070AD6">
        <w:rPr>
          <w:rFonts w:eastAsiaTheme="minorHAnsi"/>
          <w:i/>
          <w:sz w:val="21"/>
          <w:szCs w:val="21"/>
          <w:lang w:val="en-US" w:eastAsia="en-US"/>
        </w:rPr>
        <w:t xml:space="preserve">La Semaine Juridique (SJ) </w:t>
      </w:r>
      <w:r w:rsidRPr="00070AD6">
        <w:rPr>
          <w:rFonts w:eastAsiaTheme="minorHAnsi"/>
          <w:sz w:val="21"/>
          <w:szCs w:val="21"/>
          <w:lang w:val="en-US" w:eastAsia="en-US"/>
        </w:rPr>
        <w:t xml:space="preserve">2015, p 155 ff.; R. </w:t>
      </w:r>
      <w:r w:rsidRPr="00070AD6">
        <w:rPr>
          <w:rFonts w:eastAsiaTheme="minorHAnsi"/>
          <w:smallCaps/>
          <w:color w:val="000000" w:themeColor="text1"/>
          <w:sz w:val="21"/>
          <w:szCs w:val="21"/>
          <w:lang w:val="en-US"/>
        </w:rPr>
        <w:t>Sefton</w:t>
      </w:r>
      <w:r w:rsidRPr="00070AD6">
        <w:rPr>
          <w:rFonts w:eastAsiaTheme="minorHAnsi"/>
          <w:sz w:val="21"/>
          <w:szCs w:val="21"/>
          <w:lang w:val="en-US" w:eastAsia="en-US"/>
        </w:rPr>
        <w:t>-</w:t>
      </w:r>
      <w:r w:rsidRPr="00070AD6">
        <w:rPr>
          <w:rFonts w:eastAsiaTheme="minorHAnsi"/>
          <w:smallCaps/>
          <w:color w:val="000000" w:themeColor="text1"/>
          <w:sz w:val="21"/>
          <w:szCs w:val="21"/>
          <w:lang w:val="en-US"/>
        </w:rPr>
        <w:t>Green</w:t>
      </w:r>
      <w:r w:rsidRPr="00070AD6">
        <w:rPr>
          <w:rFonts w:eastAsiaTheme="minorHAnsi"/>
          <w:sz w:val="21"/>
          <w:szCs w:val="21"/>
          <w:lang w:val="en-US" w:eastAsia="en-US"/>
        </w:rPr>
        <w:t>, ‘Démoulages’</w:t>
      </w:r>
      <w:r>
        <w:rPr>
          <w:rFonts w:eastAsiaTheme="minorHAnsi"/>
          <w:sz w:val="21"/>
          <w:szCs w:val="21"/>
          <w:lang w:val="en-US" w:eastAsia="en-US"/>
        </w:rPr>
        <w:t>:</w:t>
      </w:r>
      <w:r w:rsidRPr="00070AD6">
        <w:rPr>
          <w:rFonts w:eastAsiaTheme="minorHAnsi"/>
          <w:sz w:val="21"/>
          <w:szCs w:val="21"/>
          <w:lang w:val="en-US" w:eastAsia="en-US"/>
        </w:rPr>
        <w:t xml:space="preserve"> Du carcan de l’enseignement du droit vers une éducation juridique, Société de législation comparée, Paris 2015); referring to the situation of legal education in Germany affirmed that: </w:t>
      </w:r>
      <w:r>
        <w:rPr>
          <w:rFonts w:eastAsiaTheme="minorHAnsi"/>
          <w:sz w:val="21"/>
          <w:szCs w:val="21"/>
          <w:lang w:val="en-US" w:eastAsia="en-US"/>
        </w:rPr>
        <w:t>‘</w:t>
      </w:r>
      <w:r w:rsidRPr="00240257">
        <w:rPr>
          <w:rFonts w:eastAsiaTheme="minorHAnsi"/>
          <w:sz w:val="21"/>
          <w:szCs w:val="21"/>
          <w:lang w:val="en-US" w:eastAsia="en-US"/>
        </w:rPr>
        <w:t>German experts too complain that doctrinal subjects are central in legal education, that legal education does not focus sufficiently on the application, active creation and implementation of the law, that law teaching does not pay enough attention to the European legal order and to the comparative approach, that academic reflection prevails over practice-oriented studies, and that there is not enough interdisciplinary cooperation</w:t>
      </w:r>
      <w:r>
        <w:rPr>
          <w:rFonts w:eastAsiaTheme="minorHAnsi"/>
          <w:sz w:val="21"/>
          <w:szCs w:val="21"/>
          <w:lang w:val="en-US" w:eastAsia="en-US"/>
        </w:rPr>
        <w:t>’</w:t>
      </w:r>
      <w:r w:rsidRPr="00070AD6">
        <w:rPr>
          <w:rFonts w:eastAsiaTheme="minorHAnsi"/>
          <w:sz w:val="21"/>
          <w:szCs w:val="21"/>
          <w:lang w:val="en-US" w:eastAsia="en-US"/>
        </w:rPr>
        <w:t xml:space="preserve"> (Wissenschaftsrat, Prospects of Legal Scholarship in Germany. </w:t>
      </w:r>
      <w:r w:rsidRPr="00070AD6">
        <w:rPr>
          <w:rFonts w:eastAsiaTheme="minorHAnsi"/>
          <w:sz w:val="21"/>
          <w:szCs w:val="21"/>
          <w:lang w:eastAsia="en-US"/>
        </w:rPr>
        <w:t>Current Situation, Analyses, Recommendations</w:t>
      </w:r>
      <w:r>
        <w:rPr>
          <w:rFonts w:eastAsiaTheme="minorHAnsi"/>
          <w:sz w:val="21"/>
          <w:szCs w:val="21"/>
          <w:lang w:eastAsia="en-US"/>
        </w:rPr>
        <w:t>,</w:t>
      </w:r>
      <w:r w:rsidRPr="00070AD6">
        <w:rPr>
          <w:rFonts w:eastAsiaTheme="minorHAnsi"/>
          <w:sz w:val="21"/>
          <w:szCs w:val="21"/>
          <w:lang w:eastAsia="en-US"/>
        </w:rPr>
        <w:t xml:space="preserve"> Hamburg 9 November 2012). See also A. </w:t>
      </w:r>
      <w:r w:rsidRPr="00070AD6">
        <w:rPr>
          <w:rFonts w:eastAsiaTheme="minorHAnsi"/>
          <w:smallCaps/>
          <w:color w:val="000000" w:themeColor="text1"/>
          <w:sz w:val="21"/>
          <w:szCs w:val="21"/>
        </w:rPr>
        <w:t>Von Bogdandy,</w:t>
      </w:r>
      <w:r w:rsidRPr="00070AD6">
        <w:rPr>
          <w:rFonts w:eastAsiaTheme="minorHAnsi"/>
          <w:sz w:val="21"/>
          <w:szCs w:val="21"/>
          <w:lang w:eastAsia="en-US"/>
        </w:rPr>
        <w:t xml:space="preserve"> ‘Le sfide della scienza giuridica nello spazio giuridico europeo,’ 2. </w:t>
      </w:r>
      <w:r w:rsidRPr="00070AD6">
        <w:rPr>
          <w:rFonts w:eastAsiaTheme="minorHAnsi"/>
          <w:sz w:val="21"/>
          <w:szCs w:val="21"/>
          <w:lang w:val="en-US" w:eastAsia="en-US"/>
        </w:rPr>
        <w:t xml:space="preserve">Il diritto dell’Unione Europea 2012, p 22). Concerning the critics </w:t>
      </w:r>
      <w:r>
        <w:rPr>
          <w:rFonts w:eastAsiaTheme="minorHAnsi"/>
          <w:sz w:val="21"/>
          <w:szCs w:val="21"/>
          <w:lang w:val="en-US" w:eastAsia="en-US"/>
        </w:rPr>
        <w:t>of</w:t>
      </w:r>
      <w:r w:rsidRPr="00070AD6">
        <w:rPr>
          <w:rFonts w:eastAsiaTheme="minorHAnsi"/>
          <w:sz w:val="21"/>
          <w:szCs w:val="21"/>
          <w:lang w:val="en-US" w:eastAsia="en-US"/>
        </w:rPr>
        <w:t xml:space="preserve"> the English system, the </w:t>
      </w:r>
      <w:r>
        <w:rPr>
          <w:rFonts w:eastAsiaTheme="minorHAnsi"/>
          <w:sz w:val="21"/>
          <w:szCs w:val="21"/>
          <w:lang w:val="en-US" w:eastAsia="en-US"/>
        </w:rPr>
        <w:t>author</w:t>
      </w:r>
      <w:r w:rsidRPr="00070AD6">
        <w:rPr>
          <w:rFonts w:eastAsiaTheme="minorHAnsi"/>
          <w:sz w:val="21"/>
          <w:szCs w:val="21"/>
          <w:lang w:val="en-US" w:eastAsia="en-US"/>
        </w:rPr>
        <w:t>, refer</w:t>
      </w:r>
      <w:r>
        <w:rPr>
          <w:rFonts w:eastAsiaTheme="minorHAnsi"/>
          <w:sz w:val="21"/>
          <w:szCs w:val="21"/>
          <w:lang w:val="en-US" w:eastAsia="en-US"/>
        </w:rPr>
        <w:t>r</w:t>
      </w:r>
      <w:r w:rsidRPr="00070AD6">
        <w:rPr>
          <w:rFonts w:eastAsiaTheme="minorHAnsi"/>
          <w:sz w:val="21"/>
          <w:szCs w:val="21"/>
          <w:lang w:val="en-US" w:eastAsia="en-US"/>
        </w:rPr>
        <w:t xml:space="preserve">ing to the LETR report, recalled as main reasons </w:t>
      </w:r>
      <w:r>
        <w:rPr>
          <w:rFonts w:eastAsiaTheme="minorHAnsi"/>
          <w:sz w:val="21"/>
          <w:szCs w:val="21"/>
          <w:lang w:val="en-US" w:eastAsia="en-US"/>
        </w:rPr>
        <w:t>for</w:t>
      </w:r>
      <w:r w:rsidRPr="00070AD6">
        <w:rPr>
          <w:rFonts w:eastAsiaTheme="minorHAnsi"/>
          <w:sz w:val="21"/>
          <w:szCs w:val="21"/>
          <w:lang w:val="en-US" w:eastAsia="en-US"/>
        </w:rPr>
        <w:t xml:space="preserve"> criti</w:t>
      </w:r>
      <w:r>
        <w:rPr>
          <w:rFonts w:eastAsiaTheme="minorHAnsi"/>
          <w:sz w:val="21"/>
          <w:szCs w:val="21"/>
          <w:lang w:val="en-US" w:eastAsia="en-US"/>
        </w:rPr>
        <w:t>que</w:t>
      </w:r>
      <w:r w:rsidRPr="00070AD6">
        <w:rPr>
          <w:rFonts w:eastAsiaTheme="minorHAnsi"/>
          <w:sz w:val="21"/>
          <w:szCs w:val="21"/>
          <w:lang w:val="en-US" w:eastAsia="en-US"/>
        </w:rPr>
        <w:t xml:space="preserve">: </w:t>
      </w:r>
      <w:r>
        <w:rPr>
          <w:rFonts w:eastAsiaTheme="minorHAnsi"/>
          <w:sz w:val="21"/>
          <w:szCs w:val="21"/>
          <w:lang w:val="en-US" w:eastAsia="en-US"/>
        </w:rPr>
        <w:t>‘</w:t>
      </w:r>
      <w:r w:rsidRPr="00070AD6">
        <w:rPr>
          <w:rFonts w:eastAsiaTheme="minorHAnsi"/>
          <w:sz w:val="21"/>
          <w:szCs w:val="21"/>
          <w:lang w:val="en-US" w:eastAsia="en-US"/>
        </w:rPr>
        <w:t>insufficient assurance of a consistent quality of outcomes and standards of assessment; limits on the acceptable forms of professional training; knowledge and skills gaps in respect of legal values and professional ethics, communication, management skills and equality and diversity awareness; limits on horizontal and vertical mobility; increasing cost barriers affecting access to academic, professional and workplace training, particularly for solicitors and barristers in non-commercial practice; and the existence of limitations on the capacity for coherent evidence-based policymaking</w:t>
      </w:r>
      <w:r>
        <w:rPr>
          <w:rFonts w:eastAsiaTheme="minorHAnsi"/>
          <w:sz w:val="21"/>
          <w:szCs w:val="21"/>
          <w:lang w:val="en-US" w:eastAsia="en-US"/>
        </w:rPr>
        <w:t>’</w:t>
      </w:r>
      <w:r w:rsidRPr="00070AD6">
        <w:rPr>
          <w:rFonts w:eastAsiaTheme="minorHAnsi"/>
          <w:sz w:val="21"/>
          <w:szCs w:val="21"/>
          <w:lang w:val="en-US" w:eastAsia="en-US"/>
        </w:rPr>
        <w:t xml:space="preserve"> (Legal Education and Training Review, The Future of Legal Services Education and Training Regulation in England and Wales, cit.)</w:t>
      </w:r>
      <w:r>
        <w:rPr>
          <w:rFonts w:eastAsiaTheme="minorHAnsi"/>
          <w:sz w:val="21"/>
          <w:szCs w:val="21"/>
          <w:lang w:val="en-US" w:eastAsia="en-US"/>
        </w:rPr>
        <w:t>.</w:t>
      </w:r>
    </w:p>
  </w:footnote>
  <w:footnote w:id="31">
    <w:p w:rsidR="00677175" w:rsidRPr="00070AD6" w:rsidRDefault="00677175" w:rsidP="00A03668">
      <w:pPr>
        <w:pStyle w:val="FootnoteText"/>
        <w:rPr>
          <w:rFonts w:ascii="Times New Roman" w:hAnsi="Times New Roman" w:cs="Times New Roman"/>
          <w:sz w:val="21"/>
          <w:szCs w:val="21"/>
          <w:lang w:val="en-US"/>
        </w:rPr>
      </w:pPr>
      <w:r w:rsidRPr="00070AD6">
        <w:rPr>
          <w:rStyle w:val="FootnoteReference"/>
          <w:rFonts w:ascii="Times New Roman" w:hAnsi="Times New Roman" w:cs="Times New Roman"/>
          <w:sz w:val="21"/>
          <w:szCs w:val="21"/>
        </w:rPr>
        <w:footnoteRef/>
      </w:r>
      <w:r w:rsidRPr="00070AD6">
        <w:rPr>
          <w:rFonts w:ascii="Times New Roman" w:hAnsi="Times New Roman" w:cs="Times New Roman"/>
          <w:sz w:val="21"/>
          <w:szCs w:val="21"/>
          <w:lang w:val="en-US"/>
        </w:rPr>
        <w:t xml:space="preserve"> See S. </w:t>
      </w:r>
      <w:r w:rsidRPr="00070AD6">
        <w:rPr>
          <w:rFonts w:ascii="Times New Roman" w:hAnsi="Times New Roman" w:cs="Times New Roman"/>
          <w:smallCaps/>
          <w:color w:val="000000" w:themeColor="text1"/>
          <w:sz w:val="21"/>
          <w:szCs w:val="21"/>
          <w:lang w:val="en-US" w:eastAsia="it-IT"/>
        </w:rPr>
        <w:t>Cassese</w:t>
      </w:r>
      <w:r w:rsidRPr="00070AD6">
        <w:rPr>
          <w:rFonts w:ascii="Times New Roman" w:hAnsi="Times New Roman" w:cs="Times New Roman"/>
          <w:sz w:val="21"/>
          <w:szCs w:val="21"/>
          <w:lang w:val="en-US"/>
        </w:rPr>
        <w:t>, ‘Legal Education under Fire’, cit., p 143.</w:t>
      </w:r>
    </w:p>
  </w:footnote>
  <w:footnote w:id="32">
    <w:p w:rsidR="00677175" w:rsidRPr="00070AD6" w:rsidRDefault="00677175" w:rsidP="00070AD6">
      <w:pPr>
        <w:autoSpaceDE w:val="0"/>
        <w:autoSpaceDN w:val="0"/>
        <w:adjustRightInd w:val="0"/>
        <w:jc w:val="both"/>
        <w:rPr>
          <w:rFonts w:eastAsiaTheme="minorHAnsi"/>
          <w:color w:val="000000"/>
          <w:sz w:val="21"/>
          <w:szCs w:val="21"/>
          <w:lang w:val="en-US" w:eastAsia="en-US"/>
        </w:rPr>
      </w:pPr>
      <w:r w:rsidRPr="00070AD6">
        <w:rPr>
          <w:rStyle w:val="FootnoteReference"/>
          <w:sz w:val="21"/>
          <w:szCs w:val="21"/>
        </w:rPr>
        <w:footnoteRef/>
      </w:r>
      <w:r w:rsidRPr="00070AD6">
        <w:rPr>
          <w:sz w:val="21"/>
          <w:szCs w:val="21"/>
          <w:lang w:val="en-US"/>
        </w:rPr>
        <w:t xml:space="preserve"> </w:t>
      </w:r>
      <w:r w:rsidRPr="00070AD6">
        <w:rPr>
          <w:color w:val="000000"/>
          <w:sz w:val="21"/>
          <w:szCs w:val="21"/>
          <w:lang w:val="en-US"/>
        </w:rPr>
        <w:t xml:space="preserve">New training requirements for the Bar are expected to come into effect in early 2019 (subject to Legal Services Board approval); nevertheless, the three components of education and training (the </w:t>
      </w:r>
      <w:r>
        <w:rPr>
          <w:color w:val="000000"/>
          <w:sz w:val="21"/>
          <w:szCs w:val="21"/>
          <w:lang w:val="en-US"/>
        </w:rPr>
        <w:t>a</w:t>
      </w:r>
      <w:r w:rsidRPr="00070AD6">
        <w:rPr>
          <w:color w:val="000000"/>
          <w:sz w:val="21"/>
          <w:szCs w:val="21"/>
          <w:lang w:val="en-US"/>
        </w:rPr>
        <w:t xml:space="preserve">cademic </w:t>
      </w:r>
      <w:r>
        <w:rPr>
          <w:color w:val="000000"/>
          <w:sz w:val="21"/>
          <w:szCs w:val="21"/>
          <w:lang w:val="en-US"/>
        </w:rPr>
        <w:t>c</w:t>
      </w:r>
      <w:r w:rsidRPr="00070AD6">
        <w:rPr>
          <w:color w:val="000000"/>
          <w:sz w:val="21"/>
          <w:szCs w:val="21"/>
          <w:lang w:val="en-US"/>
        </w:rPr>
        <w:t xml:space="preserve">omponent, the </w:t>
      </w:r>
      <w:r>
        <w:rPr>
          <w:color w:val="000000"/>
          <w:sz w:val="21"/>
          <w:szCs w:val="21"/>
          <w:lang w:val="en-US"/>
        </w:rPr>
        <w:t>v</w:t>
      </w:r>
      <w:r w:rsidRPr="00070AD6">
        <w:rPr>
          <w:color w:val="000000"/>
          <w:sz w:val="21"/>
          <w:szCs w:val="21"/>
          <w:lang w:val="en-US"/>
        </w:rPr>
        <w:t xml:space="preserve">ocational </w:t>
      </w:r>
      <w:r>
        <w:rPr>
          <w:color w:val="000000"/>
          <w:sz w:val="21"/>
          <w:szCs w:val="21"/>
          <w:lang w:val="en-US"/>
        </w:rPr>
        <w:t>c</w:t>
      </w:r>
      <w:r w:rsidRPr="00070AD6">
        <w:rPr>
          <w:color w:val="000000"/>
          <w:sz w:val="21"/>
          <w:szCs w:val="21"/>
          <w:lang w:val="en-US"/>
        </w:rPr>
        <w:t xml:space="preserve">omponent and the </w:t>
      </w:r>
      <w:r>
        <w:rPr>
          <w:color w:val="000000"/>
          <w:sz w:val="21"/>
          <w:szCs w:val="21"/>
          <w:lang w:val="en-US"/>
        </w:rPr>
        <w:t>w</w:t>
      </w:r>
      <w:r w:rsidRPr="00070AD6">
        <w:rPr>
          <w:color w:val="000000"/>
          <w:sz w:val="21"/>
          <w:szCs w:val="21"/>
          <w:lang w:val="en-US"/>
        </w:rPr>
        <w:t xml:space="preserve">ork-based </w:t>
      </w:r>
      <w:r>
        <w:rPr>
          <w:color w:val="000000"/>
          <w:sz w:val="21"/>
          <w:szCs w:val="21"/>
          <w:lang w:val="en-US"/>
        </w:rPr>
        <w:t>l</w:t>
      </w:r>
      <w:r w:rsidRPr="00070AD6">
        <w:rPr>
          <w:color w:val="000000"/>
          <w:sz w:val="21"/>
          <w:szCs w:val="21"/>
          <w:lang w:val="en-US"/>
        </w:rPr>
        <w:t xml:space="preserve">earning </w:t>
      </w:r>
      <w:r>
        <w:rPr>
          <w:color w:val="000000"/>
          <w:sz w:val="21"/>
          <w:szCs w:val="21"/>
          <w:lang w:val="en-US"/>
        </w:rPr>
        <w:t>c</w:t>
      </w:r>
      <w:r w:rsidRPr="00070AD6">
        <w:rPr>
          <w:color w:val="000000"/>
          <w:sz w:val="21"/>
          <w:szCs w:val="21"/>
          <w:lang w:val="en-US"/>
        </w:rPr>
        <w:t>omponent)</w:t>
      </w:r>
      <w:r w:rsidRPr="00070AD6">
        <w:rPr>
          <w:sz w:val="21"/>
          <w:szCs w:val="21"/>
          <w:lang w:val="en-US"/>
        </w:rPr>
        <w:t xml:space="preserve"> </w:t>
      </w:r>
      <w:r w:rsidRPr="00070AD6">
        <w:rPr>
          <w:color w:val="000000"/>
          <w:sz w:val="21"/>
          <w:szCs w:val="21"/>
          <w:lang w:val="en-US"/>
        </w:rPr>
        <w:t xml:space="preserve">will be maintained, even if delivered through one of four approved training pathways; for more information on the </w:t>
      </w:r>
      <w:r w:rsidRPr="00070AD6">
        <w:rPr>
          <w:i/>
          <w:color w:val="000000"/>
          <w:sz w:val="21"/>
          <w:szCs w:val="21"/>
          <w:lang w:val="en-US"/>
        </w:rPr>
        <w:t>Future Bar Training</w:t>
      </w:r>
      <w:r w:rsidRPr="00070AD6">
        <w:rPr>
          <w:color w:val="000000"/>
          <w:sz w:val="21"/>
          <w:szCs w:val="21"/>
          <w:lang w:val="en-US"/>
        </w:rPr>
        <w:t xml:space="preserve"> (FBT), see</w:t>
      </w:r>
      <w:r w:rsidRPr="00070AD6">
        <w:rPr>
          <w:sz w:val="21"/>
          <w:szCs w:val="21"/>
          <w:lang w:val="en-US"/>
        </w:rPr>
        <w:t xml:space="preserve"> </w:t>
      </w:r>
      <w:hyperlink r:id="rId6" w:history="1">
        <w:r w:rsidRPr="00070AD6">
          <w:rPr>
            <w:rStyle w:val="Hyperlink"/>
            <w:sz w:val="21"/>
            <w:szCs w:val="21"/>
            <w:lang w:val="en-US"/>
          </w:rPr>
          <w:t>https://www.barstandardsboard.org.uk/qualifying-as-a-barrister/future-requirements/</w:t>
        </w:r>
      </w:hyperlink>
      <w:r w:rsidRPr="00070AD6">
        <w:rPr>
          <w:color w:val="000000"/>
          <w:sz w:val="21"/>
          <w:szCs w:val="21"/>
          <w:lang w:val="en-US"/>
        </w:rPr>
        <w:t xml:space="preserve">; </w:t>
      </w:r>
      <w:r w:rsidRPr="00070AD6">
        <w:rPr>
          <w:rFonts w:eastAsiaTheme="minorHAnsi"/>
          <w:color w:val="000000"/>
          <w:sz w:val="21"/>
          <w:szCs w:val="21"/>
          <w:lang w:val="en-US" w:eastAsia="en-US"/>
        </w:rPr>
        <w:t xml:space="preserve">Bar Standards Board, </w:t>
      </w:r>
      <w:r>
        <w:rPr>
          <w:rFonts w:eastAsiaTheme="minorHAnsi"/>
          <w:color w:val="000000"/>
          <w:sz w:val="21"/>
          <w:szCs w:val="21"/>
          <w:lang w:val="en-US" w:eastAsia="en-US"/>
        </w:rPr>
        <w:t>‘</w:t>
      </w:r>
      <w:r w:rsidRPr="00070AD6">
        <w:rPr>
          <w:rFonts w:eastAsiaTheme="minorHAnsi"/>
          <w:color w:val="000000"/>
          <w:sz w:val="21"/>
          <w:szCs w:val="21"/>
          <w:lang w:val="en-US" w:eastAsia="en-US"/>
        </w:rPr>
        <w:t>BSB Policy Statement on Bar Training</w:t>
      </w:r>
      <w:r>
        <w:rPr>
          <w:rFonts w:eastAsiaTheme="minorHAnsi"/>
          <w:color w:val="000000"/>
          <w:sz w:val="21"/>
          <w:szCs w:val="21"/>
          <w:lang w:val="en-US" w:eastAsia="en-US"/>
        </w:rPr>
        <w:t>’</w:t>
      </w:r>
      <w:r w:rsidRPr="00070AD6">
        <w:rPr>
          <w:rFonts w:eastAsiaTheme="minorHAnsi"/>
          <w:color w:val="000000"/>
          <w:sz w:val="21"/>
          <w:szCs w:val="21"/>
          <w:lang w:val="en-US" w:eastAsia="en-US"/>
        </w:rPr>
        <w:t xml:space="preserve"> (2017) </w:t>
      </w:r>
      <w:hyperlink r:id="rId7" w:history="1">
        <w:r w:rsidRPr="00070AD6">
          <w:rPr>
            <w:rStyle w:val="Hyperlink"/>
            <w:rFonts w:eastAsiaTheme="minorHAnsi"/>
            <w:sz w:val="21"/>
            <w:szCs w:val="21"/>
            <w:lang w:val="en-US" w:eastAsia="en-US"/>
          </w:rPr>
          <w:t>www.barstandardsboard.org.uk/media/1825162/032317_fbt_-_policy_statement_version_for_publication.pdf</w:t>
        </w:r>
      </w:hyperlink>
    </w:p>
    <w:p w:rsidR="00677175" w:rsidRPr="00B63012" w:rsidRDefault="00677175" w:rsidP="00C61ED4">
      <w:pPr>
        <w:autoSpaceDE w:val="0"/>
        <w:autoSpaceDN w:val="0"/>
        <w:adjustRightInd w:val="0"/>
        <w:jc w:val="both"/>
        <w:rPr>
          <w:rFonts w:eastAsiaTheme="minorHAnsi"/>
          <w:color w:val="000080"/>
          <w:sz w:val="21"/>
          <w:szCs w:val="21"/>
          <w:lang w:val="en-US" w:eastAsia="en-US"/>
        </w:rPr>
      </w:pPr>
      <w:r w:rsidRPr="00B7178C">
        <w:rPr>
          <w:rFonts w:eastAsiaTheme="minorHAnsi"/>
          <w:color w:val="000000" w:themeColor="text1"/>
          <w:sz w:val="21"/>
          <w:szCs w:val="21"/>
          <w:lang w:val="en-US" w:eastAsia="en-US"/>
        </w:rPr>
        <w:t xml:space="preserve">For more information concerning the Legal education System in England and Wales: </w:t>
      </w:r>
      <w:r w:rsidRPr="00B7178C">
        <w:rPr>
          <w:color w:val="000000" w:themeColor="text1"/>
          <w:sz w:val="21"/>
          <w:szCs w:val="21"/>
          <w:lang w:val="en-US"/>
        </w:rPr>
        <w:t xml:space="preserve">A. </w:t>
      </w:r>
      <w:r w:rsidRPr="00B7178C">
        <w:rPr>
          <w:rFonts w:eastAsiaTheme="minorHAnsi"/>
          <w:smallCaps/>
          <w:color w:val="000000" w:themeColor="text1"/>
          <w:sz w:val="21"/>
          <w:szCs w:val="21"/>
          <w:lang w:val="en-US"/>
        </w:rPr>
        <w:t>Boon</w:t>
      </w:r>
      <w:r w:rsidRPr="00B7178C">
        <w:rPr>
          <w:color w:val="000000" w:themeColor="text1"/>
          <w:sz w:val="21"/>
          <w:szCs w:val="21"/>
          <w:lang w:val="en-US"/>
        </w:rPr>
        <w:t xml:space="preserve"> </w:t>
      </w:r>
      <w:r w:rsidR="001D1E1E" w:rsidRPr="00B7178C">
        <w:rPr>
          <w:color w:val="000000" w:themeColor="text1"/>
          <w:sz w:val="21"/>
          <w:szCs w:val="21"/>
          <w:lang w:val="en-US"/>
        </w:rPr>
        <w:t>&amp;</w:t>
      </w:r>
      <w:r w:rsidRPr="00B7178C">
        <w:rPr>
          <w:color w:val="000000" w:themeColor="text1"/>
          <w:sz w:val="21"/>
          <w:szCs w:val="21"/>
          <w:lang w:val="en-US"/>
        </w:rPr>
        <w:t xml:space="preserve"> J</w:t>
      </w:r>
      <w:r w:rsidRPr="00070AD6">
        <w:rPr>
          <w:sz w:val="21"/>
          <w:szCs w:val="21"/>
          <w:lang w:val="en-US"/>
        </w:rPr>
        <w:t xml:space="preserve">. </w:t>
      </w:r>
      <w:r w:rsidRPr="00070AD6">
        <w:rPr>
          <w:rFonts w:eastAsiaTheme="minorHAnsi"/>
          <w:smallCaps/>
          <w:sz w:val="21"/>
          <w:szCs w:val="21"/>
          <w:lang w:val="en-US"/>
        </w:rPr>
        <w:t>Webb</w:t>
      </w:r>
      <w:r w:rsidRPr="00070AD6">
        <w:rPr>
          <w:sz w:val="21"/>
          <w:szCs w:val="21"/>
          <w:lang w:val="en-US"/>
        </w:rPr>
        <w:t>, ‘</w:t>
      </w:r>
      <w:r w:rsidRPr="00070AD6">
        <w:rPr>
          <w:iCs/>
          <w:sz w:val="21"/>
          <w:szCs w:val="21"/>
          <w:lang w:val="en-US"/>
        </w:rPr>
        <w:t xml:space="preserve">Legal Education and Training </w:t>
      </w:r>
      <w:r>
        <w:rPr>
          <w:iCs/>
          <w:sz w:val="21"/>
          <w:szCs w:val="21"/>
          <w:lang w:val="en-US"/>
        </w:rPr>
        <w:t>in</w:t>
      </w:r>
      <w:r w:rsidRPr="00070AD6">
        <w:rPr>
          <w:iCs/>
          <w:sz w:val="21"/>
          <w:szCs w:val="21"/>
          <w:lang w:val="en-US"/>
        </w:rPr>
        <w:t xml:space="preserve"> England and Wales: Back to the Future?</w:t>
      </w:r>
      <w:r w:rsidRPr="00070AD6">
        <w:rPr>
          <w:i/>
          <w:iCs/>
          <w:sz w:val="21"/>
          <w:szCs w:val="21"/>
          <w:lang w:val="en-US"/>
        </w:rPr>
        <w:t>’,</w:t>
      </w:r>
      <w:r w:rsidRPr="00070AD6">
        <w:rPr>
          <w:sz w:val="21"/>
          <w:szCs w:val="21"/>
          <w:lang w:val="en-US"/>
        </w:rPr>
        <w:t xml:space="preserve"> cit., p 79; D. </w:t>
      </w:r>
      <w:r w:rsidRPr="00070AD6">
        <w:rPr>
          <w:rFonts w:eastAsiaTheme="minorHAnsi"/>
          <w:smallCaps/>
          <w:sz w:val="21"/>
          <w:szCs w:val="21"/>
          <w:lang w:val="en-US"/>
        </w:rPr>
        <w:t>Nitti</w:t>
      </w:r>
      <w:r w:rsidRPr="00070AD6">
        <w:rPr>
          <w:sz w:val="21"/>
          <w:szCs w:val="21"/>
          <w:lang w:val="en-US"/>
        </w:rPr>
        <w:t>, ‘</w:t>
      </w:r>
      <w:r w:rsidRPr="00070AD6">
        <w:rPr>
          <w:iCs/>
          <w:sz w:val="21"/>
          <w:szCs w:val="21"/>
          <w:lang w:val="en-US"/>
        </w:rPr>
        <w:t>La professione forense in Inghilterra’</w:t>
      </w:r>
      <w:r w:rsidRPr="00070AD6">
        <w:rPr>
          <w:sz w:val="21"/>
          <w:szCs w:val="21"/>
          <w:lang w:val="en-US"/>
        </w:rPr>
        <w:t xml:space="preserve">, in A. </w:t>
      </w:r>
      <w:r w:rsidRPr="00070AD6">
        <w:rPr>
          <w:rFonts w:eastAsiaTheme="minorHAnsi"/>
          <w:smallCaps/>
          <w:sz w:val="21"/>
          <w:szCs w:val="21"/>
          <w:lang w:val="en-US"/>
        </w:rPr>
        <w:t>Berlinguer</w:t>
      </w:r>
      <w:r w:rsidRPr="00070AD6">
        <w:rPr>
          <w:color w:val="000000"/>
          <w:sz w:val="21"/>
          <w:szCs w:val="21"/>
          <w:lang w:val="en-US"/>
        </w:rPr>
        <w:t xml:space="preserve">, </w:t>
      </w:r>
      <w:r w:rsidRPr="00070AD6">
        <w:rPr>
          <w:i/>
          <w:iCs/>
          <w:color w:val="000000"/>
          <w:sz w:val="21"/>
          <w:szCs w:val="21"/>
          <w:lang w:val="en-US"/>
        </w:rPr>
        <w:t xml:space="preserve">La professione forense. </w:t>
      </w:r>
      <w:r w:rsidRPr="00070AD6">
        <w:rPr>
          <w:i/>
          <w:iCs/>
          <w:color w:val="000000"/>
          <w:sz w:val="21"/>
          <w:szCs w:val="21"/>
        </w:rPr>
        <w:t>Modelli a Confronto</w:t>
      </w:r>
      <w:r w:rsidRPr="00070AD6">
        <w:rPr>
          <w:color w:val="000000"/>
          <w:sz w:val="21"/>
          <w:szCs w:val="21"/>
        </w:rPr>
        <w:t xml:space="preserve"> (Milano, 2008), p 97 ff.; C. </w:t>
      </w:r>
      <w:r w:rsidRPr="00070AD6">
        <w:rPr>
          <w:rFonts w:eastAsiaTheme="minorHAnsi"/>
          <w:smallCaps/>
          <w:sz w:val="21"/>
          <w:szCs w:val="21"/>
        </w:rPr>
        <w:t>Gilligan</w:t>
      </w:r>
      <w:r w:rsidRPr="00070AD6">
        <w:rPr>
          <w:color w:val="000000"/>
          <w:sz w:val="21"/>
          <w:szCs w:val="21"/>
        </w:rPr>
        <w:t xml:space="preserve">, </w:t>
      </w:r>
      <w:r w:rsidRPr="00070AD6">
        <w:rPr>
          <w:i/>
          <w:iCs/>
          <w:color w:val="000000"/>
          <w:sz w:val="21"/>
          <w:szCs w:val="21"/>
        </w:rPr>
        <w:t>La formazione dell'avvocato in Inghilterra e Galles: qualità professionale, deontologia e mercato</w:t>
      </w:r>
      <w:r w:rsidRPr="00070AD6">
        <w:rPr>
          <w:color w:val="000000"/>
          <w:sz w:val="21"/>
          <w:szCs w:val="21"/>
        </w:rPr>
        <w:t xml:space="preserve">, in G. </w:t>
      </w:r>
      <w:r w:rsidRPr="00070AD6">
        <w:rPr>
          <w:rFonts w:eastAsiaTheme="minorHAnsi"/>
          <w:smallCaps/>
          <w:sz w:val="21"/>
          <w:szCs w:val="21"/>
        </w:rPr>
        <w:t>Alpa</w:t>
      </w:r>
      <w:r w:rsidRPr="00070AD6">
        <w:rPr>
          <w:color w:val="000000"/>
          <w:sz w:val="21"/>
          <w:szCs w:val="21"/>
        </w:rPr>
        <w:t xml:space="preserve"> </w:t>
      </w:r>
      <w:r>
        <w:rPr>
          <w:color w:val="000000"/>
          <w:sz w:val="21"/>
          <w:szCs w:val="21"/>
        </w:rPr>
        <w:t>and</w:t>
      </w:r>
      <w:r w:rsidRPr="00070AD6">
        <w:rPr>
          <w:color w:val="000000"/>
          <w:sz w:val="21"/>
          <w:szCs w:val="21"/>
        </w:rPr>
        <w:t xml:space="preserve"> A. </w:t>
      </w:r>
      <w:r w:rsidRPr="00070AD6">
        <w:rPr>
          <w:rFonts w:eastAsiaTheme="minorHAnsi"/>
          <w:smallCaps/>
          <w:sz w:val="21"/>
          <w:szCs w:val="21"/>
        </w:rPr>
        <w:t>Mariani Marini</w:t>
      </w:r>
      <w:r w:rsidRPr="00070AD6">
        <w:rPr>
          <w:color w:val="000000"/>
          <w:sz w:val="21"/>
          <w:szCs w:val="21"/>
        </w:rPr>
        <w:t xml:space="preserve"> (</w:t>
      </w:r>
      <w:r>
        <w:rPr>
          <w:color w:val="000000"/>
          <w:sz w:val="21"/>
          <w:szCs w:val="21"/>
        </w:rPr>
        <w:t>eds.</w:t>
      </w:r>
      <w:r w:rsidRPr="00070AD6">
        <w:rPr>
          <w:color w:val="000000"/>
          <w:sz w:val="21"/>
          <w:szCs w:val="21"/>
        </w:rPr>
        <w:t xml:space="preserve">), </w:t>
      </w:r>
      <w:r w:rsidRPr="00070AD6">
        <w:rPr>
          <w:i/>
          <w:iCs/>
          <w:color w:val="000000"/>
          <w:sz w:val="21"/>
          <w:szCs w:val="21"/>
        </w:rPr>
        <w:t>La formazione dell'avvocato in Europa</w:t>
      </w:r>
      <w:r w:rsidRPr="00070AD6">
        <w:rPr>
          <w:color w:val="000000"/>
          <w:sz w:val="21"/>
          <w:szCs w:val="21"/>
        </w:rPr>
        <w:t xml:space="preserve"> (Pisa, 2009), p 113 ff; B. </w:t>
      </w:r>
      <w:r w:rsidRPr="00070AD6">
        <w:rPr>
          <w:rFonts w:eastAsiaTheme="minorHAnsi"/>
          <w:smallCaps/>
          <w:sz w:val="21"/>
          <w:szCs w:val="21"/>
        </w:rPr>
        <w:t>Nascimbene</w:t>
      </w:r>
      <w:r w:rsidRPr="00070AD6">
        <w:rPr>
          <w:rFonts w:eastAsia="Times-Roman"/>
          <w:color w:val="000000"/>
          <w:sz w:val="21"/>
          <w:szCs w:val="21"/>
        </w:rPr>
        <w:t xml:space="preserve">, </w:t>
      </w:r>
      <w:r w:rsidRPr="00070AD6">
        <w:rPr>
          <w:rFonts w:eastAsia="Times-Roman"/>
          <w:i/>
          <w:color w:val="000000"/>
          <w:sz w:val="21"/>
          <w:szCs w:val="21"/>
        </w:rPr>
        <w:t>La professione forense nell’unione europea</w:t>
      </w:r>
      <w:r w:rsidRPr="00070AD6">
        <w:rPr>
          <w:rFonts w:eastAsia="Times-Roman"/>
          <w:color w:val="000000"/>
          <w:sz w:val="21"/>
          <w:szCs w:val="21"/>
        </w:rPr>
        <w:t xml:space="preserve"> (Milano 2010), p 233 ff; R. M. </w:t>
      </w:r>
      <w:r w:rsidRPr="00070AD6">
        <w:rPr>
          <w:rFonts w:eastAsiaTheme="minorHAnsi"/>
          <w:smallCaps/>
          <w:sz w:val="21"/>
          <w:szCs w:val="21"/>
        </w:rPr>
        <w:t>Stein</w:t>
      </w:r>
      <w:r w:rsidRPr="00070AD6">
        <w:rPr>
          <w:rFonts w:eastAsia="Times-Roman"/>
          <w:color w:val="000000"/>
          <w:sz w:val="21"/>
          <w:szCs w:val="21"/>
        </w:rPr>
        <w:t>, T</w:t>
      </w:r>
      <w:r w:rsidRPr="00070AD6">
        <w:rPr>
          <w:rFonts w:eastAsia="Times-Roman"/>
          <w:i/>
          <w:iCs/>
          <w:color w:val="000000"/>
          <w:sz w:val="21"/>
          <w:szCs w:val="21"/>
        </w:rPr>
        <w:t>he Path of Legal Education from Edward I to Langdell: a History of Insular Reaction,</w:t>
      </w:r>
      <w:r w:rsidRPr="00070AD6">
        <w:rPr>
          <w:rFonts w:eastAsia="Times-Roman"/>
          <w:color w:val="000000"/>
          <w:sz w:val="21"/>
          <w:szCs w:val="21"/>
        </w:rPr>
        <w:t xml:space="preserve"> cit., p 429; </w:t>
      </w:r>
      <w:r w:rsidRPr="00070AD6">
        <w:rPr>
          <w:color w:val="000000"/>
          <w:sz w:val="21"/>
          <w:szCs w:val="21"/>
        </w:rPr>
        <w:t xml:space="preserve">D. </w:t>
      </w:r>
      <w:r w:rsidRPr="00070AD6">
        <w:rPr>
          <w:rFonts w:eastAsiaTheme="minorHAnsi"/>
          <w:smallCaps/>
          <w:sz w:val="21"/>
          <w:szCs w:val="21"/>
        </w:rPr>
        <w:t>Nitti</w:t>
      </w:r>
      <w:r w:rsidRPr="00070AD6">
        <w:rPr>
          <w:color w:val="000000"/>
          <w:sz w:val="21"/>
          <w:szCs w:val="21"/>
        </w:rPr>
        <w:t>, ‘</w:t>
      </w:r>
      <w:r w:rsidRPr="00070AD6">
        <w:rPr>
          <w:iCs/>
          <w:color w:val="000000"/>
          <w:sz w:val="21"/>
          <w:szCs w:val="21"/>
        </w:rPr>
        <w:t>Come cambia la professione forense inglese: spunti per una comparazione’</w:t>
      </w:r>
      <w:r w:rsidRPr="00070AD6">
        <w:rPr>
          <w:color w:val="000000"/>
          <w:sz w:val="21"/>
          <w:szCs w:val="21"/>
        </w:rPr>
        <w:t xml:space="preserve">, in </w:t>
      </w:r>
      <w:r w:rsidRPr="00070AD6">
        <w:rPr>
          <w:i/>
          <w:iCs/>
          <w:color w:val="000000"/>
          <w:sz w:val="21"/>
          <w:szCs w:val="21"/>
        </w:rPr>
        <w:t>Contratto e Impresa/Europa</w:t>
      </w:r>
      <w:r w:rsidRPr="00070AD6">
        <w:rPr>
          <w:color w:val="000000"/>
          <w:sz w:val="21"/>
          <w:szCs w:val="21"/>
        </w:rPr>
        <w:t xml:space="preserve"> 2006, p 280 ff.; R. </w:t>
      </w:r>
      <w:r w:rsidRPr="00070AD6">
        <w:rPr>
          <w:rFonts w:eastAsiaTheme="minorHAnsi"/>
          <w:smallCaps/>
          <w:sz w:val="21"/>
          <w:szCs w:val="21"/>
        </w:rPr>
        <w:t>Crespi</w:t>
      </w:r>
      <w:r w:rsidRPr="00070AD6">
        <w:rPr>
          <w:rFonts w:eastAsia="Helvetica"/>
          <w:color w:val="000000"/>
          <w:sz w:val="21"/>
          <w:szCs w:val="21"/>
        </w:rPr>
        <w:t>, ‘</w:t>
      </w:r>
      <w:r w:rsidRPr="00070AD6">
        <w:rPr>
          <w:rFonts w:eastAsia="Helvetica"/>
          <w:iCs/>
          <w:color w:val="000000"/>
          <w:sz w:val="21"/>
          <w:szCs w:val="21"/>
        </w:rPr>
        <w:t>Le professioni legali in Inghilterra e Galles da Edoardo I al Court and Legal Service Act</w:t>
      </w:r>
      <w:r w:rsidRPr="00070AD6">
        <w:rPr>
          <w:rFonts w:eastAsia="Helvetica"/>
          <w:i/>
          <w:iCs/>
          <w:color w:val="000000"/>
          <w:sz w:val="21"/>
          <w:szCs w:val="21"/>
        </w:rPr>
        <w:t>’</w:t>
      </w:r>
      <w:r w:rsidRPr="00070AD6">
        <w:rPr>
          <w:rFonts w:eastAsia="Helvetica"/>
          <w:color w:val="000000"/>
          <w:sz w:val="21"/>
          <w:szCs w:val="21"/>
        </w:rPr>
        <w:t xml:space="preserve">, in </w:t>
      </w:r>
      <w:r w:rsidRPr="00070AD6">
        <w:rPr>
          <w:rFonts w:eastAsia="Helvetica"/>
          <w:i/>
          <w:color w:val="000000"/>
          <w:sz w:val="21"/>
          <w:szCs w:val="21"/>
        </w:rPr>
        <w:t>Le carte e la Storia</w:t>
      </w:r>
      <w:r w:rsidRPr="00070AD6">
        <w:rPr>
          <w:rFonts w:eastAsia="Helvetica"/>
          <w:color w:val="000000"/>
          <w:sz w:val="21"/>
          <w:szCs w:val="21"/>
        </w:rPr>
        <w:t xml:space="preserve">, 2005, p 126; P. </w:t>
      </w:r>
      <w:r w:rsidRPr="00070AD6">
        <w:rPr>
          <w:rFonts w:eastAsiaTheme="minorHAnsi"/>
          <w:smallCaps/>
          <w:sz w:val="21"/>
          <w:szCs w:val="21"/>
        </w:rPr>
        <w:t>Purpidge</w:t>
      </w:r>
      <w:r w:rsidRPr="00070AD6">
        <w:rPr>
          <w:rFonts w:eastAsia="Helvetica"/>
          <w:color w:val="000000"/>
          <w:sz w:val="21"/>
          <w:szCs w:val="21"/>
        </w:rPr>
        <w:t>, ‘</w:t>
      </w:r>
      <w:r w:rsidRPr="00070AD6">
        <w:rPr>
          <w:rFonts w:eastAsia="Helvetica"/>
          <w:iCs/>
          <w:color w:val="000000"/>
          <w:sz w:val="21"/>
          <w:szCs w:val="21"/>
        </w:rPr>
        <w:t>La formazione professionale in Inghilterra e nel Galles</w:t>
      </w:r>
      <w:r w:rsidRPr="00070AD6">
        <w:rPr>
          <w:rFonts w:eastAsia="Helvetica"/>
          <w:i/>
          <w:iCs/>
          <w:color w:val="000000"/>
          <w:sz w:val="21"/>
          <w:szCs w:val="21"/>
        </w:rPr>
        <w:t>’</w:t>
      </w:r>
      <w:r w:rsidRPr="00070AD6">
        <w:rPr>
          <w:rFonts w:eastAsia="Helvetica"/>
          <w:color w:val="000000"/>
          <w:sz w:val="21"/>
          <w:szCs w:val="21"/>
        </w:rPr>
        <w:t xml:space="preserve">, in </w:t>
      </w:r>
      <w:r w:rsidRPr="00070AD6">
        <w:rPr>
          <w:rFonts w:eastAsia="Helvetica"/>
          <w:i/>
          <w:iCs/>
          <w:color w:val="000000"/>
          <w:sz w:val="21"/>
          <w:szCs w:val="21"/>
        </w:rPr>
        <w:t xml:space="preserve">Rass. </w:t>
      </w:r>
      <w:r w:rsidRPr="00B63012">
        <w:rPr>
          <w:rFonts w:eastAsia="Helvetica"/>
          <w:i/>
          <w:iCs/>
          <w:color w:val="000000"/>
          <w:sz w:val="21"/>
          <w:szCs w:val="21"/>
          <w:lang w:val="en-US"/>
        </w:rPr>
        <w:t>Forense</w:t>
      </w:r>
      <w:r w:rsidRPr="00B63012">
        <w:rPr>
          <w:rFonts w:eastAsia="Helvetica"/>
          <w:color w:val="000000"/>
          <w:sz w:val="21"/>
          <w:szCs w:val="21"/>
          <w:lang w:val="en-US"/>
        </w:rPr>
        <w:t xml:space="preserve"> 1995, p 399.</w:t>
      </w:r>
    </w:p>
  </w:footnote>
  <w:footnote w:id="33">
    <w:p w:rsidR="00677175" w:rsidRPr="00070AD6" w:rsidRDefault="00677175" w:rsidP="00070AD6">
      <w:pPr>
        <w:jc w:val="both"/>
        <w:rPr>
          <w:sz w:val="21"/>
          <w:szCs w:val="21"/>
          <w:lang w:val="en-US"/>
        </w:rPr>
      </w:pPr>
      <w:r w:rsidRPr="00070AD6">
        <w:rPr>
          <w:rStyle w:val="FootnoteReference"/>
          <w:sz w:val="21"/>
          <w:szCs w:val="21"/>
        </w:rPr>
        <w:footnoteRef/>
      </w:r>
      <w:r w:rsidRPr="00070AD6">
        <w:rPr>
          <w:sz w:val="21"/>
          <w:szCs w:val="21"/>
          <w:lang w:val="en-US"/>
        </w:rPr>
        <w:t xml:space="preserve"> See SRA, </w:t>
      </w:r>
      <w:r w:rsidRPr="00070AD6">
        <w:rPr>
          <w:rFonts w:eastAsiaTheme="minorHAnsi"/>
          <w:i/>
          <w:sz w:val="21"/>
          <w:szCs w:val="21"/>
          <w:lang w:val="en-US" w:eastAsia="en-US"/>
        </w:rPr>
        <w:t xml:space="preserve">Statement of </w:t>
      </w:r>
      <w:r>
        <w:rPr>
          <w:rFonts w:eastAsiaTheme="minorHAnsi"/>
          <w:i/>
          <w:sz w:val="21"/>
          <w:szCs w:val="21"/>
          <w:lang w:val="en-US" w:eastAsia="en-US"/>
        </w:rPr>
        <w:t>S</w:t>
      </w:r>
      <w:r w:rsidRPr="00070AD6">
        <w:rPr>
          <w:rFonts w:eastAsiaTheme="minorHAnsi"/>
          <w:i/>
          <w:sz w:val="21"/>
          <w:szCs w:val="21"/>
          <w:lang w:val="en-US" w:eastAsia="en-US"/>
        </w:rPr>
        <w:t xml:space="preserve">olicitors </w:t>
      </w:r>
      <w:r>
        <w:rPr>
          <w:rFonts w:eastAsiaTheme="minorHAnsi"/>
          <w:i/>
          <w:sz w:val="21"/>
          <w:szCs w:val="21"/>
          <w:lang w:val="en-US" w:eastAsia="en-US"/>
        </w:rPr>
        <w:t>C</w:t>
      </w:r>
      <w:r w:rsidRPr="00070AD6">
        <w:rPr>
          <w:rFonts w:eastAsiaTheme="minorHAnsi"/>
          <w:i/>
          <w:sz w:val="21"/>
          <w:szCs w:val="21"/>
          <w:lang w:val="en-US" w:eastAsia="en-US"/>
        </w:rPr>
        <w:t>ompetence</w:t>
      </w:r>
      <w:r w:rsidRPr="00070AD6">
        <w:rPr>
          <w:rFonts w:eastAsiaTheme="minorHAnsi"/>
          <w:sz w:val="21"/>
          <w:szCs w:val="21"/>
          <w:lang w:val="en-US" w:eastAsia="en-US"/>
        </w:rPr>
        <w:t xml:space="preserve"> (March 2015), </w:t>
      </w:r>
      <w:hyperlink r:id="rId8" w:history="1">
        <w:r w:rsidRPr="00070AD6">
          <w:rPr>
            <w:rStyle w:val="Hyperlink"/>
            <w:rFonts w:eastAsiaTheme="minorHAnsi"/>
            <w:color w:val="auto"/>
            <w:sz w:val="21"/>
            <w:szCs w:val="21"/>
            <w:u w:val="none"/>
            <w:lang w:val="en-US" w:eastAsia="en-US"/>
          </w:rPr>
          <w:t>https://www.sra.org.uk/solicitors/competence-statement.page</w:t>
        </w:r>
      </w:hyperlink>
      <w:r w:rsidRPr="00070AD6">
        <w:rPr>
          <w:rFonts w:eastAsiaTheme="minorHAnsi"/>
          <w:sz w:val="21"/>
          <w:szCs w:val="21"/>
          <w:lang w:val="en-US" w:eastAsia="en-US"/>
        </w:rPr>
        <w:t xml:space="preserve">; SRA, </w:t>
      </w:r>
      <w:r w:rsidRPr="00070AD6">
        <w:rPr>
          <w:rFonts w:eastAsiaTheme="minorHAnsi"/>
          <w:i/>
          <w:sz w:val="21"/>
          <w:szCs w:val="21"/>
          <w:lang w:val="en-US" w:eastAsia="en-US"/>
        </w:rPr>
        <w:t xml:space="preserve">Training for Tomorrow: </w:t>
      </w:r>
      <w:r>
        <w:rPr>
          <w:rFonts w:eastAsiaTheme="minorHAnsi"/>
          <w:i/>
          <w:sz w:val="21"/>
          <w:szCs w:val="21"/>
          <w:lang w:val="en-US" w:eastAsia="en-US"/>
        </w:rPr>
        <w:t>A</w:t>
      </w:r>
      <w:r w:rsidRPr="00070AD6">
        <w:rPr>
          <w:rFonts w:eastAsiaTheme="minorHAnsi"/>
          <w:i/>
          <w:sz w:val="21"/>
          <w:szCs w:val="21"/>
          <w:lang w:val="en-US" w:eastAsia="en-US"/>
        </w:rPr>
        <w:t xml:space="preserve">ssessing </w:t>
      </w:r>
      <w:r>
        <w:rPr>
          <w:rFonts w:eastAsiaTheme="minorHAnsi"/>
          <w:i/>
          <w:sz w:val="21"/>
          <w:szCs w:val="21"/>
          <w:lang w:val="en-US" w:eastAsia="en-US"/>
        </w:rPr>
        <w:t>C</w:t>
      </w:r>
      <w:r w:rsidRPr="00070AD6">
        <w:rPr>
          <w:rFonts w:eastAsiaTheme="minorHAnsi"/>
          <w:i/>
          <w:sz w:val="21"/>
          <w:szCs w:val="21"/>
          <w:lang w:val="en-US" w:eastAsia="en-US"/>
        </w:rPr>
        <w:t>ompetence, Consultation Paper</w:t>
      </w:r>
      <w:r w:rsidRPr="00070AD6">
        <w:rPr>
          <w:rFonts w:eastAsiaTheme="minorHAnsi"/>
          <w:sz w:val="21"/>
          <w:szCs w:val="21"/>
          <w:lang w:val="en-US" w:eastAsia="en-US"/>
        </w:rPr>
        <w:t xml:space="preserve"> (7 December 2015), </w:t>
      </w:r>
      <w:hyperlink r:id="rId9" w:history="1">
        <w:r w:rsidRPr="00070AD6">
          <w:rPr>
            <w:rStyle w:val="Hyperlink"/>
            <w:rFonts w:eastAsiaTheme="minorHAnsi"/>
            <w:color w:val="auto"/>
            <w:sz w:val="21"/>
            <w:szCs w:val="21"/>
            <w:u w:val="none"/>
            <w:lang w:val="en-US" w:eastAsia="en-US"/>
          </w:rPr>
          <w:t>https://www.sra.org.uk/sra/consultations/t4t-assessing-competence.page</w:t>
        </w:r>
      </w:hyperlink>
      <w:r w:rsidRPr="00070AD6">
        <w:rPr>
          <w:rFonts w:eastAsiaTheme="minorHAnsi"/>
          <w:sz w:val="21"/>
          <w:szCs w:val="21"/>
          <w:lang w:val="en-US" w:eastAsia="en-US"/>
        </w:rPr>
        <w:t xml:space="preserve">; SRA, </w:t>
      </w:r>
      <w:r w:rsidRPr="00070AD6">
        <w:rPr>
          <w:rFonts w:eastAsiaTheme="minorHAnsi"/>
          <w:i/>
          <w:sz w:val="21"/>
          <w:szCs w:val="21"/>
          <w:lang w:val="en-US" w:eastAsia="en-US"/>
        </w:rPr>
        <w:t xml:space="preserve">A </w:t>
      </w:r>
      <w:r>
        <w:rPr>
          <w:rFonts w:eastAsiaTheme="minorHAnsi"/>
          <w:i/>
          <w:sz w:val="21"/>
          <w:szCs w:val="21"/>
          <w:lang w:val="en-US" w:eastAsia="en-US"/>
        </w:rPr>
        <w:t>N</w:t>
      </w:r>
      <w:r w:rsidRPr="00070AD6">
        <w:rPr>
          <w:rFonts w:eastAsiaTheme="minorHAnsi"/>
          <w:i/>
          <w:sz w:val="21"/>
          <w:szCs w:val="21"/>
          <w:lang w:val="en-US" w:eastAsia="en-US"/>
        </w:rPr>
        <w:t xml:space="preserve">ew </w:t>
      </w:r>
      <w:r>
        <w:rPr>
          <w:rFonts w:eastAsiaTheme="minorHAnsi"/>
          <w:i/>
          <w:sz w:val="21"/>
          <w:szCs w:val="21"/>
          <w:lang w:val="en-US" w:eastAsia="en-US"/>
        </w:rPr>
        <w:t>R</w:t>
      </w:r>
      <w:r w:rsidRPr="00070AD6">
        <w:rPr>
          <w:rFonts w:eastAsiaTheme="minorHAnsi"/>
          <w:i/>
          <w:sz w:val="21"/>
          <w:szCs w:val="21"/>
          <w:lang w:val="en-US" w:eastAsia="en-US"/>
        </w:rPr>
        <w:t xml:space="preserve">oute to </w:t>
      </w:r>
      <w:r>
        <w:rPr>
          <w:rFonts w:eastAsiaTheme="minorHAnsi"/>
          <w:i/>
          <w:sz w:val="21"/>
          <w:szCs w:val="21"/>
          <w:lang w:val="en-US" w:eastAsia="en-US"/>
        </w:rPr>
        <w:t>Q</w:t>
      </w:r>
      <w:r w:rsidRPr="00070AD6">
        <w:rPr>
          <w:rFonts w:eastAsiaTheme="minorHAnsi"/>
          <w:i/>
          <w:sz w:val="21"/>
          <w:szCs w:val="21"/>
          <w:lang w:val="en-US" w:eastAsia="en-US"/>
        </w:rPr>
        <w:t xml:space="preserve">ualification: </w:t>
      </w:r>
      <w:r>
        <w:rPr>
          <w:rFonts w:eastAsiaTheme="minorHAnsi"/>
          <w:i/>
          <w:sz w:val="21"/>
          <w:szCs w:val="21"/>
          <w:lang w:val="en-US" w:eastAsia="en-US"/>
        </w:rPr>
        <w:t>T</w:t>
      </w:r>
      <w:r w:rsidRPr="00070AD6">
        <w:rPr>
          <w:rFonts w:eastAsiaTheme="minorHAnsi"/>
          <w:i/>
          <w:sz w:val="21"/>
          <w:szCs w:val="21"/>
          <w:lang w:val="en-US" w:eastAsia="en-US"/>
        </w:rPr>
        <w:t>he Solicitors Qualifying Examination, Consultation Paper</w:t>
      </w:r>
      <w:r w:rsidRPr="00070AD6">
        <w:rPr>
          <w:rFonts w:eastAsiaTheme="minorHAnsi"/>
          <w:sz w:val="21"/>
          <w:szCs w:val="21"/>
          <w:lang w:val="en-US" w:eastAsia="en-US"/>
        </w:rPr>
        <w:t xml:space="preserve"> (</w:t>
      </w:r>
      <w:r w:rsidRPr="00070AD6">
        <w:rPr>
          <w:sz w:val="21"/>
          <w:szCs w:val="21"/>
          <w:shd w:val="clear" w:color="auto" w:fill="FFFFFF"/>
          <w:lang w:val="en-US"/>
        </w:rPr>
        <w:t xml:space="preserve">25 April 2017), </w:t>
      </w:r>
      <w:hyperlink r:id="rId10" w:history="1">
        <w:r w:rsidRPr="00070AD6">
          <w:rPr>
            <w:rStyle w:val="Hyperlink"/>
            <w:color w:val="auto"/>
            <w:sz w:val="21"/>
            <w:szCs w:val="21"/>
            <w:u w:val="none"/>
            <w:shd w:val="clear" w:color="auto" w:fill="FFFFFF"/>
            <w:lang w:val="en-US"/>
          </w:rPr>
          <w:t>https://www.sra.org.uk/sra/consultations/solicitors-qualifying-examination.page</w:t>
        </w:r>
      </w:hyperlink>
      <w:r w:rsidRPr="00070AD6">
        <w:rPr>
          <w:sz w:val="21"/>
          <w:szCs w:val="21"/>
          <w:shd w:val="clear" w:color="auto" w:fill="FFFFFF"/>
          <w:lang w:val="en-US"/>
        </w:rPr>
        <w:t xml:space="preserve">; SRA, </w:t>
      </w:r>
      <w:r w:rsidRPr="00070AD6">
        <w:rPr>
          <w:i/>
          <w:spacing w:val="-7"/>
          <w:sz w:val="21"/>
          <w:szCs w:val="21"/>
          <w:lang w:val="en-US"/>
        </w:rPr>
        <w:t xml:space="preserve">A </w:t>
      </w:r>
      <w:r>
        <w:rPr>
          <w:i/>
          <w:spacing w:val="-7"/>
          <w:sz w:val="21"/>
          <w:szCs w:val="21"/>
          <w:lang w:val="en-US"/>
        </w:rPr>
        <w:t>N</w:t>
      </w:r>
      <w:r w:rsidRPr="00070AD6">
        <w:rPr>
          <w:i/>
          <w:spacing w:val="-7"/>
          <w:sz w:val="21"/>
          <w:szCs w:val="21"/>
          <w:lang w:val="en-US"/>
        </w:rPr>
        <w:t xml:space="preserve">ew </w:t>
      </w:r>
      <w:r>
        <w:rPr>
          <w:i/>
          <w:spacing w:val="-7"/>
          <w:sz w:val="21"/>
          <w:szCs w:val="21"/>
          <w:lang w:val="en-US"/>
        </w:rPr>
        <w:t>R</w:t>
      </w:r>
      <w:r w:rsidRPr="00070AD6">
        <w:rPr>
          <w:i/>
          <w:spacing w:val="-7"/>
          <w:sz w:val="21"/>
          <w:szCs w:val="21"/>
          <w:lang w:val="en-US"/>
        </w:rPr>
        <w:t xml:space="preserve">oute to </w:t>
      </w:r>
      <w:r>
        <w:rPr>
          <w:i/>
          <w:spacing w:val="-7"/>
          <w:sz w:val="21"/>
          <w:szCs w:val="21"/>
          <w:lang w:val="en-US"/>
        </w:rPr>
        <w:t>Q</w:t>
      </w:r>
      <w:r w:rsidRPr="00070AD6">
        <w:rPr>
          <w:i/>
          <w:spacing w:val="-7"/>
          <w:sz w:val="21"/>
          <w:szCs w:val="21"/>
          <w:lang w:val="en-US"/>
        </w:rPr>
        <w:t xml:space="preserve">ualification: New </w:t>
      </w:r>
      <w:r>
        <w:rPr>
          <w:i/>
          <w:spacing w:val="-7"/>
          <w:sz w:val="21"/>
          <w:szCs w:val="21"/>
          <w:lang w:val="en-US"/>
        </w:rPr>
        <w:t>R</w:t>
      </w:r>
      <w:r w:rsidRPr="00070AD6">
        <w:rPr>
          <w:i/>
          <w:spacing w:val="-7"/>
          <w:sz w:val="21"/>
          <w:szCs w:val="21"/>
          <w:lang w:val="en-US"/>
        </w:rPr>
        <w:t>egulations, Consultation Paper</w:t>
      </w:r>
      <w:r w:rsidRPr="00070AD6">
        <w:rPr>
          <w:spacing w:val="-7"/>
          <w:sz w:val="21"/>
          <w:szCs w:val="21"/>
          <w:lang w:val="en-US"/>
        </w:rPr>
        <w:t xml:space="preserve"> (</w:t>
      </w:r>
      <w:r w:rsidRPr="00070AD6">
        <w:rPr>
          <w:sz w:val="21"/>
          <w:szCs w:val="21"/>
          <w:shd w:val="clear" w:color="auto" w:fill="FFFFFF"/>
          <w:lang w:val="en-US"/>
        </w:rPr>
        <w:t>15 November 2017), https://www.sra.org.uk/sra/consultations/new-regulations.page.</w:t>
      </w:r>
    </w:p>
    <w:p w:rsidR="00677175" w:rsidRPr="00070AD6" w:rsidRDefault="00677175" w:rsidP="00070AD6">
      <w:pPr>
        <w:autoSpaceDE w:val="0"/>
        <w:autoSpaceDN w:val="0"/>
        <w:adjustRightInd w:val="0"/>
        <w:jc w:val="both"/>
        <w:rPr>
          <w:rFonts w:eastAsiaTheme="minorHAnsi"/>
          <w:sz w:val="21"/>
          <w:szCs w:val="21"/>
          <w:lang w:val="en-US" w:eastAsia="en-US"/>
        </w:rPr>
      </w:pPr>
      <w:r w:rsidRPr="00070AD6">
        <w:rPr>
          <w:rFonts w:eastAsiaTheme="minorHAnsi"/>
          <w:sz w:val="21"/>
          <w:szCs w:val="21"/>
          <w:lang w:val="en-US" w:eastAsia="en-US"/>
        </w:rPr>
        <w:t xml:space="preserve">For comments on the SRA initiative, see R. </w:t>
      </w:r>
      <w:r w:rsidRPr="00070AD6">
        <w:rPr>
          <w:rFonts w:eastAsiaTheme="minorHAnsi"/>
          <w:smallCaps/>
          <w:sz w:val="21"/>
          <w:szCs w:val="21"/>
          <w:lang w:val="en-US"/>
        </w:rPr>
        <w:t>Fletcher</w:t>
      </w:r>
      <w:r w:rsidRPr="00070AD6">
        <w:rPr>
          <w:rFonts w:eastAsiaTheme="minorHAnsi"/>
          <w:sz w:val="21"/>
          <w:szCs w:val="21"/>
          <w:lang w:val="en-US" w:eastAsia="en-US"/>
        </w:rPr>
        <w:t xml:space="preserve">, ‘Legal education and proposed regulation of the legal profession in England and Wales: a transformation or a tragedy?’, in 50. </w:t>
      </w:r>
      <w:r w:rsidRPr="00070AD6">
        <w:rPr>
          <w:rFonts w:eastAsiaTheme="minorHAnsi"/>
          <w:i/>
          <w:sz w:val="21"/>
          <w:szCs w:val="21"/>
          <w:lang w:val="en-US" w:eastAsia="en-US"/>
        </w:rPr>
        <w:t>The Law Teacher</w:t>
      </w:r>
      <w:r w:rsidRPr="00070AD6">
        <w:rPr>
          <w:rFonts w:eastAsiaTheme="minorHAnsi"/>
          <w:sz w:val="21"/>
          <w:szCs w:val="21"/>
          <w:lang w:val="en-US" w:eastAsia="en-US"/>
        </w:rPr>
        <w:t xml:space="preserve"> 2016, p 371; E. </w:t>
      </w:r>
      <w:r w:rsidRPr="00070AD6">
        <w:rPr>
          <w:rFonts w:eastAsiaTheme="minorHAnsi"/>
          <w:smallCaps/>
          <w:sz w:val="21"/>
          <w:szCs w:val="21"/>
          <w:lang w:val="en-US"/>
        </w:rPr>
        <w:t>Hall</w:t>
      </w:r>
      <w:r>
        <w:rPr>
          <w:rFonts w:eastAsiaTheme="minorHAnsi"/>
          <w:smallCaps/>
          <w:sz w:val="21"/>
          <w:szCs w:val="21"/>
          <w:lang w:val="en-US"/>
        </w:rPr>
        <w:t>,</w:t>
      </w:r>
      <w:r w:rsidRPr="00070AD6">
        <w:rPr>
          <w:rFonts w:eastAsiaTheme="minorHAnsi"/>
          <w:sz w:val="21"/>
          <w:szCs w:val="21"/>
          <w:lang w:val="en-US" w:eastAsia="en-US"/>
        </w:rPr>
        <w:t xml:space="preserve"> ‘Notes on the SRA report of the consultation on the Solicitors Qualifying Exam: “Comment is free, but facts are sacred”</w:t>
      </w:r>
      <w:r w:rsidRPr="00240257">
        <w:rPr>
          <w:rFonts w:eastAsiaTheme="minorHAnsi"/>
          <w:sz w:val="4"/>
          <w:szCs w:val="4"/>
          <w:lang w:val="en-US" w:eastAsia="en-US"/>
        </w:rPr>
        <w:t xml:space="preserve"> </w:t>
      </w:r>
      <w:r w:rsidRPr="00070AD6">
        <w:rPr>
          <w:rFonts w:eastAsiaTheme="minorHAnsi"/>
          <w:sz w:val="21"/>
          <w:szCs w:val="21"/>
          <w:lang w:val="en-US" w:eastAsia="en-US"/>
        </w:rPr>
        <w:t xml:space="preserve">’, in 51. </w:t>
      </w:r>
      <w:r w:rsidRPr="00070AD6">
        <w:rPr>
          <w:rFonts w:eastAsiaTheme="minorHAnsi"/>
          <w:i/>
          <w:sz w:val="21"/>
          <w:szCs w:val="21"/>
          <w:lang w:val="en-US" w:eastAsia="en-US"/>
        </w:rPr>
        <w:t>The Law Teacher</w:t>
      </w:r>
      <w:r w:rsidRPr="00070AD6">
        <w:rPr>
          <w:rFonts w:eastAsiaTheme="minorHAnsi"/>
          <w:sz w:val="21"/>
          <w:szCs w:val="21"/>
          <w:lang w:val="en-US" w:eastAsia="en-US"/>
        </w:rPr>
        <w:t xml:space="preserve"> 2017, p 364; E. </w:t>
      </w:r>
      <w:r w:rsidRPr="00070AD6">
        <w:rPr>
          <w:rFonts w:eastAsiaTheme="minorHAnsi"/>
          <w:smallCaps/>
          <w:sz w:val="21"/>
          <w:szCs w:val="21"/>
          <w:lang w:val="en-US"/>
        </w:rPr>
        <w:t>Fry</w:t>
      </w:r>
      <w:r w:rsidRPr="00070AD6">
        <w:rPr>
          <w:rFonts w:eastAsiaTheme="minorHAnsi"/>
          <w:sz w:val="21"/>
          <w:szCs w:val="21"/>
          <w:lang w:val="en-US" w:eastAsia="en-US"/>
        </w:rPr>
        <w:t xml:space="preserve"> </w:t>
      </w:r>
      <w:r w:rsidR="001D1E1E">
        <w:rPr>
          <w:rFonts w:eastAsiaTheme="minorHAnsi"/>
          <w:sz w:val="21"/>
          <w:szCs w:val="21"/>
          <w:lang w:val="en-US" w:eastAsia="en-US"/>
        </w:rPr>
        <w:t>&amp;</w:t>
      </w:r>
      <w:r w:rsidR="001D1E1E" w:rsidRPr="00070AD6">
        <w:rPr>
          <w:rFonts w:eastAsiaTheme="minorHAnsi"/>
          <w:sz w:val="21"/>
          <w:szCs w:val="21"/>
          <w:lang w:val="en-US" w:eastAsia="en-US"/>
        </w:rPr>
        <w:t xml:space="preserve"> </w:t>
      </w:r>
      <w:r w:rsidRPr="00070AD6">
        <w:rPr>
          <w:rFonts w:eastAsiaTheme="minorHAnsi"/>
          <w:sz w:val="21"/>
          <w:szCs w:val="21"/>
          <w:lang w:val="en-US" w:eastAsia="en-US"/>
        </w:rPr>
        <w:t xml:space="preserve">R. </w:t>
      </w:r>
      <w:r w:rsidRPr="00070AD6">
        <w:rPr>
          <w:rFonts w:eastAsiaTheme="minorHAnsi"/>
          <w:smallCaps/>
          <w:sz w:val="21"/>
          <w:szCs w:val="21"/>
          <w:lang w:val="en-US"/>
        </w:rPr>
        <w:t>Wakeford</w:t>
      </w:r>
      <w:r w:rsidRPr="00070AD6">
        <w:rPr>
          <w:rFonts w:eastAsiaTheme="minorHAnsi"/>
          <w:sz w:val="21"/>
          <w:szCs w:val="21"/>
          <w:lang w:val="en-US" w:eastAsia="en-US"/>
        </w:rPr>
        <w:t xml:space="preserve">, ‘Can we really have confidence in a centralised Solicitors Qualifying Exam? The example of the Qualified Lawyers Transfer Scheme’, in 51. </w:t>
      </w:r>
      <w:r w:rsidRPr="00070AD6">
        <w:rPr>
          <w:rFonts w:eastAsiaTheme="minorHAnsi"/>
          <w:i/>
          <w:sz w:val="21"/>
          <w:szCs w:val="21"/>
          <w:lang w:val="en-US" w:eastAsia="en-US"/>
        </w:rPr>
        <w:t>The Law Teacher</w:t>
      </w:r>
      <w:r w:rsidRPr="00070AD6">
        <w:rPr>
          <w:rFonts w:eastAsiaTheme="minorHAnsi"/>
          <w:sz w:val="21"/>
          <w:szCs w:val="21"/>
          <w:lang w:val="en-US" w:eastAsia="en-US"/>
        </w:rPr>
        <w:t xml:space="preserve"> 2017, p 98</w:t>
      </w:r>
      <w:r>
        <w:rPr>
          <w:rFonts w:eastAsiaTheme="minorHAnsi"/>
          <w:sz w:val="21"/>
          <w:szCs w:val="21"/>
          <w:lang w:val="en-US" w:eastAsia="en-US"/>
        </w:rPr>
        <w:t>;</w:t>
      </w:r>
      <w:r w:rsidRPr="00070AD6">
        <w:rPr>
          <w:rFonts w:eastAsiaTheme="minorHAnsi"/>
          <w:sz w:val="21"/>
          <w:szCs w:val="21"/>
          <w:lang w:val="en-US" w:eastAsia="en-US"/>
        </w:rPr>
        <w:t xml:space="preserve"> C. </w:t>
      </w:r>
      <w:r w:rsidRPr="00070AD6">
        <w:rPr>
          <w:rFonts w:eastAsiaTheme="minorHAnsi"/>
          <w:smallCaps/>
          <w:sz w:val="21"/>
          <w:szCs w:val="21"/>
          <w:lang w:val="en-US"/>
        </w:rPr>
        <w:t>James</w:t>
      </w:r>
      <w:r w:rsidRPr="00070AD6">
        <w:rPr>
          <w:rFonts w:eastAsiaTheme="minorHAnsi"/>
          <w:sz w:val="21"/>
          <w:szCs w:val="21"/>
          <w:lang w:val="en-US" w:eastAsia="en-US"/>
        </w:rPr>
        <w:t xml:space="preserve"> </w:t>
      </w:r>
      <w:r w:rsidR="001D1E1E">
        <w:rPr>
          <w:rFonts w:eastAsiaTheme="minorHAnsi"/>
          <w:sz w:val="21"/>
          <w:szCs w:val="21"/>
          <w:lang w:val="en-US" w:eastAsia="en-US"/>
        </w:rPr>
        <w:t>&amp;</w:t>
      </w:r>
      <w:r w:rsidR="001D1E1E" w:rsidRPr="00070AD6">
        <w:rPr>
          <w:rFonts w:eastAsiaTheme="minorHAnsi"/>
          <w:sz w:val="21"/>
          <w:szCs w:val="21"/>
          <w:lang w:val="en-US" w:eastAsia="en-US"/>
        </w:rPr>
        <w:t xml:space="preserve"> </w:t>
      </w:r>
      <w:r w:rsidRPr="00070AD6">
        <w:rPr>
          <w:rFonts w:eastAsiaTheme="minorHAnsi"/>
          <w:sz w:val="21"/>
          <w:szCs w:val="21"/>
          <w:lang w:val="en-US" w:eastAsia="en-US"/>
        </w:rPr>
        <w:t xml:space="preserve">J. </w:t>
      </w:r>
      <w:r w:rsidRPr="00070AD6">
        <w:rPr>
          <w:rFonts w:eastAsiaTheme="minorHAnsi"/>
          <w:smallCaps/>
          <w:sz w:val="21"/>
          <w:szCs w:val="21"/>
          <w:lang w:val="en-US"/>
        </w:rPr>
        <w:t>Koo</w:t>
      </w:r>
      <w:r w:rsidRPr="00070AD6">
        <w:rPr>
          <w:rFonts w:eastAsiaTheme="minorHAnsi"/>
          <w:sz w:val="21"/>
          <w:szCs w:val="21"/>
          <w:lang w:val="en-US" w:eastAsia="en-US"/>
        </w:rPr>
        <w:t xml:space="preserve">, ‘The EU law “core” module: surviving the perfect storm of Brexit and the SQE’, in 52. </w:t>
      </w:r>
      <w:r w:rsidRPr="00070AD6">
        <w:rPr>
          <w:rFonts w:eastAsiaTheme="minorHAnsi"/>
          <w:i/>
          <w:sz w:val="21"/>
          <w:szCs w:val="21"/>
          <w:lang w:val="en-US" w:eastAsia="en-US"/>
        </w:rPr>
        <w:t>The Law Teacher</w:t>
      </w:r>
      <w:r w:rsidRPr="00070AD6">
        <w:rPr>
          <w:rFonts w:eastAsiaTheme="minorHAnsi"/>
          <w:sz w:val="21"/>
          <w:szCs w:val="21"/>
          <w:lang w:val="en-US" w:eastAsia="en-US"/>
        </w:rPr>
        <w:t xml:space="preserve"> 2018, p 68; J. </w:t>
      </w:r>
      <w:r w:rsidRPr="00070AD6">
        <w:rPr>
          <w:rFonts w:eastAsiaTheme="minorHAnsi"/>
          <w:smallCaps/>
          <w:sz w:val="21"/>
          <w:szCs w:val="21"/>
          <w:lang w:val="en-US"/>
        </w:rPr>
        <w:t>Gibbons</w:t>
      </w:r>
      <w:r w:rsidRPr="00070AD6">
        <w:rPr>
          <w:rFonts w:eastAsiaTheme="minorHAnsi"/>
          <w:sz w:val="21"/>
          <w:szCs w:val="21"/>
          <w:lang w:val="en-US" w:eastAsia="en-US"/>
        </w:rPr>
        <w:t xml:space="preserve">, ‘Policy recontextualisation: the proposed introduction of a multiple-choice test for the entry-level assessment of the legal knowledge of prospective solicitors in England and Wales, and the potential effect on university-level legal education’, in 24 </w:t>
      </w:r>
      <w:r w:rsidRPr="00070AD6">
        <w:rPr>
          <w:rFonts w:eastAsiaTheme="minorHAnsi"/>
          <w:i/>
          <w:sz w:val="21"/>
          <w:szCs w:val="21"/>
          <w:lang w:val="en-US" w:eastAsia="en-US"/>
        </w:rPr>
        <w:t>International Journal of the Legal Profession</w:t>
      </w:r>
      <w:r w:rsidRPr="00070AD6">
        <w:rPr>
          <w:rFonts w:eastAsiaTheme="minorHAnsi"/>
          <w:sz w:val="21"/>
          <w:szCs w:val="21"/>
          <w:lang w:val="en-US" w:eastAsia="en-US"/>
        </w:rPr>
        <w:t xml:space="preserve"> 2017, p 227; M. </w:t>
      </w:r>
      <w:r w:rsidRPr="00070AD6">
        <w:rPr>
          <w:rFonts w:eastAsiaTheme="minorHAnsi"/>
          <w:smallCaps/>
          <w:sz w:val="21"/>
          <w:szCs w:val="21"/>
          <w:lang w:val="en-US"/>
        </w:rPr>
        <w:t>Davies</w:t>
      </w:r>
      <w:r w:rsidRPr="00070AD6">
        <w:rPr>
          <w:rFonts w:eastAsiaTheme="minorHAnsi"/>
          <w:sz w:val="21"/>
          <w:szCs w:val="21"/>
          <w:lang w:val="en-US" w:eastAsia="en-US"/>
        </w:rPr>
        <w:t xml:space="preserve">, ‘Changes to the training of English and Welsh lawyers: implications for the future of university law schools’ in 52. </w:t>
      </w:r>
      <w:r w:rsidRPr="00070AD6">
        <w:rPr>
          <w:rFonts w:eastAsiaTheme="minorHAnsi"/>
          <w:i/>
          <w:sz w:val="21"/>
          <w:szCs w:val="21"/>
          <w:lang w:val="en-US" w:eastAsia="en-US"/>
        </w:rPr>
        <w:t>The Law Teacher</w:t>
      </w:r>
      <w:r w:rsidRPr="00070AD6">
        <w:rPr>
          <w:rFonts w:eastAsiaTheme="minorHAnsi"/>
          <w:sz w:val="21"/>
          <w:szCs w:val="21"/>
          <w:lang w:val="en-US" w:eastAsia="en-US"/>
        </w:rPr>
        <w:t xml:space="preserve"> 2018, p 100</w:t>
      </w:r>
      <w:r w:rsidR="00385A5D">
        <w:rPr>
          <w:rFonts w:eastAsiaTheme="minorHAnsi"/>
          <w:sz w:val="21"/>
          <w:szCs w:val="21"/>
          <w:lang w:val="en-US" w:eastAsia="en-US"/>
        </w:rPr>
        <w:t>.</w:t>
      </w:r>
    </w:p>
  </w:footnote>
  <w:footnote w:id="34">
    <w:p w:rsidR="00677175" w:rsidRPr="00070AD6" w:rsidRDefault="00677175" w:rsidP="00070AD6">
      <w:pPr>
        <w:autoSpaceDE w:val="0"/>
        <w:autoSpaceDN w:val="0"/>
        <w:adjustRightInd w:val="0"/>
        <w:jc w:val="both"/>
        <w:rPr>
          <w:rFonts w:eastAsiaTheme="minorHAnsi"/>
          <w:color w:val="000000"/>
          <w:sz w:val="21"/>
          <w:szCs w:val="21"/>
          <w:lang w:val="en-US" w:eastAsia="en-US"/>
        </w:rPr>
      </w:pPr>
      <w:r w:rsidRPr="00070AD6">
        <w:rPr>
          <w:rStyle w:val="FootnoteReference"/>
          <w:sz w:val="21"/>
          <w:szCs w:val="21"/>
        </w:rPr>
        <w:footnoteRef/>
      </w:r>
      <w:r w:rsidRPr="00070AD6">
        <w:rPr>
          <w:sz w:val="21"/>
          <w:szCs w:val="21"/>
          <w:lang w:val="en-US"/>
        </w:rPr>
        <w:t xml:space="preserve"> </w:t>
      </w:r>
      <w:r w:rsidR="00385A5D">
        <w:rPr>
          <w:sz w:val="21"/>
          <w:szCs w:val="21"/>
          <w:lang w:val="en-US"/>
        </w:rPr>
        <w:t>‘</w:t>
      </w:r>
      <w:r w:rsidRPr="00240257">
        <w:rPr>
          <w:rFonts w:eastAsiaTheme="minorHAnsi"/>
          <w:sz w:val="21"/>
          <w:szCs w:val="21"/>
          <w:lang w:val="en-US" w:eastAsia="en-US"/>
        </w:rPr>
        <w:t xml:space="preserve">With regard to the demise of QLDs and GDLs, for law schools which choose to continue to offer degree courses or similar which prepare students for the </w:t>
      </w:r>
      <w:r w:rsidRPr="00240257">
        <w:rPr>
          <w:rFonts w:eastAsiaTheme="minorHAnsi"/>
          <w:color w:val="000000"/>
          <w:sz w:val="21"/>
          <w:szCs w:val="21"/>
          <w:lang w:val="en-US" w:eastAsia="en-US"/>
        </w:rPr>
        <w:t>SQE, this will be the first time for most that they have faced an externally devised syllabus and externally set and marked assessments with regard to this aspect of their activity. For those institutions which choose to opt out</w:t>
      </w:r>
      <w:r w:rsidRPr="00240257">
        <w:rPr>
          <w:rFonts w:eastAsiaTheme="minorHAnsi"/>
          <w:color w:val="000080"/>
          <w:sz w:val="21"/>
          <w:szCs w:val="21"/>
          <w:lang w:val="en-US" w:eastAsia="en-US"/>
        </w:rPr>
        <w:t xml:space="preserve"> </w:t>
      </w:r>
      <w:r w:rsidRPr="00240257">
        <w:rPr>
          <w:rFonts w:eastAsiaTheme="minorHAnsi"/>
          <w:color w:val="000000"/>
          <w:sz w:val="21"/>
          <w:szCs w:val="21"/>
          <w:lang w:val="en-US" w:eastAsia="en-US"/>
        </w:rPr>
        <w:t>and, perhaps, use the introduction of the SQE as an opportunity to move their law degrees away from their current professional accreditation focus, this will be the first time in decades that they have faced a significant market test to determine how many students will choose to study law without a professional accreditation attractor</w:t>
      </w:r>
      <w:r w:rsidR="00385A5D">
        <w:rPr>
          <w:rFonts w:eastAsiaTheme="minorHAnsi"/>
          <w:color w:val="000000"/>
          <w:sz w:val="21"/>
          <w:szCs w:val="21"/>
          <w:lang w:val="en-US" w:eastAsia="en-US"/>
        </w:rPr>
        <w:t>’</w:t>
      </w:r>
      <w:r w:rsidR="00385A5D" w:rsidRPr="00070AD6">
        <w:rPr>
          <w:rFonts w:eastAsiaTheme="minorHAnsi"/>
          <w:color w:val="000000"/>
          <w:sz w:val="21"/>
          <w:szCs w:val="21"/>
          <w:lang w:val="en-US" w:eastAsia="en-US"/>
        </w:rPr>
        <w:t xml:space="preserve">: </w:t>
      </w:r>
      <w:r w:rsidRPr="00070AD6">
        <w:rPr>
          <w:rFonts w:eastAsiaTheme="minorHAnsi"/>
          <w:sz w:val="21"/>
          <w:szCs w:val="21"/>
          <w:lang w:val="en-US" w:eastAsia="en-US"/>
        </w:rPr>
        <w:t xml:space="preserve">M. </w:t>
      </w:r>
      <w:r w:rsidRPr="00070AD6">
        <w:rPr>
          <w:rFonts w:eastAsiaTheme="minorHAnsi"/>
          <w:smallCaps/>
          <w:color w:val="000000" w:themeColor="text1"/>
          <w:sz w:val="21"/>
          <w:szCs w:val="21"/>
          <w:lang w:val="en-US"/>
        </w:rPr>
        <w:t>Davies</w:t>
      </w:r>
      <w:r w:rsidRPr="00070AD6">
        <w:rPr>
          <w:rFonts w:eastAsiaTheme="minorHAnsi"/>
          <w:sz w:val="21"/>
          <w:szCs w:val="21"/>
          <w:lang w:val="en-US" w:eastAsia="en-US"/>
        </w:rPr>
        <w:t>, ‘Changes to the training of English and Welsh lawyers: implications for the future of university law schools’, cit., p (100) at 101.</w:t>
      </w:r>
    </w:p>
  </w:footnote>
  <w:footnote w:id="35">
    <w:p w:rsidR="00677175" w:rsidRPr="00070AD6" w:rsidRDefault="00677175" w:rsidP="00070AD6">
      <w:pPr>
        <w:pStyle w:val="Heading1"/>
        <w:spacing w:before="0" w:beforeAutospacing="0" w:after="0" w:afterAutospacing="0"/>
        <w:jc w:val="both"/>
        <w:textAlignment w:val="baseline"/>
        <w:rPr>
          <w:color w:val="58595B"/>
          <w:sz w:val="21"/>
          <w:szCs w:val="21"/>
          <w:lang w:val="en-US"/>
        </w:rPr>
      </w:pPr>
      <w:r w:rsidRPr="00070AD6">
        <w:rPr>
          <w:rStyle w:val="FootnoteReference"/>
          <w:b w:val="0"/>
          <w:sz w:val="21"/>
          <w:szCs w:val="21"/>
        </w:rPr>
        <w:footnoteRef/>
      </w:r>
      <w:r w:rsidRPr="00070AD6">
        <w:rPr>
          <w:b w:val="0"/>
          <w:sz w:val="21"/>
          <w:szCs w:val="21"/>
          <w:lang w:val="en-US"/>
        </w:rPr>
        <w:t xml:space="preserve"> </w:t>
      </w:r>
      <w:r w:rsidRPr="00070AD6">
        <w:rPr>
          <w:b w:val="0"/>
          <w:color w:val="000000" w:themeColor="text1"/>
          <w:sz w:val="21"/>
          <w:szCs w:val="21"/>
          <w:lang w:val="en-US"/>
        </w:rPr>
        <w:t>Even if the law degree maintain</w:t>
      </w:r>
      <w:r w:rsidR="00385A5D">
        <w:rPr>
          <w:b w:val="0"/>
          <w:color w:val="000000" w:themeColor="text1"/>
          <w:sz w:val="21"/>
          <w:szCs w:val="21"/>
          <w:lang w:val="en-US"/>
        </w:rPr>
        <w:t>s</w:t>
      </w:r>
      <w:r w:rsidRPr="00070AD6">
        <w:rPr>
          <w:b w:val="0"/>
          <w:color w:val="000000" w:themeColor="text1"/>
          <w:sz w:val="21"/>
          <w:szCs w:val="21"/>
          <w:lang w:val="en-US"/>
        </w:rPr>
        <w:t xml:space="preserve"> its validity with reference to the pathway to qualify as a barrister in England and Wales, it is well know</w:t>
      </w:r>
      <w:r w:rsidR="00385A5D">
        <w:rPr>
          <w:b w:val="0"/>
          <w:color w:val="000000" w:themeColor="text1"/>
          <w:sz w:val="21"/>
          <w:szCs w:val="21"/>
          <w:lang w:val="en-US"/>
        </w:rPr>
        <w:t>n</w:t>
      </w:r>
      <w:r w:rsidRPr="00070AD6">
        <w:rPr>
          <w:b w:val="0"/>
          <w:color w:val="000000" w:themeColor="text1"/>
          <w:sz w:val="21"/>
          <w:szCs w:val="21"/>
          <w:lang w:val="en-US"/>
        </w:rPr>
        <w:t xml:space="preserve"> that the percentage of graduates who become barristers is very l</w:t>
      </w:r>
      <w:r w:rsidR="00385A5D">
        <w:rPr>
          <w:b w:val="0"/>
          <w:color w:val="000000" w:themeColor="text1"/>
          <w:sz w:val="21"/>
          <w:szCs w:val="21"/>
          <w:lang w:val="en-US"/>
        </w:rPr>
        <w:t>o</w:t>
      </w:r>
      <w:r w:rsidRPr="00070AD6">
        <w:rPr>
          <w:b w:val="0"/>
          <w:color w:val="000000" w:themeColor="text1"/>
          <w:sz w:val="21"/>
          <w:szCs w:val="21"/>
          <w:lang w:val="en-US"/>
        </w:rPr>
        <w:t xml:space="preserve">w compared to the percentage of the students who </w:t>
      </w:r>
      <w:r w:rsidR="00385A5D" w:rsidRPr="00070AD6">
        <w:rPr>
          <w:b w:val="0"/>
          <w:color w:val="000000" w:themeColor="text1"/>
          <w:sz w:val="21"/>
          <w:szCs w:val="21"/>
          <w:lang w:val="en-US"/>
        </w:rPr>
        <w:t>qualif</w:t>
      </w:r>
      <w:r w:rsidR="00385A5D">
        <w:rPr>
          <w:b w:val="0"/>
          <w:color w:val="000000" w:themeColor="text1"/>
          <w:sz w:val="21"/>
          <w:szCs w:val="21"/>
          <w:lang w:val="en-US"/>
        </w:rPr>
        <w:t>y</w:t>
      </w:r>
      <w:r w:rsidR="00385A5D" w:rsidRPr="00070AD6">
        <w:rPr>
          <w:b w:val="0"/>
          <w:color w:val="000000" w:themeColor="text1"/>
          <w:sz w:val="21"/>
          <w:szCs w:val="21"/>
          <w:lang w:val="en-US"/>
        </w:rPr>
        <w:t xml:space="preserve"> </w:t>
      </w:r>
      <w:r w:rsidRPr="00070AD6">
        <w:rPr>
          <w:b w:val="0"/>
          <w:color w:val="000000" w:themeColor="text1"/>
          <w:sz w:val="21"/>
          <w:szCs w:val="21"/>
          <w:lang w:val="en-US"/>
        </w:rPr>
        <w:t>as solicitors. In 2017</w:t>
      </w:r>
      <w:r w:rsidR="00385A5D">
        <w:rPr>
          <w:b w:val="0"/>
          <w:color w:val="000000" w:themeColor="text1"/>
          <w:sz w:val="21"/>
          <w:szCs w:val="21"/>
          <w:lang w:val="en-US"/>
        </w:rPr>
        <w:t>,</w:t>
      </w:r>
      <w:r w:rsidRPr="00070AD6">
        <w:rPr>
          <w:b w:val="0"/>
          <w:color w:val="000000" w:themeColor="text1"/>
          <w:sz w:val="21"/>
          <w:szCs w:val="21"/>
          <w:lang w:val="en-US"/>
        </w:rPr>
        <w:t xml:space="preserve"> the total barristers in practice were 16</w:t>
      </w:r>
      <w:r w:rsidR="00385A5D">
        <w:rPr>
          <w:b w:val="0"/>
          <w:color w:val="000000" w:themeColor="text1"/>
          <w:sz w:val="21"/>
          <w:szCs w:val="21"/>
          <w:lang w:val="en-US"/>
        </w:rPr>
        <w:t>,</w:t>
      </w:r>
      <w:r w:rsidRPr="00070AD6">
        <w:rPr>
          <w:b w:val="0"/>
          <w:color w:val="000000" w:themeColor="text1"/>
          <w:sz w:val="21"/>
          <w:szCs w:val="21"/>
          <w:lang w:val="en-US"/>
        </w:rPr>
        <w:t xml:space="preserve">435 (See Bar Standards Board, Practising barrister statistics, </w:t>
      </w:r>
      <w:hyperlink r:id="rId11" w:history="1">
        <w:r w:rsidRPr="00070AD6">
          <w:rPr>
            <w:rStyle w:val="Hyperlink"/>
            <w:b w:val="0"/>
            <w:color w:val="000000" w:themeColor="text1"/>
            <w:sz w:val="21"/>
            <w:szCs w:val="21"/>
            <w:lang w:val="en-US"/>
          </w:rPr>
          <w:t>https://www.barstandardsboard.org.uk/media-centre/research-and-statistics/statistics/practising-barrister-statistics/</w:t>
        </w:r>
      </w:hyperlink>
      <w:r w:rsidRPr="00070AD6">
        <w:rPr>
          <w:b w:val="0"/>
          <w:color w:val="000000" w:themeColor="text1"/>
          <w:sz w:val="21"/>
          <w:szCs w:val="21"/>
          <w:lang w:val="en-US"/>
        </w:rPr>
        <w:t xml:space="preserve">); while </w:t>
      </w:r>
      <w:r w:rsidR="00385A5D">
        <w:rPr>
          <w:b w:val="0"/>
          <w:color w:val="000000" w:themeColor="text1"/>
          <w:sz w:val="21"/>
          <w:szCs w:val="21"/>
          <w:lang w:val="en-US"/>
        </w:rPr>
        <w:t>‘</w:t>
      </w:r>
      <w:r w:rsidRPr="00240257">
        <w:rPr>
          <w:b w:val="0"/>
          <w:color w:val="000000" w:themeColor="text1"/>
          <w:sz w:val="21"/>
          <w:szCs w:val="21"/>
          <w:lang w:val="en-US"/>
        </w:rPr>
        <w:t>a</w:t>
      </w:r>
      <w:r w:rsidRPr="00240257">
        <w:rPr>
          <w:b w:val="0"/>
          <w:color w:val="000000" w:themeColor="text1"/>
          <w:sz w:val="21"/>
          <w:szCs w:val="21"/>
          <w:shd w:val="clear" w:color="auto" w:fill="FFFFFF"/>
          <w:lang w:val="en-US"/>
        </w:rPr>
        <w:t>t 31 July 2017, there were 139,624 solicitors with practising certificates (PC) and 181,968 individuals in total on the roll of solicitors</w:t>
      </w:r>
      <w:r w:rsidR="00385A5D">
        <w:rPr>
          <w:b w:val="0"/>
          <w:color w:val="000000" w:themeColor="text1"/>
          <w:sz w:val="21"/>
          <w:szCs w:val="21"/>
          <w:shd w:val="clear" w:color="auto" w:fill="FFFFFF"/>
          <w:lang w:val="en-US"/>
        </w:rPr>
        <w:t>’</w:t>
      </w:r>
      <w:r w:rsidRPr="00070AD6">
        <w:rPr>
          <w:b w:val="0"/>
          <w:color w:val="000000" w:themeColor="text1"/>
          <w:sz w:val="21"/>
          <w:szCs w:val="21"/>
          <w:shd w:val="clear" w:color="auto" w:fill="FFFFFF"/>
          <w:lang w:val="en-US"/>
        </w:rPr>
        <w:t xml:space="preserve"> (see The Law Society, </w:t>
      </w:r>
      <w:r w:rsidRPr="00070AD6">
        <w:rPr>
          <w:b w:val="0"/>
          <w:bCs w:val="0"/>
          <w:i/>
          <w:color w:val="000000" w:themeColor="text1"/>
          <w:sz w:val="21"/>
          <w:szCs w:val="21"/>
          <w:lang w:val="en-US"/>
        </w:rPr>
        <w:t>Annual Statistics Report 2017</w:t>
      </w:r>
      <w:r w:rsidRPr="00070AD6">
        <w:rPr>
          <w:b w:val="0"/>
          <w:bCs w:val="0"/>
          <w:color w:val="000000" w:themeColor="text1"/>
          <w:sz w:val="21"/>
          <w:szCs w:val="21"/>
          <w:lang w:val="en-US"/>
        </w:rPr>
        <w:t xml:space="preserve">, </w:t>
      </w:r>
      <w:hyperlink r:id="rId12" w:history="1">
        <w:r w:rsidRPr="00070AD6">
          <w:rPr>
            <w:rStyle w:val="Hyperlink"/>
            <w:b w:val="0"/>
            <w:sz w:val="21"/>
            <w:szCs w:val="21"/>
            <w:shd w:val="clear" w:color="auto" w:fill="FFFFFF"/>
            <w:lang w:val="en-US"/>
          </w:rPr>
          <w:t>https://www.lawsociety.org.uk/support-services/research-trends/annual-statistics-report-2017/</w:t>
        </w:r>
      </w:hyperlink>
      <w:r w:rsidRPr="00070AD6">
        <w:rPr>
          <w:b w:val="0"/>
          <w:color w:val="1F1F1F"/>
          <w:sz w:val="21"/>
          <w:szCs w:val="21"/>
          <w:shd w:val="clear" w:color="auto" w:fill="FFFFFF"/>
          <w:lang w:val="en-US"/>
        </w:rPr>
        <w:t>).</w:t>
      </w:r>
      <w:r w:rsidRPr="00070AD6">
        <w:rPr>
          <w:rStyle w:val="apple-converted-space"/>
          <w:b w:val="0"/>
          <w:color w:val="1F1F1F"/>
          <w:sz w:val="21"/>
          <w:szCs w:val="21"/>
          <w:shd w:val="clear" w:color="auto" w:fill="FFFFFF"/>
          <w:lang w:val="en-US"/>
        </w:rPr>
        <w:t> </w:t>
      </w:r>
    </w:p>
  </w:footnote>
  <w:footnote w:id="36">
    <w:p w:rsidR="00677175" w:rsidRPr="00070AD6" w:rsidRDefault="00677175" w:rsidP="00A03668">
      <w:pPr>
        <w:pStyle w:val="FootnoteText"/>
        <w:rPr>
          <w:rFonts w:ascii="Times New Roman" w:hAnsi="Times New Roman" w:cs="Times New Roman"/>
          <w:sz w:val="21"/>
          <w:szCs w:val="21"/>
          <w:lang w:val="en-US"/>
        </w:rPr>
      </w:pPr>
      <w:r w:rsidRPr="00070AD6">
        <w:rPr>
          <w:rStyle w:val="FootnoteReference"/>
          <w:rFonts w:ascii="Times New Roman" w:hAnsi="Times New Roman" w:cs="Times New Roman"/>
          <w:sz w:val="21"/>
          <w:szCs w:val="21"/>
        </w:rPr>
        <w:footnoteRef/>
      </w:r>
      <w:r w:rsidRPr="00070AD6">
        <w:rPr>
          <w:rFonts w:ascii="Times New Roman" w:hAnsi="Times New Roman" w:cs="Times New Roman"/>
          <w:sz w:val="21"/>
          <w:szCs w:val="21"/>
          <w:lang w:val="en-US"/>
        </w:rPr>
        <w:t xml:space="preserve"> </w:t>
      </w:r>
      <w:r w:rsidRPr="00070AD6">
        <w:rPr>
          <w:rFonts w:ascii="Times New Roman" w:hAnsi="Times New Roman" w:cs="Times New Roman"/>
          <w:sz w:val="21"/>
          <w:szCs w:val="21"/>
          <w:lang w:val="en-GB"/>
        </w:rPr>
        <w:t xml:space="preserve">See M. </w:t>
      </w:r>
      <w:r w:rsidRPr="00070AD6">
        <w:rPr>
          <w:rFonts w:ascii="Times New Roman" w:hAnsi="Times New Roman" w:cs="Times New Roman"/>
          <w:smallCaps/>
          <w:color w:val="000000" w:themeColor="text1"/>
          <w:sz w:val="21"/>
          <w:szCs w:val="21"/>
          <w:lang w:val="en-US" w:eastAsia="it-IT"/>
        </w:rPr>
        <w:t>Cappelletti</w:t>
      </w:r>
      <w:r w:rsidR="00385A5D">
        <w:rPr>
          <w:rFonts w:ascii="Times New Roman" w:hAnsi="Times New Roman" w:cs="Times New Roman"/>
          <w:smallCaps/>
          <w:color w:val="000000" w:themeColor="text1"/>
          <w:sz w:val="21"/>
          <w:szCs w:val="21"/>
          <w:lang w:val="en-US" w:eastAsia="it-IT"/>
        </w:rPr>
        <w:t>,</w:t>
      </w:r>
      <w:r w:rsidRPr="00070AD6">
        <w:rPr>
          <w:rFonts w:ascii="Times New Roman" w:hAnsi="Times New Roman" w:cs="Times New Roman"/>
          <w:smallCaps/>
          <w:color w:val="000000" w:themeColor="text1"/>
          <w:sz w:val="21"/>
          <w:szCs w:val="21"/>
          <w:lang w:val="en-US" w:eastAsia="it-IT"/>
        </w:rPr>
        <w:t xml:space="preserve"> </w:t>
      </w:r>
      <w:r w:rsidRPr="00070AD6">
        <w:rPr>
          <w:rFonts w:ascii="Times New Roman" w:hAnsi="Times New Roman" w:cs="Times New Roman"/>
          <w:sz w:val="21"/>
          <w:szCs w:val="21"/>
          <w:lang w:val="en-GB"/>
        </w:rPr>
        <w:t xml:space="preserve">J. H. </w:t>
      </w:r>
      <w:r w:rsidRPr="00070AD6">
        <w:rPr>
          <w:rFonts w:ascii="Times New Roman" w:hAnsi="Times New Roman" w:cs="Times New Roman"/>
          <w:smallCaps/>
          <w:color w:val="000000" w:themeColor="text1"/>
          <w:sz w:val="21"/>
          <w:szCs w:val="21"/>
          <w:lang w:val="en-US" w:eastAsia="it-IT"/>
        </w:rPr>
        <w:t xml:space="preserve">Merryman </w:t>
      </w:r>
      <w:r w:rsidR="00385A5D">
        <w:rPr>
          <w:rFonts w:ascii="Times New Roman" w:hAnsi="Times New Roman" w:cs="Times New Roman"/>
          <w:sz w:val="21"/>
          <w:szCs w:val="21"/>
          <w:lang w:val="en-GB"/>
        </w:rPr>
        <w:t>&amp;</w:t>
      </w:r>
      <w:r w:rsidR="00385A5D" w:rsidRPr="00070AD6">
        <w:rPr>
          <w:rFonts w:ascii="Times New Roman" w:hAnsi="Times New Roman" w:cs="Times New Roman"/>
          <w:sz w:val="21"/>
          <w:szCs w:val="21"/>
          <w:lang w:val="en-GB"/>
        </w:rPr>
        <w:t xml:space="preserve"> </w:t>
      </w:r>
      <w:r w:rsidRPr="00070AD6">
        <w:rPr>
          <w:rFonts w:ascii="Times New Roman" w:hAnsi="Times New Roman" w:cs="Times New Roman"/>
          <w:sz w:val="21"/>
          <w:szCs w:val="21"/>
          <w:lang w:val="en-GB"/>
        </w:rPr>
        <w:t xml:space="preserve">J. M. </w:t>
      </w:r>
      <w:r w:rsidRPr="00070AD6">
        <w:rPr>
          <w:rFonts w:ascii="Times New Roman" w:hAnsi="Times New Roman" w:cs="Times New Roman"/>
          <w:smallCaps/>
          <w:color w:val="000000" w:themeColor="text1"/>
          <w:sz w:val="21"/>
          <w:szCs w:val="21"/>
          <w:lang w:val="en-US" w:eastAsia="it-IT"/>
        </w:rPr>
        <w:t>Perillo,</w:t>
      </w:r>
      <w:r w:rsidRPr="00070AD6">
        <w:rPr>
          <w:rFonts w:ascii="Times New Roman" w:hAnsi="Times New Roman" w:cs="Times New Roman"/>
          <w:sz w:val="21"/>
          <w:szCs w:val="21"/>
          <w:lang w:val="en-GB"/>
        </w:rPr>
        <w:t xml:space="preserve"> </w:t>
      </w:r>
      <w:r w:rsidRPr="00070AD6">
        <w:rPr>
          <w:rFonts w:ascii="Times New Roman" w:hAnsi="Times New Roman" w:cs="Times New Roman"/>
          <w:i/>
          <w:iCs/>
          <w:sz w:val="21"/>
          <w:szCs w:val="21"/>
          <w:lang w:val="en-GB"/>
        </w:rPr>
        <w:t xml:space="preserve">The Italian Legal System: </w:t>
      </w:r>
      <w:r w:rsidR="00385A5D">
        <w:rPr>
          <w:rFonts w:ascii="Times New Roman" w:hAnsi="Times New Roman" w:cs="Times New Roman"/>
          <w:i/>
          <w:iCs/>
          <w:sz w:val="21"/>
          <w:szCs w:val="21"/>
          <w:lang w:val="en-GB"/>
        </w:rPr>
        <w:t>A</w:t>
      </w:r>
      <w:r w:rsidR="00385A5D" w:rsidRPr="00070AD6">
        <w:rPr>
          <w:rFonts w:ascii="Times New Roman" w:hAnsi="Times New Roman" w:cs="Times New Roman"/>
          <w:i/>
          <w:iCs/>
          <w:sz w:val="21"/>
          <w:szCs w:val="21"/>
          <w:lang w:val="en-GB"/>
        </w:rPr>
        <w:t xml:space="preserve">n </w:t>
      </w:r>
      <w:r w:rsidRPr="00070AD6">
        <w:rPr>
          <w:rFonts w:ascii="Times New Roman" w:hAnsi="Times New Roman" w:cs="Times New Roman"/>
          <w:i/>
          <w:iCs/>
          <w:sz w:val="21"/>
          <w:szCs w:val="21"/>
          <w:lang w:val="en-GB"/>
        </w:rPr>
        <w:t>Introduction</w:t>
      </w:r>
      <w:r w:rsidRPr="00070AD6">
        <w:rPr>
          <w:rFonts w:ascii="Times New Roman" w:hAnsi="Times New Roman" w:cs="Times New Roman"/>
          <w:sz w:val="21"/>
          <w:szCs w:val="21"/>
          <w:lang w:val="en-GB"/>
        </w:rPr>
        <w:t xml:space="preserve"> (Stanford, 1967), p 89: the </w:t>
      </w:r>
      <w:r w:rsidR="00385A5D">
        <w:rPr>
          <w:rFonts w:ascii="Times New Roman" w:hAnsi="Times New Roman" w:cs="Times New Roman"/>
          <w:sz w:val="21"/>
          <w:szCs w:val="21"/>
          <w:lang w:val="en-GB"/>
        </w:rPr>
        <w:t>a</w:t>
      </w:r>
      <w:r w:rsidR="00385A5D" w:rsidRPr="00070AD6">
        <w:rPr>
          <w:rFonts w:ascii="Times New Roman" w:hAnsi="Times New Roman" w:cs="Times New Roman"/>
          <w:sz w:val="21"/>
          <w:szCs w:val="21"/>
          <w:lang w:val="en-GB"/>
        </w:rPr>
        <w:t>uthors</w:t>
      </w:r>
      <w:r w:rsidR="00385A5D">
        <w:rPr>
          <w:rFonts w:ascii="Times New Roman" w:hAnsi="Times New Roman" w:cs="Times New Roman"/>
          <w:sz w:val="21"/>
          <w:szCs w:val="21"/>
          <w:lang w:val="en-GB"/>
        </w:rPr>
        <w:t>,</w:t>
      </w:r>
      <w:r w:rsidR="00385A5D" w:rsidRPr="00070AD6">
        <w:rPr>
          <w:rFonts w:ascii="Times New Roman" w:hAnsi="Times New Roman" w:cs="Times New Roman"/>
          <w:sz w:val="21"/>
          <w:szCs w:val="21"/>
          <w:lang w:val="en-GB"/>
        </w:rPr>
        <w:t xml:space="preserve"> </w:t>
      </w:r>
      <w:r w:rsidRPr="00070AD6">
        <w:rPr>
          <w:rFonts w:ascii="Times New Roman" w:hAnsi="Times New Roman" w:cs="Times New Roman"/>
          <w:sz w:val="21"/>
          <w:szCs w:val="21"/>
          <w:lang w:val="en-GB"/>
        </w:rPr>
        <w:t xml:space="preserve">referring to Italian </w:t>
      </w:r>
      <w:r w:rsidR="00385A5D">
        <w:rPr>
          <w:rFonts w:ascii="Times New Roman" w:hAnsi="Times New Roman" w:cs="Times New Roman"/>
          <w:sz w:val="21"/>
          <w:szCs w:val="21"/>
          <w:lang w:val="en-GB"/>
        </w:rPr>
        <w:t>a</w:t>
      </w:r>
      <w:r w:rsidR="00385A5D" w:rsidRPr="00070AD6">
        <w:rPr>
          <w:rFonts w:ascii="Times New Roman" w:hAnsi="Times New Roman" w:cs="Times New Roman"/>
          <w:sz w:val="21"/>
          <w:szCs w:val="21"/>
          <w:lang w:val="en-GB"/>
        </w:rPr>
        <w:t>cademia</w:t>
      </w:r>
      <w:r w:rsidR="00385A5D">
        <w:rPr>
          <w:rFonts w:ascii="Times New Roman" w:hAnsi="Times New Roman" w:cs="Times New Roman"/>
          <w:sz w:val="21"/>
          <w:szCs w:val="21"/>
          <w:lang w:val="en-GB"/>
        </w:rPr>
        <w:t>,</w:t>
      </w:r>
      <w:r w:rsidR="00385A5D" w:rsidRPr="00070AD6">
        <w:rPr>
          <w:rFonts w:ascii="Times New Roman" w:hAnsi="Times New Roman" w:cs="Times New Roman"/>
          <w:sz w:val="21"/>
          <w:szCs w:val="21"/>
          <w:lang w:val="en-GB"/>
        </w:rPr>
        <w:t xml:space="preserve"> </w:t>
      </w:r>
      <w:r w:rsidRPr="00070AD6">
        <w:rPr>
          <w:rFonts w:ascii="Times New Roman" w:hAnsi="Times New Roman" w:cs="Times New Roman"/>
          <w:sz w:val="21"/>
          <w:szCs w:val="21"/>
          <w:lang w:val="en-GB"/>
        </w:rPr>
        <w:t xml:space="preserve">affirmed that </w:t>
      </w:r>
      <w:r w:rsidR="00385A5D">
        <w:rPr>
          <w:rFonts w:ascii="Times New Roman" w:hAnsi="Times New Roman" w:cs="Times New Roman"/>
          <w:sz w:val="21"/>
          <w:szCs w:val="21"/>
          <w:lang w:val="en-GB"/>
        </w:rPr>
        <w:t>l</w:t>
      </w:r>
      <w:r w:rsidR="00385A5D" w:rsidRPr="00070AD6">
        <w:rPr>
          <w:rFonts w:ascii="Times New Roman" w:hAnsi="Times New Roman" w:cs="Times New Roman"/>
          <w:sz w:val="21"/>
          <w:szCs w:val="21"/>
          <w:lang w:val="en-GB"/>
        </w:rPr>
        <w:t xml:space="preserve">aw </w:t>
      </w:r>
      <w:r w:rsidR="00385A5D">
        <w:rPr>
          <w:rFonts w:ascii="Times New Roman" w:hAnsi="Times New Roman" w:cs="Times New Roman"/>
          <w:sz w:val="21"/>
          <w:szCs w:val="21"/>
          <w:lang w:val="en-GB"/>
        </w:rPr>
        <w:t>s</w:t>
      </w:r>
      <w:r w:rsidR="00385A5D" w:rsidRPr="00070AD6">
        <w:rPr>
          <w:rFonts w:ascii="Times New Roman" w:hAnsi="Times New Roman" w:cs="Times New Roman"/>
          <w:sz w:val="21"/>
          <w:szCs w:val="21"/>
          <w:lang w:val="en-GB"/>
        </w:rPr>
        <w:t xml:space="preserve">chools </w:t>
      </w:r>
      <w:r w:rsidRPr="00070AD6">
        <w:rPr>
          <w:rFonts w:ascii="Times New Roman" w:hAnsi="Times New Roman" w:cs="Times New Roman"/>
          <w:sz w:val="21"/>
          <w:szCs w:val="21"/>
          <w:lang w:val="en-GB"/>
        </w:rPr>
        <w:t>‘</w:t>
      </w:r>
      <w:r w:rsidRPr="00240257">
        <w:rPr>
          <w:rFonts w:ascii="Times New Roman" w:hAnsi="Times New Roman" w:cs="Times New Roman"/>
          <w:sz w:val="21"/>
          <w:szCs w:val="21"/>
          <w:lang w:val="en-GB"/>
        </w:rPr>
        <w:t>are not concerned with techniques of problem-solving, but with the inculcation of fundamental concepts and principles’.</w:t>
      </w:r>
      <w:r w:rsidRPr="00070AD6">
        <w:rPr>
          <w:rFonts w:ascii="Times New Roman" w:hAnsi="Times New Roman" w:cs="Times New Roman"/>
          <w:sz w:val="21"/>
          <w:szCs w:val="21"/>
          <w:lang w:val="en-GB"/>
        </w:rPr>
        <w:t xml:space="preserve"> </w:t>
      </w:r>
      <w:r w:rsidRPr="00070AD6">
        <w:rPr>
          <w:rFonts w:ascii="MS Mincho" w:eastAsia="MS Mincho" w:hAnsi="MS Mincho" w:cs="MS Mincho" w:hint="eastAsia"/>
          <w:sz w:val="21"/>
          <w:szCs w:val="21"/>
          <w:lang w:val="en-GB"/>
        </w:rPr>
        <w:t> </w:t>
      </w:r>
    </w:p>
  </w:footnote>
  <w:footnote w:id="37">
    <w:p w:rsidR="00677175" w:rsidRPr="00070AD6" w:rsidRDefault="00677175" w:rsidP="00A03668">
      <w:pPr>
        <w:pStyle w:val="FootnoteText"/>
        <w:rPr>
          <w:rFonts w:ascii="Times New Roman" w:hAnsi="Times New Roman" w:cs="Times New Roman"/>
          <w:sz w:val="21"/>
          <w:szCs w:val="21"/>
        </w:rPr>
      </w:pPr>
      <w:r w:rsidRPr="00070AD6">
        <w:rPr>
          <w:rStyle w:val="FootnoteReference"/>
          <w:rFonts w:ascii="Times New Roman" w:hAnsi="Times New Roman" w:cs="Times New Roman"/>
          <w:sz w:val="21"/>
          <w:szCs w:val="21"/>
        </w:rPr>
        <w:footnoteRef/>
      </w:r>
      <w:r w:rsidRPr="00070AD6">
        <w:rPr>
          <w:rFonts w:ascii="Times New Roman" w:hAnsi="Times New Roman" w:cs="Times New Roman"/>
          <w:sz w:val="21"/>
          <w:szCs w:val="21"/>
        </w:rPr>
        <w:t xml:space="preserve"> See L. </w:t>
      </w:r>
      <w:r w:rsidRPr="00070AD6">
        <w:rPr>
          <w:rFonts w:ascii="Times New Roman" w:hAnsi="Times New Roman" w:cs="Times New Roman"/>
          <w:smallCaps/>
          <w:color w:val="000000" w:themeColor="text1"/>
          <w:sz w:val="21"/>
          <w:szCs w:val="21"/>
          <w:lang w:eastAsia="it-IT"/>
        </w:rPr>
        <w:t>Caiani</w:t>
      </w:r>
      <w:r w:rsidRPr="00070AD6">
        <w:rPr>
          <w:rFonts w:ascii="Times New Roman" w:hAnsi="Times New Roman" w:cs="Times New Roman"/>
          <w:sz w:val="21"/>
          <w:szCs w:val="21"/>
        </w:rPr>
        <w:t xml:space="preserve">, </w:t>
      </w:r>
      <w:r w:rsidRPr="00070AD6">
        <w:rPr>
          <w:rFonts w:ascii="Times New Roman" w:hAnsi="Times New Roman" w:cs="Times New Roman"/>
          <w:i/>
          <w:iCs/>
          <w:sz w:val="21"/>
          <w:szCs w:val="21"/>
        </w:rPr>
        <w:t>Problemi dell'Università italiana</w:t>
      </w:r>
      <w:r w:rsidRPr="00070AD6">
        <w:rPr>
          <w:rFonts w:ascii="Times New Roman" w:hAnsi="Times New Roman" w:cs="Times New Roman"/>
          <w:sz w:val="21"/>
          <w:szCs w:val="21"/>
        </w:rPr>
        <w:t xml:space="preserve"> (Milano, 1955), p 7. </w:t>
      </w:r>
      <w:r w:rsidRPr="00070AD6">
        <w:rPr>
          <w:rFonts w:ascii="MS Mincho" w:eastAsia="MS Mincho" w:hAnsi="MS Mincho" w:cs="MS Mincho" w:hint="eastAsia"/>
          <w:sz w:val="21"/>
          <w:szCs w:val="21"/>
        </w:rPr>
        <w:t> </w:t>
      </w:r>
    </w:p>
  </w:footnote>
  <w:footnote w:id="38">
    <w:p w:rsidR="00677175" w:rsidRPr="00070AD6" w:rsidRDefault="00677175" w:rsidP="00A03668">
      <w:pPr>
        <w:widowControl w:val="0"/>
        <w:autoSpaceDE w:val="0"/>
        <w:autoSpaceDN w:val="0"/>
        <w:adjustRightInd w:val="0"/>
        <w:rPr>
          <w:color w:val="000000" w:themeColor="text1"/>
          <w:sz w:val="21"/>
          <w:szCs w:val="21"/>
          <w:lang w:val="en-US"/>
        </w:rPr>
      </w:pPr>
      <w:r w:rsidRPr="00070AD6">
        <w:rPr>
          <w:rStyle w:val="FootnoteReference"/>
          <w:sz w:val="21"/>
          <w:szCs w:val="21"/>
        </w:rPr>
        <w:footnoteRef/>
      </w:r>
      <w:r w:rsidRPr="00070AD6">
        <w:rPr>
          <w:sz w:val="21"/>
          <w:szCs w:val="21"/>
          <w:lang w:val="en-US"/>
        </w:rPr>
        <w:t xml:space="preserve"> </w:t>
      </w:r>
      <w:r w:rsidRPr="00070AD6">
        <w:rPr>
          <w:sz w:val="21"/>
          <w:szCs w:val="21"/>
          <w:lang w:val="en-GB"/>
        </w:rPr>
        <w:t xml:space="preserve">In relation to the </w:t>
      </w:r>
      <w:r w:rsidRPr="00070AD6">
        <w:rPr>
          <w:color w:val="000000" w:themeColor="text1"/>
          <w:sz w:val="21"/>
          <w:szCs w:val="21"/>
          <w:lang w:val="en-GB"/>
        </w:rPr>
        <w:t xml:space="preserve">recent development of Clinical Legal Education in Western Europe, defined as “the last holdout in the worldwide acceptance of clinical legal education” (R. </w:t>
      </w:r>
      <w:r w:rsidRPr="00070AD6">
        <w:rPr>
          <w:rFonts w:eastAsiaTheme="minorHAnsi"/>
          <w:smallCaps/>
          <w:color w:val="000000" w:themeColor="text1"/>
          <w:sz w:val="21"/>
          <w:szCs w:val="21"/>
          <w:lang w:val="en-US"/>
        </w:rPr>
        <w:t>Wilson</w:t>
      </w:r>
      <w:r w:rsidRPr="00070AD6">
        <w:rPr>
          <w:color w:val="000000" w:themeColor="text1"/>
          <w:sz w:val="21"/>
          <w:szCs w:val="21"/>
          <w:lang w:val="en-GB"/>
        </w:rPr>
        <w:t xml:space="preserve">, ‘Western Europe: Last Holdout in the Worldwide Acceptance of Clinical Legal Education </w:t>
      </w:r>
      <w:r w:rsidR="009F7CE2">
        <w:rPr>
          <w:color w:val="000000" w:themeColor="text1"/>
          <w:sz w:val="21"/>
          <w:szCs w:val="21"/>
          <w:lang w:val="en-GB"/>
        </w:rPr>
        <w:t>–</w:t>
      </w:r>
      <w:r w:rsidRPr="00070AD6">
        <w:rPr>
          <w:color w:val="000000" w:themeColor="text1"/>
          <w:sz w:val="21"/>
          <w:szCs w:val="21"/>
          <w:lang w:val="en-GB"/>
        </w:rPr>
        <w:t xml:space="preserve"> Part I/II’, in 10. </w:t>
      </w:r>
      <w:r w:rsidRPr="00070AD6">
        <w:rPr>
          <w:i/>
          <w:color w:val="000000" w:themeColor="text1"/>
          <w:sz w:val="21"/>
          <w:szCs w:val="21"/>
          <w:lang w:val="en-GB"/>
        </w:rPr>
        <w:t>German Law Journal</w:t>
      </w:r>
      <w:r w:rsidRPr="00070AD6">
        <w:rPr>
          <w:color w:val="000000" w:themeColor="text1"/>
          <w:sz w:val="21"/>
          <w:szCs w:val="21"/>
          <w:lang w:val="en-GB"/>
        </w:rPr>
        <w:t xml:space="preserve"> 2009, p</w:t>
      </w:r>
      <w:r w:rsidR="009F7CE2">
        <w:rPr>
          <w:color w:val="000000" w:themeColor="text1"/>
          <w:sz w:val="21"/>
          <w:szCs w:val="21"/>
          <w:lang w:val="en-GB"/>
        </w:rPr>
        <w:t>p</w:t>
      </w:r>
      <w:r w:rsidRPr="00070AD6">
        <w:rPr>
          <w:color w:val="000000" w:themeColor="text1"/>
          <w:sz w:val="21"/>
          <w:szCs w:val="21"/>
          <w:lang w:val="en-GB"/>
        </w:rPr>
        <w:t xml:space="preserve"> 823</w:t>
      </w:r>
      <w:r w:rsidR="009F7CE2">
        <w:rPr>
          <w:color w:val="000000" w:themeColor="text1"/>
          <w:sz w:val="21"/>
          <w:szCs w:val="21"/>
          <w:lang w:val="en-GB"/>
        </w:rPr>
        <w:t>–</w:t>
      </w:r>
      <w:r w:rsidRPr="00070AD6">
        <w:rPr>
          <w:color w:val="000000" w:themeColor="text1"/>
          <w:sz w:val="21"/>
          <w:szCs w:val="21"/>
          <w:lang w:val="en-GB"/>
        </w:rPr>
        <w:t xml:space="preserve">846), see C. </w:t>
      </w:r>
      <w:r w:rsidRPr="00070AD6">
        <w:rPr>
          <w:rFonts w:eastAsiaTheme="minorHAnsi"/>
          <w:smallCaps/>
          <w:color w:val="000000" w:themeColor="text1"/>
          <w:sz w:val="21"/>
          <w:szCs w:val="21"/>
          <w:lang w:val="en-US"/>
        </w:rPr>
        <w:t>Bartoli</w:t>
      </w:r>
      <w:r w:rsidRPr="00070AD6">
        <w:rPr>
          <w:color w:val="000000" w:themeColor="text1"/>
          <w:sz w:val="21"/>
          <w:szCs w:val="21"/>
          <w:lang w:val="en-GB"/>
        </w:rPr>
        <w:t>, ‘‘</w:t>
      </w:r>
      <w:r w:rsidRPr="00070AD6">
        <w:rPr>
          <w:color w:val="000000" w:themeColor="text1"/>
          <w:sz w:val="21"/>
          <w:szCs w:val="21"/>
          <w:lang w:val="en-US"/>
        </w:rPr>
        <w:t xml:space="preserve">Legal clinics in Europe: </w:t>
      </w:r>
      <w:r w:rsidRPr="00070AD6">
        <w:rPr>
          <w:iCs/>
          <w:color w:val="000000" w:themeColor="text1"/>
          <w:sz w:val="21"/>
          <w:szCs w:val="21"/>
          <w:lang w:val="en-US"/>
        </w:rPr>
        <w:t>for a commitment of higher education in social justice</w:t>
      </w:r>
      <w:r w:rsidRPr="00070AD6">
        <w:rPr>
          <w:color w:val="000000" w:themeColor="text1"/>
          <w:sz w:val="21"/>
          <w:szCs w:val="21"/>
          <w:lang w:val="en-GB"/>
        </w:rPr>
        <w:t xml:space="preserve">’, in 1. </w:t>
      </w:r>
      <w:r w:rsidRPr="00070AD6">
        <w:rPr>
          <w:i/>
          <w:color w:val="000000" w:themeColor="text1"/>
          <w:sz w:val="21"/>
          <w:szCs w:val="21"/>
          <w:lang w:val="en-GB"/>
        </w:rPr>
        <w:t>Diritto e Questioni Pubbliche</w:t>
      </w:r>
      <w:r w:rsidRPr="00070AD6">
        <w:rPr>
          <w:color w:val="000000" w:themeColor="text1"/>
          <w:sz w:val="21"/>
          <w:szCs w:val="21"/>
          <w:lang w:val="en-GB"/>
        </w:rPr>
        <w:t xml:space="preserve"> 2016; Id., ‘The Italian legal clinics movement: Data and prospects’, in 2. </w:t>
      </w:r>
      <w:r w:rsidRPr="00070AD6">
        <w:rPr>
          <w:i/>
          <w:color w:val="000000" w:themeColor="text1"/>
          <w:sz w:val="21"/>
          <w:szCs w:val="21"/>
          <w:lang w:val="en-GB"/>
        </w:rPr>
        <w:t>International Journal of Clinical Legal Education</w:t>
      </w:r>
      <w:r w:rsidRPr="00070AD6">
        <w:rPr>
          <w:color w:val="000000" w:themeColor="text1"/>
          <w:sz w:val="21"/>
          <w:szCs w:val="21"/>
          <w:lang w:val="en-GB"/>
        </w:rPr>
        <w:t xml:space="preserve"> 2015, p 22; D. </w:t>
      </w:r>
      <w:r w:rsidRPr="00070AD6">
        <w:rPr>
          <w:rFonts w:eastAsiaTheme="minorHAnsi"/>
          <w:smallCaps/>
          <w:color w:val="000000" w:themeColor="text1"/>
          <w:sz w:val="21"/>
          <w:szCs w:val="21"/>
          <w:lang w:val="en-US"/>
        </w:rPr>
        <w:t>Blazquez</w:t>
      </w:r>
      <w:r w:rsidRPr="00070AD6">
        <w:rPr>
          <w:color w:val="000000" w:themeColor="text1"/>
          <w:sz w:val="21"/>
          <w:szCs w:val="21"/>
          <w:lang w:val="en-GB"/>
        </w:rPr>
        <w:t>-</w:t>
      </w:r>
      <w:r w:rsidRPr="00070AD6">
        <w:rPr>
          <w:rFonts w:eastAsiaTheme="minorHAnsi"/>
          <w:smallCaps/>
          <w:color w:val="000000" w:themeColor="text1"/>
          <w:sz w:val="21"/>
          <w:szCs w:val="21"/>
          <w:lang w:val="en-US"/>
        </w:rPr>
        <w:t>Martin</w:t>
      </w:r>
      <w:r w:rsidRPr="00070AD6">
        <w:rPr>
          <w:color w:val="000000" w:themeColor="text1"/>
          <w:sz w:val="21"/>
          <w:szCs w:val="21"/>
          <w:lang w:val="en-GB"/>
        </w:rPr>
        <w:t xml:space="preserve">, ‘The Bologna Process and the Future of Clinical Education in Europe: </w:t>
      </w:r>
      <w:r w:rsidR="009F7CE2">
        <w:rPr>
          <w:color w:val="000000" w:themeColor="text1"/>
          <w:sz w:val="21"/>
          <w:szCs w:val="21"/>
          <w:lang w:val="en-GB"/>
        </w:rPr>
        <w:t>A</w:t>
      </w:r>
      <w:r w:rsidR="009F7CE2" w:rsidRPr="00070AD6">
        <w:rPr>
          <w:color w:val="000000" w:themeColor="text1"/>
          <w:sz w:val="21"/>
          <w:szCs w:val="21"/>
          <w:lang w:val="en-GB"/>
        </w:rPr>
        <w:t xml:space="preserve"> </w:t>
      </w:r>
      <w:r w:rsidRPr="00070AD6">
        <w:rPr>
          <w:color w:val="000000" w:themeColor="text1"/>
          <w:sz w:val="21"/>
          <w:szCs w:val="21"/>
          <w:lang w:val="en-GB"/>
        </w:rPr>
        <w:t xml:space="preserve">View from Spain’ in F.S. </w:t>
      </w:r>
      <w:r w:rsidRPr="00070AD6">
        <w:rPr>
          <w:rFonts w:eastAsiaTheme="minorHAnsi"/>
          <w:smallCaps/>
          <w:color w:val="000000" w:themeColor="text1"/>
          <w:sz w:val="21"/>
          <w:szCs w:val="21"/>
          <w:lang w:val="en-US"/>
        </w:rPr>
        <w:t>Bloch</w:t>
      </w:r>
      <w:r w:rsidRPr="00070AD6">
        <w:rPr>
          <w:color w:val="000000" w:themeColor="text1"/>
          <w:sz w:val="21"/>
          <w:szCs w:val="21"/>
          <w:lang w:val="en-GB"/>
        </w:rPr>
        <w:t xml:space="preserve"> (ed</w:t>
      </w:r>
      <w:r>
        <w:rPr>
          <w:color w:val="000000" w:themeColor="text1"/>
          <w:sz w:val="21"/>
          <w:szCs w:val="21"/>
          <w:lang w:val="en-GB"/>
        </w:rPr>
        <w:t>.</w:t>
      </w:r>
      <w:r w:rsidRPr="00070AD6">
        <w:rPr>
          <w:color w:val="000000" w:themeColor="text1"/>
          <w:sz w:val="21"/>
          <w:szCs w:val="21"/>
          <w:lang w:val="en-GB"/>
        </w:rPr>
        <w:t xml:space="preserve">), </w:t>
      </w:r>
      <w:r w:rsidRPr="00070AD6">
        <w:rPr>
          <w:i/>
          <w:color w:val="000000" w:themeColor="text1"/>
          <w:sz w:val="21"/>
          <w:szCs w:val="21"/>
          <w:lang w:val="en-GB"/>
        </w:rPr>
        <w:t>The Global Clinical Movement. Educating Lawyers for Social Justice</w:t>
      </w:r>
      <w:r w:rsidRPr="00070AD6">
        <w:rPr>
          <w:color w:val="000000" w:themeColor="text1"/>
          <w:sz w:val="21"/>
          <w:szCs w:val="21"/>
          <w:lang w:val="en-GB"/>
        </w:rPr>
        <w:t xml:space="preserve"> (Oxford, 2011) 121; H. </w:t>
      </w:r>
      <w:r w:rsidRPr="00070AD6">
        <w:rPr>
          <w:rFonts w:eastAsiaTheme="minorHAnsi"/>
          <w:smallCaps/>
          <w:color w:val="000000" w:themeColor="text1"/>
          <w:sz w:val="21"/>
          <w:szCs w:val="21"/>
          <w:lang w:val="en-US"/>
        </w:rPr>
        <w:t>Olàsolo</w:t>
      </w:r>
      <w:r w:rsidRPr="00070AD6">
        <w:rPr>
          <w:color w:val="000000" w:themeColor="text1"/>
          <w:sz w:val="21"/>
          <w:szCs w:val="21"/>
          <w:lang w:val="en-GB"/>
        </w:rPr>
        <w:t xml:space="preserve">, ‘Legal Clinics in Continental Western Europe: The Approach of the Utrecht Legal Clinic on Conflict, Human Rights, and International Justice’, in 104. </w:t>
      </w:r>
      <w:r w:rsidRPr="0071567C">
        <w:rPr>
          <w:i/>
          <w:color w:val="000000" w:themeColor="text1"/>
          <w:sz w:val="21"/>
          <w:szCs w:val="21"/>
          <w:lang w:val="de-DE"/>
        </w:rPr>
        <w:t>American Society of International Law</w:t>
      </w:r>
      <w:r w:rsidRPr="0071567C">
        <w:rPr>
          <w:color w:val="000000" w:themeColor="text1"/>
          <w:sz w:val="21"/>
          <w:szCs w:val="21"/>
          <w:lang w:val="de-DE"/>
        </w:rPr>
        <w:t xml:space="preserve"> 2010, p 98; Jan-Gero Alexander </w:t>
      </w:r>
      <w:r w:rsidRPr="0071567C">
        <w:rPr>
          <w:rFonts w:eastAsiaTheme="minorHAnsi"/>
          <w:smallCaps/>
          <w:color w:val="000000" w:themeColor="text1"/>
          <w:sz w:val="21"/>
          <w:szCs w:val="21"/>
          <w:lang w:val="de-DE"/>
        </w:rPr>
        <w:t>Hannemann</w:t>
      </w:r>
      <w:r w:rsidRPr="0071567C">
        <w:rPr>
          <w:color w:val="000000" w:themeColor="text1"/>
          <w:sz w:val="21"/>
          <w:szCs w:val="21"/>
          <w:lang w:val="de-DE"/>
        </w:rPr>
        <w:t xml:space="preserve"> </w:t>
      </w:r>
      <w:r w:rsidR="009F7CE2" w:rsidRPr="0071567C">
        <w:rPr>
          <w:color w:val="000000" w:themeColor="text1"/>
          <w:sz w:val="21"/>
          <w:szCs w:val="21"/>
          <w:lang w:val="de-DE"/>
        </w:rPr>
        <w:t xml:space="preserve">&amp; </w:t>
      </w:r>
      <w:r w:rsidRPr="0071567C">
        <w:rPr>
          <w:color w:val="000000" w:themeColor="text1"/>
          <w:sz w:val="21"/>
          <w:szCs w:val="21"/>
          <w:lang w:val="de-DE"/>
        </w:rPr>
        <w:t xml:space="preserve">F. </w:t>
      </w:r>
      <w:r w:rsidRPr="0071567C">
        <w:rPr>
          <w:rFonts w:eastAsiaTheme="minorHAnsi"/>
          <w:smallCaps/>
          <w:color w:val="000000" w:themeColor="text1"/>
          <w:sz w:val="21"/>
          <w:szCs w:val="21"/>
          <w:lang w:val="de-DE"/>
        </w:rPr>
        <w:t>Czernicki</w:t>
      </w:r>
      <w:r w:rsidRPr="0071567C">
        <w:rPr>
          <w:color w:val="000000" w:themeColor="text1"/>
          <w:sz w:val="21"/>
          <w:szCs w:val="21"/>
          <w:lang w:val="de-DE"/>
        </w:rPr>
        <w:t xml:space="preserve">, ‘Eine rechtsvergleichende Analyse der </w:t>
      </w:r>
      <w:r w:rsidR="009F7CE2" w:rsidRPr="0071567C">
        <w:rPr>
          <w:color w:val="000000" w:themeColor="text1"/>
          <w:sz w:val="21"/>
          <w:szCs w:val="21"/>
          <w:lang w:val="de-DE"/>
        </w:rPr>
        <w:t>“</w:t>
      </w:r>
      <w:r w:rsidRPr="0071567C">
        <w:rPr>
          <w:color w:val="000000" w:themeColor="text1"/>
          <w:sz w:val="21"/>
          <w:szCs w:val="21"/>
          <w:lang w:val="de-DE"/>
        </w:rPr>
        <w:t>Clinical Legal Education</w:t>
      </w:r>
      <w:r w:rsidR="009F7CE2" w:rsidRPr="0071567C">
        <w:rPr>
          <w:color w:val="000000" w:themeColor="text1"/>
          <w:sz w:val="21"/>
          <w:szCs w:val="21"/>
          <w:lang w:val="de-DE"/>
        </w:rPr>
        <w:t>”</w:t>
      </w:r>
      <w:r w:rsidRPr="0071567C">
        <w:rPr>
          <w:color w:val="000000" w:themeColor="text1"/>
          <w:sz w:val="21"/>
          <w:szCs w:val="21"/>
          <w:lang w:val="de-DE"/>
        </w:rPr>
        <w:t xml:space="preserve"> </w:t>
      </w:r>
      <w:r w:rsidR="009F7CE2" w:rsidRPr="0071567C">
        <w:rPr>
          <w:color w:val="000000" w:themeColor="text1"/>
          <w:sz w:val="21"/>
          <w:szCs w:val="21"/>
          <w:lang w:val="de-DE"/>
        </w:rPr>
        <w:t>–</w:t>
      </w:r>
      <w:r w:rsidRPr="0071567C">
        <w:rPr>
          <w:color w:val="000000" w:themeColor="text1"/>
          <w:sz w:val="21"/>
          <w:szCs w:val="21"/>
          <w:lang w:val="de-DE"/>
        </w:rPr>
        <w:t xml:space="preserve"> studentische Rechtsberatung in Polen und Deutschland’, in 2. </w:t>
      </w:r>
      <w:r w:rsidRPr="00070AD6">
        <w:rPr>
          <w:i/>
          <w:color w:val="000000" w:themeColor="text1"/>
          <w:sz w:val="21"/>
          <w:szCs w:val="21"/>
          <w:lang w:val="en-GB"/>
        </w:rPr>
        <w:t xml:space="preserve">German Journal </w:t>
      </w:r>
      <w:r w:rsidR="009F7CE2">
        <w:rPr>
          <w:i/>
          <w:color w:val="000000" w:themeColor="text1"/>
          <w:sz w:val="21"/>
          <w:szCs w:val="21"/>
          <w:lang w:val="en-GB"/>
        </w:rPr>
        <w:t>o</w:t>
      </w:r>
      <w:r w:rsidRPr="00070AD6">
        <w:rPr>
          <w:i/>
          <w:color w:val="000000" w:themeColor="text1"/>
          <w:sz w:val="21"/>
          <w:szCs w:val="21"/>
          <w:lang w:val="en-GB"/>
        </w:rPr>
        <w:t>f Legal Education</w:t>
      </w:r>
      <w:r w:rsidRPr="00070AD6">
        <w:rPr>
          <w:color w:val="000000" w:themeColor="text1"/>
          <w:sz w:val="21"/>
          <w:szCs w:val="21"/>
          <w:lang w:val="en-GB"/>
        </w:rPr>
        <w:t xml:space="preserve"> 2015, p 27. With regards to the Brescia Legal Clinic, see C. </w:t>
      </w:r>
      <w:r w:rsidRPr="00070AD6">
        <w:rPr>
          <w:rFonts w:eastAsiaTheme="minorHAnsi"/>
          <w:smallCaps/>
          <w:color w:val="000000" w:themeColor="text1"/>
          <w:sz w:val="21"/>
          <w:szCs w:val="21"/>
          <w:lang w:val="en-US"/>
        </w:rPr>
        <w:t>Amato</w:t>
      </w:r>
      <w:r w:rsidRPr="00070AD6">
        <w:rPr>
          <w:color w:val="000000" w:themeColor="text1"/>
          <w:sz w:val="21"/>
          <w:szCs w:val="21"/>
          <w:lang w:val="en-GB"/>
        </w:rPr>
        <w:t xml:space="preserve">, ‘Developing strategies for academic and financial sustainability: the Brescia legal clinic’s experience’, in E. </w:t>
      </w:r>
      <w:r w:rsidRPr="00070AD6">
        <w:rPr>
          <w:rFonts w:eastAsiaTheme="minorHAnsi"/>
          <w:smallCaps/>
          <w:color w:val="000000" w:themeColor="text1"/>
          <w:sz w:val="21"/>
          <w:szCs w:val="21"/>
          <w:lang w:val="en-US"/>
        </w:rPr>
        <w:t>Poillot</w:t>
      </w:r>
      <w:r w:rsidRPr="00070AD6">
        <w:rPr>
          <w:color w:val="000000" w:themeColor="text1"/>
          <w:sz w:val="21"/>
          <w:szCs w:val="21"/>
          <w:lang w:val="en-GB"/>
        </w:rPr>
        <w:t xml:space="preserve"> (ed</w:t>
      </w:r>
      <w:r>
        <w:rPr>
          <w:color w:val="000000" w:themeColor="text1"/>
          <w:sz w:val="21"/>
          <w:szCs w:val="21"/>
          <w:lang w:val="en-GB"/>
        </w:rPr>
        <w:t>.</w:t>
      </w:r>
      <w:r w:rsidRPr="00070AD6">
        <w:rPr>
          <w:color w:val="000000" w:themeColor="text1"/>
          <w:sz w:val="21"/>
          <w:szCs w:val="21"/>
          <w:lang w:val="en-GB"/>
        </w:rPr>
        <w:t xml:space="preserve">), </w:t>
      </w:r>
      <w:r w:rsidRPr="00070AD6">
        <w:rPr>
          <w:i/>
          <w:color w:val="000000" w:themeColor="text1"/>
          <w:sz w:val="21"/>
          <w:szCs w:val="21"/>
          <w:lang w:val="en-GB"/>
        </w:rPr>
        <w:t>L’enseignement clinic du droit</w:t>
      </w:r>
      <w:r w:rsidR="009F7CE2">
        <w:rPr>
          <w:i/>
          <w:color w:val="000000" w:themeColor="text1"/>
          <w:sz w:val="21"/>
          <w:szCs w:val="21"/>
          <w:lang w:val="en-GB"/>
        </w:rPr>
        <w:t>:</w:t>
      </w:r>
      <w:r w:rsidR="009F7CE2" w:rsidRPr="00070AD6">
        <w:rPr>
          <w:i/>
          <w:color w:val="000000" w:themeColor="text1"/>
          <w:sz w:val="21"/>
          <w:szCs w:val="21"/>
          <w:lang w:val="en-GB"/>
        </w:rPr>
        <w:t xml:space="preserve"> </w:t>
      </w:r>
      <w:r w:rsidRPr="00070AD6">
        <w:rPr>
          <w:i/>
          <w:color w:val="000000" w:themeColor="text1"/>
          <w:sz w:val="21"/>
          <w:szCs w:val="21"/>
          <w:lang w:val="en-GB"/>
        </w:rPr>
        <w:t>Expériences Croisées et perspective pratique</w:t>
      </w:r>
      <w:r w:rsidRPr="00070AD6">
        <w:rPr>
          <w:color w:val="000000" w:themeColor="text1"/>
          <w:sz w:val="21"/>
          <w:szCs w:val="21"/>
          <w:lang w:val="en-GB"/>
        </w:rPr>
        <w:t xml:space="preserve"> (</w:t>
      </w:r>
      <w:r w:rsidRPr="00070AD6">
        <w:rPr>
          <w:sz w:val="21"/>
          <w:szCs w:val="21"/>
          <w:lang w:val="en-US"/>
        </w:rPr>
        <w:t>Luxembourg</w:t>
      </w:r>
      <w:r w:rsidRPr="00070AD6">
        <w:rPr>
          <w:color w:val="000000" w:themeColor="text1"/>
          <w:sz w:val="21"/>
          <w:szCs w:val="21"/>
          <w:lang w:val="en-GB"/>
        </w:rPr>
        <w:t xml:space="preserve">: Larcier, 2014). In relation to the recent development of </w:t>
      </w:r>
      <w:r w:rsidR="009F7CE2">
        <w:rPr>
          <w:color w:val="000000" w:themeColor="text1"/>
          <w:sz w:val="21"/>
          <w:szCs w:val="21"/>
          <w:lang w:val="en-GB"/>
        </w:rPr>
        <w:t>c</w:t>
      </w:r>
      <w:r w:rsidR="009F7CE2" w:rsidRPr="00070AD6">
        <w:rPr>
          <w:color w:val="000000" w:themeColor="text1"/>
          <w:sz w:val="21"/>
          <w:szCs w:val="21"/>
          <w:lang w:val="en-GB"/>
        </w:rPr>
        <w:t xml:space="preserve">linical </w:t>
      </w:r>
      <w:r w:rsidR="009F7CE2">
        <w:rPr>
          <w:color w:val="000000" w:themeColor="text1"/>
          <w:sz w:val="21"/>
          <w:szCs w:val="21"/>
          <w:lang w:val="en-GB"/>
        </w:rPr>
        <w:t>l</w:t>
      </w:r>
      <w:r w:rsidR="009F7CE2" w:rsidRPr="00070AD6">
        <w:rPr>
          <w:color w:val="000000" w:themeColor="text1"/>
          <w:sz w:val="21"/>
          <w:szCs w:val="21"/>
          <w:lang w:val="en-GB"/>
        </w:rPr>
        <w:t xml:space="preserve">egal </w:t>
      </w:r>
      <w:r w:rsidR="009F7CE2">
        <w:rPr>
          <w:color w:val="000000" w:themeColor="text1"/>
          <w:sz w:val="21"/>
          <w:szCs w:val="21"/>
          <w:lang w:val="en-GB"/>
        </w:rPr>
        <w:t>e</w:t>
      </w:r>
      <w:r w:rsidR="009F7CE2" w:rsidRPr="00070AD6">
        <w:rPr>
          <w:color w:val="000000" w:themeColor="text1"/>
          <w:sz w:val="21"/>
          <w:szCs w:val="21"/>
          <w:lang w:val="en-GB"/>
        </w:rPr>
        <w:t xml:space="preserve">ducation </w:t>
      </w:r>
      <w:r w:rsidRPr="00070AD6">
        <w:rPr>
          <w:color w:val="000000" w:themeColor="text1"/>
          <w:sz w:val="21"/>
          <w:szCs w:val="21"/>
          <w:lang w:val="en-GB"/>
        </w:rPr>
        <w:t xml:space="preserve">in Central and Eastern Europe, see, above all, M. </w:t>
      </w:r>
      <w:r w:rsidRPr="00070AD6">
        <w:rPr>
          <w:rFonts w:eastAsiaTheme="minorHAnsi"/>
          <w:smallCaps/>
          <w:color w:val="000000" w:themeColor="text1"/>
          <w:sz w:val="21"/>
          <w:szCs w:val="21"/>
          <w:lang w:val="en-US"/>
        </w:rPr>
        <w:t>Berbec-Rostas</w:t>
      </w:r>
      <w:r w:rsidR="009F7CE2">
        <w:rPr>
          <w:rFonts w:eastAsiaTheme="minorHAnsi"/>
          <w:smallCaps/>
          <w:color w:val="000000" w:themeColor="text1"/>
          <w:sz w:val="21"/>
          <w:szCs w:val="21"/>
          <w:lang w:val="en-US"/>
        </w:rPr>
        <w:t>,</w:t>
      </w:r>
      <w:r w:rsidRPr="00070AD6">
        <w:rPr>
          <w:color w:val="000000" w:themeColor="text1"/>
          <w:sz w:val="21"/>
          <w:szCs w:val="21"/>
          <w:lang w:val="en-GB"/>
        </w:rPr>
        <w:t xml:space="preserve"> A. </w:t>
      </w:r>
      <w:r w:rsidRPr="00070AD6">
        <w:rPr>
          <w:rFonts w:eastAsiaTheme="minorHAnsi"/>
          <w:smallCaps/>
          <w:color w:val="000000" w:themeColor="text1"/>
          <w:sz w:val="21"/>
          <w:szCs w:val="21"/>
          <w:lang w:val="en-US"/>
        </w:rPr>
        <w:t>Gutnikov</w:t>
      </w:r>
      <w:r w:rsidRPr="00070AD6">
        <w:rPr>
          <w:color w:val="000000" w:themeColor="text1"/>
          <w:sz w:val="21"/>
          <w:szCs w:val="21"/>
          <w:lang w:val="en-GB"/>
        </w:rPr>
        <w:t xml:space="preserve"> </w:t>
      </w:r>
      <w:r w:rsidR="009F7CE2">
        <w:rPr>
          <w:color w:val="000000" w:themeColor="text1"/>
          <w:sz w:val="21"/>
          <w:szCs w:val="21"/>
          <w:lang w:val="en-GB"/>
        </w:rPr>
        <w:t>&amp;</w:t>
      </w:r>
      <w:r w:rsidR="009F7CE2" w:rsidRPr="00070AD6">
        <w:rPr>
          <w:color w:val="000000" w:themeColor="text1"/>
          <w:sz w:val="21"/>
          <w:szCs w:val="21"/>
          <w:lang w:val="en-GB"/>
        </w:rPr>
        <w:t xml:space="preserve"> </w:t>
      </w:r>
      <w:r w:rsidRPr="00070AD6">
        <w:rPr>
          <w:color w:val="000000" w:themeColor="text1"/>
          <w:sz w:val="21"/>
          <w:szCs w:val="21"/>
          <w:lang w:val="en-GB"/>
        </w:rPr>
        <w:t xml:space="preserve">B. </w:t>
      </w:r>
      <w:r w:rsidRPr="00070AD6">
        <w:rPr>
          <w:rFonts w:eastAsiaTheme="minorHAnsi"/>
          <w:smallCaps/>
          <w:color w:val="000000" w:themeColor="text1"/>
          <w:sz w:val="21"/>
          <w:szCs w:val="21"/>
          <w:lang w:val="en-US"/>
        </w:rPr>
        <w:t>Mamysloswska-Gabrysiak</w:t>
      </w:r>
      <w:r w:rsidRPr="00070AD6">
        <w:rPr>
          <w:color w:val="000000" w:themeColor="text1"/>
          <w:sz w:val="21"/>
          <w:szCs w:val="21"/>
          <w:lang w:val="en-GB"/>
        </w:rPr>
        <w:t>, ‘Clinical Legal Education in Central and Eastern Europe: Selected Case Studies’ in F.S. Bloch (ed</w:t>
      </w:r>
      <w:r>
        <w:rPr>
          <w:color w:val="000000" w:themeColor="text1"/>
          <w:sz w:val="21"/>
          <w:szCs w:val="21"/>
          <w:lang w:val="en-GB"/>
        </w:rPr>
        <w:t>.</w:t>
      </w:r>
      <w:r w:rsidRPr="00070AD6">
        <w:rPr>
          <w:color w:val="000000" w:themeColor="text1"/>
          <w:sz w:val="21"/>
          <w:szCs w:val="21"/>
          <w:lang w:val="en-GB"/>
        </w:rPr>
        <w:t xml:space="preserve">), </w:t>
      </w:r>
      <w:r w:rsidRPr="00070AD6">
        <w:rPr>
          <w:i/>
          <w:color w:val="000000" w:themeColor="text1"/>
          <w:sz w:val="21"/>
          <w:szCs w:val="21"/>
          <w:lang w:val="en-GB"/>
        </w:rPr>
        <w:t xml:space="preserve">The Global Clinical Movement. </w:t>
      </w:r>
      <w:r w:rsidRPr="00070AD6">
        <w:rPr>
          <w:i/>
          <w:color w:val="000000" w:themeColor="text1"/>
          <w:sz w:val="21"/>
          <w:szCs w:val="21"/>
          <w:lang w:val="en-US"/>
        </w:rPr>
        <w:t>Educating Lawyers for Social Justice</w:t>
      </w:r>
      <w:r w:rsidRPr="00070AD6">
        <w:rPr>
          <w:color w:val="000000" w:themeColor="text1"/>
          <w:sz w:val="21"/>
          <w:szCs w:val="21"/>
          <w:lang w:val="en-US"/>
        </w:rPr>
        <w:t>, cit., p 53.</w:t>
      </w:r>
    </w:p>
  </w:footnote>
  <w:footnote w:id="39">
    <w:p w:rsidR="00677175" w:rsidRPr="00070AD6" w:rsidRDefault="00677175" w:rsidP="00A03668">
      <w:pPr>
        <w:pStyle w:val="FootnoteText"/>
        <w:rPr>
          <w:rFonts w:ascii="Times New Roman" w:hAnsi="Times New Roman" w:cs="Times New Roman"/>
          <w:sz w:val="21"/>
          <w:szCs w:val="21"/>
          <w:lang w:val="en-GB"/>
        </w:rPr>
      </w:pPr>
      <w:r w:rsidRPr="00070AD6">
        <w:rPr>
          <w:rStyle w:val="FootnoteReference"/>
          <w:rFonts w:ascii="Times New Roman" w:hAnsi="Times New Roman" w:cs="Times New Roman"/>
          <w:sz w:val="21"/>
          <w:szCs w:val="21"/>
        </w:rPr>
        <w:footnoteRef/>
      </w:r>
      <w:r w:rsidRPr="00070AD6">
        <w:rPr>
          <w:rFonts w:ascii="Times New Roman" w:hAnsi="Times New Roman" w:cs="Times New Roman"/>
          <w:sz w:val="21"/>
          <w:szCs w:val="21"/>
          <w:lang w:val="en-GB"/>
        </w:rPr>
        <w:t xml:space="preserve"> See: </w:t>
      </w:r>
      <w:hyperlink r:id="rId13" w:history="1">
        <w:r w:rsidRPr="00070AD6">
          <w:rPr>
            <w:rStyle w:val="Hyperlink"/>
            <w:rFonts w:ascii="Times New Roman" w:hAnsi="Times New Roman" w:cs="Times New Roman"/>
            <w:sz w:val="21"/>
            <w:szCs w:val="21"/>
            <w:lang w:val="en-GB"/>
          </w:rPr>
          <w:t>www.encle.org</w:t>
        </w:r>
      </w:hyperlink>
      <w:r w:rsidRPr="00070AD6">
        <w:rPr>
          <w:rFonts w:ascii="Times New Roman" w:hAnsi="Times New Roman" w:cs="Times New Roman"/>
          <w:sz w:val="21"/>
          <w:szCs w:val="21"/>
          <w:lang w:val="en-GB"/>
        </w:rPr>
        <w:t>.</w:t>
      </w:r>
    </w:p>
  </w:footnote>
  <w:footnote w:id="40">
    <w:p w:rsidR="00677175" w:rsidRPr="00B7178C" w:rsidRDefault="00677175" w:rsidP="00A03668">
      <w:pPr>
        <w:pStyle w:val="FootnoteText"/>
        <w:rPr>
          <w:rFonts w:ascii="Times New Roman" w:hAnsi="Times New Roman" w:cs="Times New Roman"/>
          <w:color w:val="000000" w:themeColor="text1"/>
          <w:sz w:val="21"/>
          <w:szCs w:val="21"/>
          <w:lang w:val="en-GB"/>
        </w:rPr>
      </w:pPr>
      <w:r w:rsidRPr="00070AD6">
        <w:rPr>
          <w:rStyle w:val="FootnoteReference"/>
          <w:rFonts w:ascii="Times New Roman" w:hAnsi="Times New Roman" w:cs="Times New Roman"/>
          <w:color w:val="000000" w:themeColor="text1"/>
          <w:sz w:val="21"/>
          <w:szCs w:val="21"/>
        </w:rPr>
        <w:footnoteRef/>
      </w:r>
      <w:r w:rsidRPr="00070AD6">
        <w:rPr>
          <w:rFonts w:ascii="Times New Roman" w:hAnsi="Times New Roman" w:cs="Times New Roman"/>
          <w:color w:val="000000" w:themeColor="text1"/>
          <w:sz w:val="21"/>
          <w:szCs w:val="21"/>
          <w:lang w:val="en-US"/>
        </w:rPr>
        <w:t xml:space="preserve"> </w:t>
      </w:r>
      <w:r w:rsidR="00B7178C" w:rsidRPr="00B7178C">
        <w:rPr>
          <w:rFonts w:ascii="Times New Roman" w:hAnsi="Times New Roman" w:cs="Times New Roman"/>
          <w:sz w:val="21"/>
          <w:szCs w:val="21"/>
          <w:lang w:val="en-GB"/>
        </w:rPr>
        <w:t xml:space="preserve">The legal studies in several </w:t>
      </w:r>
      <w:r w:rsidR="00776954">
        <w:rPr>
          <w:rFonts w:ascii="Times New Roman" w:hAnsi="Times New Roman" w:cs="Times New Roman"/>
          <w:sz w:val="21"/>
          <w:szCs w:val="21"/>
          <w:lang w:val="en-GB"/>
        </w:rPr>
        <w:t xml:space="preserve">civil law </w:t>
      </w:r>
      <w:r w:rsidR="00B7178C" w:rsidRPr="00B7178C">
        <w:rPr>
          <w:rFonts w:ascii="Times New Roman" w:hAnsi="Times New Roman" w:cs="Times New Roman"/>
          <w:sz w:val="21"/>
          <w:szCs w:val="21"/>
          <w:lang w:val="en-GB"/>
        </w:rPr>
        <w:t xml:space="preserve">jurisdictions </w:t>
      </w:r>
      <w:r w:rsidR="00776954">
        <w:rPr>
          <w:rFonts w:ascii="Times New Roman" w:hAnsi="Times New Roman" w:cs="Times New Roman"/>
          <w:sz w:val="21"/>
          <w:szCs w:val="21"/>
          <w:lang w:val="en-GB"/>
        </w:rPr>
        <w:t>have</w:t>
      </w:r>
      <w:r w:rsidR="00B7178C" w:rsidRPr="00B7178C">
        <w:rPr>
          <w:rFonts w:ascii="Times New Roman" w:hAnsi="Times New Roman" w:cs="Times New Roman"/>
          <w:sz w:val="21"/>
          <w:szCs w:val="21"/>
          <w:lang w:val="en-GB"/>
        </w:rPr>
        <w:t xml:space="preserve"> come under criticism </w:t>
      </w:r>
      <w:r w:rsidRPr="00B7178C">
        <w:rPr>
          <w:rFonts w:ascii="Times New Roman" w:hAnsi="Times New Roman" w:cs="Times New Roman"/>
          <w:sz w:val="21"/>
          <w:szCs w:val="21"/>
          <w:lang w:val="en-GB"/>
        </w:rPr>
        <w:t>thus</w:t>
      </w:r>
      <w:r w:rsidRPr="00070AD6">
        <w:rPr>
          <w:rFonts w:ascii="Times New Roman" w:hAnsi="Times New Roman" w:cs="Times New Roman"/>
          <w:color w:val="000000" w:themeColor="text1"/>
          <w:sz w:val="21"/>
          <w:szCs w:val="21"/>
          <w:lang w:val="en-GB"/>
        </w:rPr>
        <w:t xml:space="preserve"> their exclusive theoretical nature and the need </w:t>
      </w:r>
      <w:r w:rsidR="00417D6D">
        <w:rPr>
          <w:rFonts w:ascii="Times New Roman" w:hAnsi="Times New Roman" w:cs="Times New Roman"/>
          <w:color w:val="000000" w:themeColor="text1"/>
          <w:sz w:val="21"/>
          <w:szCs w:val="21"/>
          <w:lang w:val="en-GB"/>
        </w:rPr>
        <w:t>for</w:t>
      </w:r>
      <w:r w:rsidR="00417D6D" w:rsidRPr="00070AD6">
        <w:rPr>
          <w:rFonts w:ascii="Times New Roman" w:hAnsi="Times New Roman" w:cs="Times New Roman"/>
          <w:color w:val="000000" w:themeColor="text1"/>
          <w:sz w:val="21"/>
          <w:szCs w:val="21"/>
          <w:lang w:val="en-GB"/>
        </w:rPr>
        <w:t xml:space="preserve"> </w:t>
      </w:r>
      <w:r w:rsidRPr="00070AD6">
        <w:rPr>
          <w:rFonts w:ascii="Times New Roman" w:hAnsi="Times New Roman" w:cs="Times New Roman"/>
          <w:color w:val="000000" w:themeColor="text1"/>
          <w:sz w:val="21"/>
          <w:szCs w:val="21"/>
          <w:lang w:val="en-GB"/>
        </w:rPr>
        <w:t>more practical elements in the curricula</w:t>
      </w:r>
      <w:r w:rsidR="00B7178C">
        <w:rPr>
          <w:rFonts w:ascii="Times New Roman" w:hAnsi="Times New Roman" w:cs="Times New Roman"/>
          <w:color w:val="000000" w:themeColor="text1"/>
          <w:sz w:val="21"/>
          <w:szCs w:val="21"/>
          <w:lang w:val="en-GB"/>
        </w:rPr>
        <w:t xml:space="preserve"> has been suggested</w:t>
      </w:r>
      <w:r w:rsidRPr="00070AD6">
        <w:rPr>
          <w:rFonts w:ascii="Times New Roman" w:hAnsi="Times New Roman" w:cs="Times New Roman"/>
          <w:color w:val="000000" w:themeColor="text1"/>
          <w:sz w:val="21"/>
          <w:szCs w:val="21"/>
          <w:lang w:val="en-GB"/>
        </w:rPr>
        <w:t xml:space="preserve">; consequently, they have had similar </w:t>
      </w:r>
      <w:r w:rsidRPr="00070AD6">
        <w:rPr>
          <w:rFonts w:ascii="Times New Roman" w:hAnsi="Times New Roman" w:cs="Times New Roman"/>
          <w:sz w:val="21"/>
          <w:szCs w:val="21"/>
          <w:lang w:val="en-GB"/>
        </w:rPr>
        <w:t xml:space="preserve">legal studies’ development, even maintaining their traditional and historical features; see, as an example, the Czech Republic experience: </w:t>
      </w:r>
      <w:r w:rsidRPr="00240257">
        <w:rPr>
          <w:rFonts w:ascii="Times New Roman" w:hAnsi="Times New Roman" w:cs="Times New Roman"/>
          <w:sz w:val="21"/>
          <w:szCs w:val="21"/>
          <w:lang w:val="en-GB"/>
        </w:rPr>
        <w:t>‘The Czech Republic, which can be perceived as a bridge between Western and Eastern Europe and shares many common features with countries from both parts of Europe. The legal education was traditionally very theoretical, with occasional discussions about the lack of practical elements.</w:t>
      </w:r>
      <w:r w:rsidRPr="00240257">
        <w:rPr>
          <w:rFonts w:ascii="Times New Roman" w:hAnsi="Times New Roman" w:cs="Times New Roman"/>
          <w:position w:val="8"/>
          <w:sz w:val="21"/>
          <w:szCs w:val="21"/>
          <w:lang w:val="en-GB"/>
        </w:rPr>
        <w:t xml:space="preserve"> </w:t>
      </w:r>
      <w:r w:rsidRPr="00240257">
        <w:rPr>
          <w:rFonts w:ascii="Times New Roman" w:hAnsi="Times New Roman" w:cs="Times New Roman"/>
          <w:sz w:val="21"/>
          <w:szCs w:val="21"/>
          <w:lang w:val="en-GB"/>
        </w:rPr>
        <w:t>In the 1990s, there were several clinical projects taking place at different law schools, but none of them was particularly successful (…). I have the impression that the recent intensive development of legal clinics in the Czech Republic (and also in other European countries) derives from understanding that traditional legal education was inefficient and did not focus enough on skills and professional values’</w:t>
      </w:r>
      <w:r w:rsidRPr="00070AD6">
        <w:rPr>
          <w:rFonts w:ascii="Times New Roman" w:hAnsi="Times New Roman" w:cs="Times New Roman"/>
          <w:sz w:val="21"/>
          <w:szCs w:val="21"/>
          <w:lang w:val="en-GB"/>
        </w:rPr>
        <w:t xml:space="preserve">: M. </w:t>
      </w:r>
      <w:r w:rsidRPr="00070AD6">
        <w:rPr>
          <w:rFonts w:ascii="Times New Roman" w:hAnsi="Times New Roman" w:cs="Times New Roman"/>
          <w:smallCaps/>
          <w:color w:val="000000" w:themeColor="text1"/>
          <w:sz w:val="21"/>
          <w:szCs w:val="21"/>
          <w:lang w:val="en-US" w:eastAsia="it-IT"/>
        </w:rPr>
        <w:t>Tomoszek</w:t>
      </w:r>
      <w:r w:rsidRPr="00070AD6">
        <w:rPr>
          <w:rFonts w:ascii="Times New Roman" w:hAnsi="Times New Roman" w:cs="Times New Roman"/>
          <w:sz w:val="21"/>
          <w:szCs w:val="21"/>
          <w:lang w:val="en-GB"/>
        </w:rPr>
        <w:t>,</w:t>
      </w:r>
      <w:r w:rsidRPr="00070AD6">
        <w:rPr>
          <w:rFonts w:ascii="Times New Roman" w:hAnsi="Times New Roman" w:cs="Times New Roman"/>
          <w:bCs/>
          <w:sz w:val="21"/>
          <w:szCs w:val="21"/>
          <w:lang w:val="en-GB"/>
        </w:rPr>
        <w:t xml:space="preserve"> ‘The Growth of Legal Clinics in Europe – Faith and Hope, or Evidence and Hard Work?’, in 21. </w:t>
      </w:r>
      <w:r w:rsidRPr="00070AD6">
        <w:rPr>
          <w:rFonts w:ascii="Times New Roman" w:hAnsi="Times New Roman" w:cs="Times New Roman"/>
          <w:i/>
          <w:color w:val="000000" w:themeColor="text1"/>
          <w:sz w:val="21"/>
          <w:szCs w:val="21"/>
          <w:lang w:val="en-GB"/>
        </w:rPr>
        <w:t>International Journal of Clinical Legal Education</w:t>
      </w:r>
      <w:r w:rsidRPr="00070AD6">
        <w:rPr>
          <w:rFonts w:ascii="Times New Roman" w:hAnsi="Times New Roman" w:cs="Times New Roman"/>
          <w:color w:val="000000" w:themeColor="text1"/>
          <w:sz w:val="21"/>
          <w:szCs w:val="21"/>
          <w:lang w:val="en-GB"/>
        </w:rPr>
        <w:t xml:space="preserve"> 2014, p 99.</w:t>
      </w:r>
    </w:p>
  </w:footnote>
  <w:footnote w:id="41">
    <w:p w:rsidR="00677175" w:rsidRPr="00070AD6" w:rsidRDefault="00677175" w:rsidP="00A03668">
      <w:pPr>
        <w:pStyle w:val="NormalWeb"/>
        <w:spacing w:before="0" w:beforeAutospacing="0" w:after="0" w:afterAutospacing="0"/>
        <w:rPr>
          <w:sz w:val="21"/>
          <w:szCs w:val="21"/>
          <w:lang w:val="en-GB"/>
        </w:rPr>
      </w:pPr>
      <w:r w:rsidRPr="00070AD6">
        <w:rPr>
          <w:rStyle w:val="FootnoteReference"/>
          <w:sz w:val="21"/>
          <w:szCs w:val="21"/>
        </w:rPr>
        <w:footnoteRef/>
      </w:r>
      <w:r w:rsidRPr="00070AD6">
        <w:rPr>
          <w:sz w:val="21"/>
          <w:szCs w:val="21"/>
          <w:lang w:val="en-US"/>
        </w:rPr>
        <w:t xml:space="preserve"> </w:t>
      </w:r>
      <w:r w:rsidR="009C280A">
        <w:rPr>
          <w:sz w:val="21"/>
          <w:szCs w:val="21"/>
          <w:lang w:val="en-US"/>
        </w:rPr>
        <w:t>‘</w:t>
      </w:r>
      <w:r w:rsidRPr="00070AD6">
        <w:rPr>
          <w:i/>
          <w:sz w:val="21"/>
          <w:szCs w:val="21"/>
          <w:lang w:val="en-GB"/>
        </w:rPr>
        <w:t>Sapere, Saper fare e Saper essere: è questa la trilogia sulla quale si struttura il mestiere dell’avvocato</w:t>
      </w:r>
      <w:r w:rsidR="009C280A">
        <w:rPr>
          <w:sz w:val="21"/>
          <w:szCs w:val="21"/>
          <w:lang w:val="en-GB"/>
        </w:rPr>
        <w:t>’</w:t>
      </w:r>
      <w:r w:rsidR="009C280A" w:rsidRPr="00070AD6">
        <w:rPr>
          <w:sz w:val="21"/>
          <w:szCs w:val="21"/>
          <w:lang w:val="en-GB"/>
        </w:rPr>
        <w:t xml:space="preserve">: </w:t>
      </w:r>
      <w:r w:rsidRPr="00070AD6">
        <w:rPr>
          <w:sz w:val="21"/>
          <w:szCs w:val="21"/>
          <w:lang w:val="en-GB"/>
        </w:rPr>
        <w:t xml:space="preserve">G. </w:t>
      </w:r>
      <w:r w:rsidRPr="00070AD6">
        <w:rPr>
          <w:smallCaps/>
          <w:color w:val="000000" w:themeColor="text1"/>
          <w:sz w:val="21"/>
          <w:szCs w:val="21"/>
          <w:lang w:val="en-US"/>
        </w:rPr>
        <w:t>Pascuzzi</w:t>
      </w:r>
      <w:r w:rsidRPr="00070AD6">
        <w:rPr>
          <w:sz w:val="21"/>
          <w:szCs w:val="21"/>
          <w:lang w:val="en-GB"/>
        </w:rPr>
        <w:t xml:space="preserve">, ‘How to </w:t>
      </w:r>
      <w:r w:rsidR="00417D6D">
        <w:rPr>
          <w:sz w:val="21"/>
          <w:szCs w:val="21"/>
          <w:lang w:val="en-GB"/>
        </w:rPr>
        <w:t>B</w:t>
      </w:r>
      <w:r w:rsidR="00417D6D" w:rsidRPr="00070AD6">
        <w:rPr>
          <w:sz w:val="21"/>
          <w:szCs w:val="21"/>
          <w:lang w:val="en-GB"/>
        </w:rPr>
        <w:t xml:space="preserve">ecome </w:t>
      </w:r>
      <w:r w:rsidRPr="00070AD6">
        <w:rPr>
          <w:sz w:val="21"/>
          <w:szCs w:val="21"/>
          <w:lang w:val="en-GB"/>
        </w:rPr>
        <w:t xml:space="preserve">Lawyers and </w:t>
      </w:r>
      <w:r w:rsidR="00417D6D">
        <w:rPr>
          <w:sz w:val="21"/>
          <w:szCs w:val="21"/>
          <w:lang w:val="en-GB"/>
        </w:rPr>
        <w:t>A</w:t>
      </w:r>
      <w:r w:rsidR="00417D6D" w:rsidRPr="00070AD6">
        <w:rPr>
          <w:sz w:val="21"/>
          <w:szCs w:val="21"/>
          <w:lang w:val="en-GB"/>
        </w:rPr>
        <w:t xml:space="preserve">ble </w:t>
      </w:r>
      <w:r w:rsidRPr="00070AD6">
        <w:rPr>
          <w:sz w:val="21"/>
          <w:szCs w:val="21"/>
          <w:lang w:val="en-GB"/>
        </w:rPr>
        <w:t xml:space="preserve">to </w:t>
      </w:r>
      <w:r w:rsidR="00417D6D">
        <w:rPr>
          <w:sz w:val="21"/>
          <w:szCs w:val="21"/>
          <w:lang w:val="en-GB"/>
        </w:rPr>
        <w:t>D</w:t>
      </w:r>
      <w:r w:rsidR="00417D6D" w:rsidRPr="00070AD6">
        <w:rPr>
          <w:sz w:val="21"/>
          <w:szCs w:val="21"/>
          <w:lang w:val="en-GB"/>
        </w:rPr>
        <w:t xml:space="preserve">o </w:t>
      </w:r>
      <w:r w:rsidR="00417D6D">
        <w:rPr>
          <w:sz w:val="21"/>
          <w:szCs w:val="21"/>
          <w:lang w:val="en-GB"/>
        </w:rPr>
        <w:t>S</w:t>
      </w:r>
      <w:r w:rsidR="00417D6D" w:rsidRPr="00070AD6">
        <w:rPr>
          <w:sz w:val="21"/>
          <w:szCs w:val="21"/>
          <w:lang w:val="en-GB"/>
        </w:rPr>
        <w:t>o</w:t>
      </w:r>
      <w:r w:rsidRPr="00070AD6">
        <w:rPr>
          <w:sz w:val="21"/>
          <w:szCs w:val="21"/>
          <w:lang w:val="en-GB"/>
        </w:rPr>
        <w:t xml:space="preserve">: Teaching </w:t>
      </w:r>
      <w:r w:rsidR="00417D6D">
        <w:rPr>
          <w:sz w:val="21"/>
          <w:szCs w:val="21"/>
          <w:lang w:val="en-GB"/>
        </w:rPr>
        <w:t>t</w:t>
      </w:r>
      <w:r w:rsidR="00417D6D" w:rsidRPr="00070AD6">
        <w:rPr>
          <w:sz w:val="21"/>
          <w:szCs w:val="21"/>
          <w:lang w:val="en-GB"/>
        </w:rPr>
        <w:t xml:space="preserve">he </w:t>
      </w:r>
      <w:r w:rsidRPr="00070AD6">
        <w:rPr>
          <w:sz w:val="21"/>
          <w:szCs w:val="21"/>
          <w:lang w:val="en-GB"/>
        </w:rPr>
        <w:t xml:space="preserve">Ethics </w:t>
      </w:r>
      <w:r w:rsidR="00417D6D">
        <w:rPr>
          <w:sz w:val="21"/>
          <w:szCs w:val="21"/>
          <w:lang w:val="en-GB"/>
        </w:rPr>
        <w:t>o</w:t>
      </w:r>
      <w:r w:rsidR="00417D6D" w:rsidRPr="00070AD6">
        <w:rPr>
          <w:sz w:val="21"/>
          <w:szCs w:val="21"/>
          <w:lang w:val="en-GB"/>
        </w:rPr>
        <w:t xml:space="preserve">f </w:t>
      </w:r>
      <w:r w:rsidR="00417D6D">
        <w:rPr>
          <w:sz w:val="21"/>
          <w:szCs w:val="21"/>
          <w:lang w:val="en-GB"/>
        </w:rPr>
        <w:t>t</w:t>
      </w:r>
      <w:r w:rsidR="00417D6D" w:rsidRPr="00070AD6">
        <w:rPr>
          <w:sz w:val="21"/>
          <w:szCs w:val="21"/>
          <w:lang w:val="en-GB"/>
        </w:rPr>
        <w:t xml:space="preserve">he </w:t>
      </w:r>
      <w:r w:rsidRPr="00070AD6">
        <w:rPr>
          <w:sz w:val="21"/>
          <w:szCs w:val="21"/>
          <w:lang w:val="en-GB"/>
        </w:rPr>
        <w:t xml:space="preserve">Legal Profession through Narrative’, </w:t>
      </w:r>
      <w:r w:rsidRPr="00070AD6">
        <w:rPr>
          <w:color w:val="000000" w:themeColor="text1"/>
          <w:sz w:val="21"/>
          <w:szCs w:val="21"/>
          <w:lang w:val="en-GB"/>
        </w:rPr>
        <w:t>Research Paper n</w:t>
      </w:r>
      <w:r w:rsidR="009C280A">
        <w:rPr>
          <w:color w:val="000000" w:themeColor="text1"/>
          <w:sz w:val="21"/>
          <w:szCs w:val="21"/>
          <w:lang w:val="en-GB"/>
        </w:rPr>
        <w:t>o</w:t>
      </w:r>
      <w:r w:rsidRPr="00070AD6">
        <w:rPr>
          <w:color w:val="000000" w:themeColor="text1"/>
          <w:sz w:val="21"/>
          <w:szCs w:val="21"/>
          <w:lang w:val="en-GB"/>
        </w:rPr>
        <w:t xml:space="preserve">. 11, </w:t>
      </w:r>
      <w:r w:rsidRPr="00070AD6">
        <w:rPr>
          <w:sz w:val="21"/>
          <w:szCs w:val="21"/>
          <w:lang w:val="en-GB"/>
        </w:rPr>
        <w:t>2012</w:t>
      </w:r>
      <w:r w:rsidRPr="00070AD6">
        <w:rPr>
          <w:color w:val="000000" w:themeColor="text1"/>
          <w:sz w:val="21"/>
          <w:szCs w:val="21"/>
          <w:lang w:val="en-GB"/>
        </w:rPr>
        <w:t xml:space="preserve">, http://eprints.biblio.unitn.it/4003/1/11._Pascuzzi.pdf. </w:t>
      </w:r>
    </w:p>
  </w:footnote>
  <w:footnote w:id="42">
    <w:p w:rsidR="00677175" w:rsidRPr="00070AD6" w:rsidRDefault="00677175" w:rsidP="00A03668">
      <w:pPr>
        <w:pStyle w:val="FootnoteText"/>
        <w:rPr>
          <w:rFonts w:ascii="Times New Roman" w:hAnsi="Times New Roman" w:cs="Times New Roman"/>
          <w:sz w:val="21"/>
          <w:szCs w:val="21"/>
          <w:lang w:val="en-US"/>
        </w:rPr>
      </w:pPr>
      <w:r w:rsidRPr="00070AD6">
        <w:rPr>
          <w:rStyle w:val="FootnoteReference"/>
          <w:rFonts w:ascii="Times New Roman" w:hAnsi="Times New Roman" w:cs="Times New Roman"/>
          <w:sz w:val="21"/>
          <w:szCs w:val="21"/>
        </w:rPr>
        <w:footnoteRef/>
      </w:r>
      <w:r w:rsidRPr="00070AD6">
        <w:rPr>
          <w:rFonts w:ascii="Times New Roman" w:hAnsi="Times New Roman" w:cs="Times New Roman"/>
          <w:sz w:val="21"/>
          <w:szCs w:val="21"/>
          <w:lang w:val="en-US"/>
        </w:rPr>
        <w:t xml:space="preserve"> C. </w:t>
      </w:r>
      <w:r w:rsidRPr="00070AD6">
        <w:rPr>
          <w:rFonts w:ascii="Times New Roman" w:hAnsi="Times New Roman" w:cs="Times New Roman"/>
          <w:smallCaps/>
          <w:color w:val="000000" w:themeColor="text1"/>
          <w:sz w:val="21"/>
          <w:szCs w:val="21"/>
          <w:lang w:val="en-US" w:eastAsia="it-IT"/>
        </w:rPr>
        <w:t>Amato</w:t>
      </w:r>
      <w:r w:rsidRPr="00070AD6">
        <w:rPr>
          <w:rFonts w:ascii="Times New Roman" w:hAnsi="Times New Roman" w:cs="Times New Roman"/>
          <w:sz w:val="21"/>
          <w:szCs w:val="21"/>
          <w:lang w:val="en-US"/>
        </w:rPr>
        <w:t xml:space="preserve">, ‘Experiential </w:t>
      </w:r>
      <w:r w:rsidR="009C280A">
        <w:rPr>
          <w:rFonts w:ascii="Times New Roman" w:hAnsi="Times New Roman" w:cs="Times New Roman"/>
          <w:sz w:val="21"/>
          <w:szCs w:val="21"/>
          <w:lang w:val="en-US"/>
        </w:rPr>
        <w:t>L</w:t>
      </w:r>
      <w:r w:rsidR="009C280A" w:rsidRPr="00070AD6">
        <w:rPr>
          <w:rFonts w:ascii="Times New Roman" w:hAnsi="Times New Roman" w:cs="Times New Roman"/>
          <w:sz w:val="21"/>
          <w:szCs w:val="21"/>
          <w:lang w:val="en-US"/>
        </w:rPr>
        <w:t xml:space="preserve">earning </w:t>
      </w:r>
      <w:r w:rsidRPr="00070AD6">
        <w:rPr>
          <w:rFonts w:ascii="Times New Roman" w:hAnsi="Times New Roman" w:cs="Times New Roman"/>
          <w:sz w:val="21"/>
          <w:szCs w:val="21"/>
          <w:lang w:val="en-US"/>
        </w:rPr>
        <w:t xml:space="preserve">from the </w:t>
      </w:r>
      <w:r w:rsidR="009C280A">
        <w:rPr>
          <w:rFonts w:ascii="Times New Roman" w:hAnsi="Times New Roman" w:cs="Times New Roman"/>
          <w:sz w:val="21"/>
          <w:szCs w:val="21"/>
          <w:lang w:val="en-US"/>
        </w:rPr>
        <w:t>C</w:t>
      </w:r>
      <w:r w:rsidR="009C280A" w:rsidRPr="00070AD6">
        <w:rPr>
          <w:rFonts w:ascii="Times New Roman" w:hAnsi="Times New Roman" w:cs="Times New Roman"/>
          <w:sz w:val="21"/>
          <w:szCs w:val="21"/>
          <w:lang w:val="en-US"/>
        </w:rPr>
        <w:t xml:space="preserve">ontinental </w:t>
      </w:r>
      <w:r w:rsidR="009C280A">
        <w:rPr>
          <w:rFonts w:ascii="Times New Roman" w:hAnsi="Times New Roman" w:cs="Times New Roman"/>
          <w:sz w:val="21"/>
          <w:szCs w:val="21"/>
          <w:lang w:val="en-US"/>
        </w:rPr>
        <w:t>V</w:t>
      </w:r>
      <w:r w:rsidR="009C280A" w:rsidRPr="00070AD6">
        <w:rPr>
          <w:rFonts w:ascii="Times New Roman" w:hAnsi="Times New Roman" w:cs="Times New Roman"/>
          <w:sz w:val="21"/>
          <w:szCs w:val="21"/>
          <w:lang w:val="en-US"/>
        </w:rPr>
        <w:t>iewpoint</w:t>
      </w:r>
      <w:r w:rsidR="009C280A">
        <w:rPr>
          <w:rFonts w:ascii="Times New Roman" w:hAnsi="Times New Roman" w:cs="Times New Roman"/>
          <w:sz w:val="21"/>
          <w:szCs w:val="21"/>
          <w:lang w:val="en-US"/>
        </w:rPr>
        <w:t>:</w:t>
      </w:r>
      <w:r w:rsidR="009C280A" w:rsidRPr="00070AD6">
        <w:rPr>
          <w:rFonts w:ascii="Times New Roman" w:hAnsi="Times New Roman" w:cs="Times New Roman"/>
          <w:sz w:val="21"/>
          <w:szCs w:val="21"/>
          <w:lang w:val="en-US"/>
        </w:rPr>
        <w:t xml:space="preserve"> </w:t>
      </w:r>
      <w:r w:rsidRPr="00070AD6">
        <w:rPr>
          <w:rFonts w:ascii="Times New Roman" w:hAnsi="Times New Roman" w:cs="Times New Roman"/>
          <w:sz w:val="21"/>
          <w:szCs w:val="21"/>
          <w:lang w:val="en-US"/>
        </w:rPr>
        <w:t xml:space="preserve">If the </w:t>
      </w:r>
      <w:r w:rsidR="009C280A">
        <w:rPr>
          <w:rFonts w:ascii="Times New Roman" w:hAnsi="Times New Roman" w:cs="Times New Roman"/>
          <w:sz w:val="21"/>
          <w:szCs w:val="21"/>
          <w:lang w:val="en-US"/>
        </w:rPr>
        <w:t>C</w:t>
      </w:r>
      <w:r w:rsidR="009C280A" w:rsidRPr="00070AD6">
        <w:rPr>
          <w:rFonts w:ascii="Times New Roman" w:hAnsi="Times New Roman" w:cs="Times New Roman"/>
          <w:sz w:val="21"/>
          <w:szCs w:val="21"/>
          <w:lang w:val="en-US"/>
        </w:rPr>
        <w:t xml:space="preserve">ap </w:t>
      </w:r>
      <w:r w:rsidR="009C280A">
        <w:rPr>
          <w:rFonts w:ascii="Times New Roman" w:hAnsi="Times New Roman" w:cs="Times New Roman"/>
          <w:sz w:val="21"/>
          <w:szCs w:val="21"/>
          <w:lang w:val="en-US"/>
        </w:rPr>
        <w:t>F</w:t>
      </w:r>
      <w:r w:rsidR="009C280A" w:rsidRPr="00070AD6">
        <w:rPr>
          <w:rFonts w:ascii="Times New Roman" w:hAnsi="Times New Roman" w:cs="Times New Roman"/>
          <w:sz w:val="21"/>
          <w:szCs w:val="21"/>
          <w:lang w:val="en-US"/>
        </w:rPr>
        <w:t>its</w:t>
      </w:r>
      <w:r w:rsidRPr="00070AD6">
        <w:rPr>
          <w:rFonts w:ascii="Times New Roman" w:hAnsi="Times New Roman" w:cs="Times New Roman"/>
          <w:sz w:val="21"/>
          <w:szCs w:val="21"/>
          <w:lang w:val="en-US"/>
        </w:rPr>
        <w:t xml:space="preserve">…’, in R. Grimes (ed.), </w:t>
      </w:r>
      <w:r w:rsidRPr="00070AD6">
        <w:rPr>
          <w:rFonts w:ascii="Times New Roman" w:hAnsi="Times New Roman" w:cs="Times New Roman"/>
          <w:i/>
          <w:sz w:val="21"/>
          <w:szCs w:val="21"/>
          <w:lang w:val="en-US"/>
        </w:rPr>
        <w:t xml:space="preserve">Re-thinking Legal Education Under the Civil </w:t>
      </w:r>
      <w:r w:rsidR="009C280A">
        <w:rPr>
          <w:rFonts w:ascii="Times New Roman" w:hAnsi="Times New Roman" w:cs="Times New Roman"/>
          <w:i/>
          <w:sz w:val="21"/>
          <w:szCs w:val="21"/>
          <w:lang w:val="en-US"/>
        </w:rPr>
        <w:t>and</w:t>
      </w:r>
      <w:r w:rsidR="009C280A" w:rsidRPr="00070AD6">
        <w:rPr>
          <w:rFonts w:ascii="Times New Roman" w:hAnsi="Times New Roman" w:cs="Times New Roman"/>
          <w:i/>
          <w:sz w:val="21"/>
          <w:szCs w:val="21"/>
          <w:lang w:val="en-US"/>
        </w:rPr>
        <w:t xml:space="preserve"> </w:t>
      </w:r>
      <w:r w:rsidRPr="00070AD6">
        <w:rPr>
          <w:rFonts w:ascii="Times New Roman" w:hAnsi="Times New Roman" w:cs="Times New Roman"/>
          <w:i/>
          <w:sz w:val="21"/>
          <w:szCs w:val="21"/>
          <w:lang w:val="en-US"/>
        </w:rPr>
        <w:t>Common Law</w:t>
      </w:r>
      <w:r w:rsidR="009C280A">
        <w:rPr>
          <w:rFonts w:ascii="Times New Roman" w:hAnsi="Times New Roman" w:cs="Times New Roman"/>
          <w:i/>
          <w:sz w:val="21"/>
          <w:szCs w:val="21"/>
          <w:lang w:val="en-US"/>
        </w:rPr>
        <w:t>:</w:t>
      </w:r>
      <w:r w:rsidR="009C280A" w:rsidRPr="00070AD6">
        <w:rPr>
          <w:rFonts w:ascii="Times New Roman" w:hAnsi="Times New Roman" w:cs="Times New Roman"/>
          <w:i/>
          <w:sz w:val="21"/>
          <w:szCs w:val="21"/>
          <w:lang w:val="en-US"/>
        </w:rPr>
        <w:t xml:space="preserve"> </w:t>
      </w:r>
      <w:r w:rsidRPr="00070AD6">
        <w:rPr>
          <w:rFonts w:ascii="Times New Roman" w:hAnsi="Times New Roman" w:cs="Times New Roman"/>
          <w:i/>
          <w:sz w:val="21"/>
          <w:szCs w:val="21"/>
          <w:lang w:val="en-US"/>
        </w:rPr>
        <w:t>A Road Map for Constructive Change</w:t>
      </w:r>
      <w:r w:rsidRPr="00070AD6">
        <w:rPr>
          <w:rFonts w:ascii="Times New Roman" w:hAnsi="Times New Roman" w:cs="Times New Roman"/>
          <w:sz w:val="21"/>
          <w:szCs w:val="21"/>
          <w:lang w:val="en-US"/>
        </w:rPr>
        <w:t xml:space="preserve"> (Routledge, 2017).</w:t>
      </w:r>
    </w:p>
  </w:footnote>
  <w:footnote w:id="43">
    <w:p w:rsidR="00677175" w:rsidRPr="00070AD6" w:rsidRDefault="00677175" w:rsidP="00A03668">
      <w:pPr>
        <w:pStyle w:val="FootnoteText"/>
        <w:rPr>
          <w:rFonts w:ascii="Times New Roman" w:hAnsi="Times New Roman" w:cs="Times New Roman"/>
          <w:sz w:val="21"/>
          <w:szCs w:val="21"/>
          <w:lang w:val="en-GB"/>
        </w:rPr>
      </w:pPr>
      <w:r w:rsidRPr="00070AD6">
        <w:rPr>
          <w:rStyle w:val="FootnoteReference"/>
          <w:rFonts w:ascii="Times New Roman" w:hAnsi="Times New Roman" w:cs="Times New Roman"/>
          <w:sz w:val="21"/>
          <w:szCs w:val="21"/>
        </w:rPr>
        <w:footnoteRef/>
      </w:r>
      <w:r w:rsidRPr="00070AD6">
        <w:rPr>
          <w:rFonts w:ascii="Times New Roman" w:hAnsi="Times New Roman" w:cs="Times New Roman"/>
          <w:sz w:val="21"/>
          <w:szCs w:val="21"/>
          <w:lang w:val="en-US"/>
        </w:rPr>
        <w:t xml:space="preserve"> J. E. </w:t>
      </w:r>
      <w:r w:rsidRPr="00070AD6">
        <w:rPr>
          <w:rFonts w:ascii="Times New Roman" w:hAnsi="Times New Roman" w:cs="Times New Roman"/>
          <w:bCs/>
          <w:smallCaps/>
          <w:color w:val="000000" w:themeColor="text1"/>
          <w:sz w:val="21"/>
          <w:szCs w:val="21"/>
          <w:lang w:val="en-US" w:eastAsia="it-IT"/>
        </w:rPr>
        <w:t>Moliterno</w:t>
      </w:r>
      <w:r w:rsidRPr="00070AD6">
        <w:rPr>
          <w:rStyle w:val="Strong"/>
          <w:rFonts w:ascii="Times New Roman" w:hAnsi="Times New Roman" w:cs="Times New Roman"/>
          <w:b w:val="0"/>
          <w:sz w:val="21"/>
          <w:szCs w:val="21"/>
          <w:lang w:val="en-US"/>
        </w:rPr>
        <w:t>, ‘Experience and Legal Ethics Teaching’, Faculty Publications. Paper 930, 2001, http://scholarship.law.wm.edu/facpubs/930</w:t>
      </w:r>
      <w:r w:rsidRPr="00070AD6">
        <w:rPr>
          <w:rStyle w:val="Strong"/>
          <w:rFonts w:ascii="Times New Roman" w:hAnsi="Times New Roman" w:cs="Times New Roman"/>
          <w:b w:val="0"/>
          <w:color w:val="003366"/>
          <w:sz w:val="21"/>
          <w:szCs w:val="21"/>
          <w:lang w:val="en-US"/>
        </w:rPr>
        <w:t>.</w:t>
      </w:r>
    </w:p>
  </w:footnote>
  <w:footnote w:id="44">
    <w:p w:rsidR="00677175" w:rsidRPr="00070AD6" w:rsidRDefault="00677175" w:rsidP="00A03668">
      <w:pPr>
        <w:pStyle w:val="FootnoteText"/>
        <w:rPr>
          <w:rFonts w:ascii="Times New Roman" w:hAnsi="Times New Roman" w:cs="Times New Roman"/>
          <w:sz w:val="21"/>
          <w:szCs w:val="21"/>
          <w:lang w:val="en-US"/>
        </w:rPr>
      </w:pPr>
      <w:r w:rsidRPr="00070AD6">
        <w:rPr>
          <w:rStyle w:val="FootnoteReference"/>
          <w:rFonts w:ascii="Times New Roman" w:hAnsi="Times New Roman" w:cs="Times New Roman"/>
          <w:sz w:val="21"/>
          <w:szCs w:val="21"/>
        </w:rPr>
        <w:footnoteRef/>
      </w:r>
      <w:r w:rsidRPr="00070AD6">
        <w:rPr>
          <w:rFonts w:ascii="Times New Roman" w:hAnsi="Times New Roman" w:cs="Times New Roman"/>
          <w:sz w:val="21"/>
          <w:szCs w:val="21"/>
          <w:lang w:val="en-US"/>
        </w:rPr>
        <w:t xml:space="preserve"> For more information concerning the Brescia model</w:t>
      </w:r>
      <w:r>
        <w:rPr>
          <w:rFonts w:ascii="Times New Roman" w:hAnsi="Times New Roman" w:cs="Times New Roman"/>
          <w:sz w:val="21"/>
          <w:szCs w:val="21"/>
          <w:lang w:val="en-US"/>
        </w:rPr>
        <w:t>,</w:t>
      </w:r>
      <w:r w:rsidRPr="00070AD6">
        <w:rPr>
          <w:rFonts w:ascii="Times New Roman" w:hAnsi="Times New Roman" w:cs="Times New Roman"/>
          <w:sz w:val="21"/>
          <w:szCs w:val="21"/>
          <w:lang w:val="en-US"/>
        </w:rPr>
        <w:t xml:space="preserve"> see C. Amato, ‘Developing </w:t>
      </w:r>
      <w:r w:rsidR="009C280A">
        <w:rPr>
          <w:rFonts w:ascii="Times New Roman" w:hAnsi="Times New Roman" w:cs="Times New Roman"/>
          <w:sz w:val="21"/>
          <w:szCs w:val="21"/>
          <w:lang w:val="en-US"/>
        </w:rPr>
        <w:t>S</w:t>
      </w:r>
      <w:r w:rsidR="009C280A" w:rsidRPr="00070AD6">
        <w:rPr>
          <w:rFonts w:ascii="Times New Roman" w:hAnsi="Times New Roman" w:cs="Times New Roman"/>
          <w:sz w:val="21"/>
          <w:szCs w:val="21"/>
          <w:lang w:val="en-US"/>
        </w:rPr>
        <w:t xml:space="preserve">trategies </w:t>
      </w:r>
      <w:r w:rsidRPr="00070AD6">
        <w:rPr>
          <w:rFonts w:ascii="Times New Roman" w:hAnsi="Times New Roman" w:cs="Times New Roman"/>
          <w:sz w:val="21"/>
          <w:szCs w:val="21"/>
          <w:lang w:val="en-US"/>
        </w:rPr>
        <w:t xml:space="preserve">for </w:t>
      </w:r>
      <w:r w:rsidR="009C280A">
        <w:rPr>
          <w:rFonts w:ascii="Times New Roman" w:hAnsi="Times New Roman" w:cs="Times New Roman"/>
          <w:sz w:val="21"/>
          <w:szCs w:val="21"/>
          <w:lang w:val="en-US"/>
        </w:rPr>
        <w:t>A</w:t>
      </w:r>
      <w:r w:rsidR="009C280A" w:rsidRPr="00070AD6">
        <w:rPr>
          <w:rFonts w:ascii="Times New Roman" w:hAnsi="Times New Roman" w:cs="Times New Roman"/>
          <w:sz w:val="21"/>
          <w:szCs w:val="21"/>
          <w:lang w:val="en-US"/>
        </w:rPr>
        <w:t xml:space="preserve">cademic </w:t>
      </w:r>
      <w:r w:rsidRPr="00070AD6">
        <w:rPr>
          <w:rFonts w:ascii="Times New Roman" w:hAnsi="Times New Roman" w:cs="Times New Roman"/>
          <w:sz w:val="21"/>
          <w:szCs w:val="21"/>
          <w:lang w:val="en-US"/>
        </w:rPr>
        <w:t xml:space="preserve">and </w:t>
      </w:r>
      <w:r w:rsidR="009C280A">
        <w:rPr>
          <w:rFonts w:ascii="Times New Roman" w:hAnsi="Times New Roman" w:cs="Times New Roman"/>
          <w:sz w:val="21"/>
          <w:szCs w:val="21"/>
          <w:lang w:val="en-US"/>
        </w:rPr>
        <w:t>F</w:t>
      </w:r>
      <w:r w:rsidR="009C280A" w:rsidRPr="00070AD6">
        <w:rPr>
          <w:rFonts w:ascii="Times New Roman" w:hAnsi="Times New Roman" w:cs="Times New Roman"/>
          <w:sz w:val="21"/>
          <w:szCs w:val="21"/>
          <w:lang w:val="en-US"/>
        </w:rPr>
        <w:t xml:space="preserve">inancial </w:t>
      </w:r>
      <w:r w:rsidR="009C280A">
        <w:rPr>
          <w:rFonts w:ascii="Times New Roman" w:hAnsi="Times New Roman" w:cs="Times New Roman"/>
          <w:sz w:val="21"/>
          <w:szCs w:val="21"/>
          <w:lang w:val="en-US"/>
        </w:rPr>
        <w:t>S</w:t>
      </w:r>
      <w:r w:rsidR="009C280A" w:rsidRPr="00070AD6">
        <w:rPr>
          <w:rFonts w:ascii="Times New Roman" w:hAnsi="Times New Roman" w:cs="Times New Roman"/>
          <w:sz w:val="21"/>
          <w:szCs w:val="21"/>
          <w:lang w:val="en-US"/>
        </w:rPr>
        <w:t>ustainability</w:t>
      </w:r>
      <w:r w:rsidRPr="00070AD6">
        <w:rPr>
          <w:rFonts w:ascii="Times New Roman" w:hAnsi="Times New Roman" w:cs="Times New Roman"/>
          <w:sz w:val="21"/>
          <w:szCs w:val="21"/>
          <w:lang w:val="en-US"/>
        </w:rPr>
        <w:t xml:space="preserve">: </w:t>
      </w:r>
      <w:r w:rsidR="009C280A">
        <w:rPr>
          <w:rFonts w:ascii="Times New Roman" w:hAnsi="Times New Roman" w:cs="Times New Roman"/>
          <w:sz w:val="21"/>
          <w:szCs w:val="21"/>
          <w:lang w:val="en-US"/>
        </w:rPr>
        <w:t>T</w:t>
      </w:r>
      <w:r w:rsidR="009C280A" w:rsidRPr="00070AD6">
        <w:rPr>
          <w:rFonts w:ascii="Times New Roman" w:hAnsi="Times New Roman" w:cs="Times New Roman"/>
          <w:sz w:val="21"/>
          <w:szCs w:val="21"/>
          <w:lang w:val="en-US"/>
        </w:rPr>
        <w:t xml:space="preserve">he </w:t>
      </w:r>
      <w:r w:rsidRPr="00070AD6">
        <w:rPr>
          <w:rFonts w:ascii="Times New Roman" w:hAnsi="Times New Roman" w:cs="Times New Roman"/>
          <w:sz w:val="21"/>
          <w:szCs w:val="21"/>
          <w:lang w:val="en-US"/>
        </w:rPr>
        <w:t xml:space="preserve">Brescia Legal Clinic’s </w:t>
      </w:r>
      <w:r w:rsidR="009C280A">
        <w:rPr>
          <w:rFonts w:ascii="Times New Roman" w:hAnsi="Times New Roman" w:cs="Times New Roman"/>
          <w:sz w:val="21"/>
          <w:szCs w:val="21"/>
          <w:lang w:val="en-US"/>
        </w:rPr>
        <w:t>E</w:t>
      </w:r>
      <w:r w:rsidR="009C280A" w:rsidRPr="00070AD6">
        <w:rPr>
          <w:rFonts w:ascii="Times New Roman" w:hAnsi="Times New Roman" w:cs="Times New Roman"/>
          <w:sz w:val="21"/>
          <w:szCs w:val="21"/>
          <w:lang w:val="en-US"/>
        </w:rPr>
        <w:t>xperience’</w:t>
      </w:r>
      <w:r w:rsidRPr="00070AD6">
        <w:rPr>
          <w:rFonts w:ascii="Times New Roman" w:hAnsi="Times New Roman" w:cs="Times New Roman"/>
          <w:sz w:val="21"/>
          <w:szCs w:val="21"/>
          <w:lang w:val="en-US"/>
        </w:rPr>
        <w:t xml:space="preserve">, cit., p 141 ff.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399" w:rsidRPr="00813399" w:rsidRDefault="00813399" w:rsidP="00813399">
    <w:pPr>
      <w:spacing w:line="480" w:lineRule="auto"/>
      <w:rPr>
        <w:rFonts w:ascii="Palatino Linotype" w:hAnsi="Palatino Linotype"/>
        <w:i/>
        <w:lang w:eastAsia="en-US"/>
      </w:rPr>
    </w:pPr>
    <w:r w:rsidRPr="00813399">
      <w:rPr>
        <w:rFonts w:ascii="Palatino Linotype" w:hAnsi="Palatino Linotype"/>
        <w:i/>
      </w:rPr>
      <w:t>Special Issue: European Network for Clinical Legal Education 6</w:t>
    </w:r>
    <w:r w:rsidRPr="00813399">
      <w:rPr>
        <w:rFonts w:ascii="Palatino Linotype" w:hAnsi="Palatino Linotype"/>
        <w:i/>
        <w:vertAlign w:val="superscript"/>
      </w:rPr>
      <w:t>th</w:t>
    </w:r>
    <w:r w:rsidRPr="00813399">
      <w:rPr>
        <w:rFonts w:ascii="Palatino Linotype" w:hAnsi="Palatino Linotype"/>
        <w:i/>
      </w:rPr>
      <w:t xml:space="preserve"> Conference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B1429"/>
    <w:multiLevelType w:val="multilevel"/>
    <w:tmpl w:val="4FCA920A"/>
    <w:lvl w:ilvl="0">
      <w:start w:val="2"/>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ADC1B7E"/>
    <w:multiLevelType w:val="multilevel"/>
    <w:tmpl w:val="3E5817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3E5479"/>
    <w:multiLevelType w:val="hybridMultilevel"/>
    <w:tmpl w:val="A2B45F1A"/>
    <w:lvl w:ilvl="0" w:tplc="29FE63CA">
      <w:start w:val="1"/>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150885"/>
    <w:multiLevelType w:val="hybridMultilevel"/>
    <w:tmpl w:val="79B450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281107"/>
    <w:multiLevelType w:val="hybridMultilevel"/>
    <w:tmpl w:val="4D10F16E"/>
    <w:lvl w:ilvl="0" w:tplc="33F490C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39572F"/>
    <w:multiLevelType w:val="multilevel"/>
    <w:tmpl w:val="D8A4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AF5CD2"/>
    <w:multiLevelType w:val="hybridMultilevel"/>
    <w:tmpl w:val="6CDA4C62"/>
    <w:lvl w:ilvl="0" w:tplc="5E0A2C86">
      <w:start w:val="1"/>
      <w:numFmt w:val="upperLetter"/>
      <w:lvlText w:val="%1)"/>
      <w:lvlJc w:val="left"/>
      <w:pPr>
        <w:ind w:left="1088" w:hanging="38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3AA878FF"/>
    <w:multiLevelType w:val="multilevel"/>
    <w:tmpl w:val="23143C60"/>
    <w:lvl w:ilvl="0">
      <w:start w:val="2"/>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3DA3582F"/>
    <w:multiLevelType w:val="multilevel"/>
    <w:tmpl w:val="8AD46A2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3FAC6A98"/>
    <w:multiLevelType w:val="hybridMultilevel"/>
    <w:tmpl w:val="251E665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2A74CD6"/>
    <w:multiLevelType w:val="hybridMultilevel"/>
    <w:tmpl w:val="421CA588"/>
    <w:lvl w:ilvl="0" w:tplc="D9065402">
      <w:start w:val="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1447711"/>
    <w:multiLevelType w:val="multilevel"/>
    <w:tmpl w:val="3E5817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0"/>
  </w:num>
  <w:num w:numId="3">
    <w:abstractNumId w:val="6"/>
  </w:num>
  <w:num w:numId="4">
    <w:abstractNumId w:val="4"/>
  </w:num>
  <w:num w:numId="5">
    <w:abstractNumId w:val="1"/>
  </w:num>
  <w:num w:numId="6">
    <w:abstractNumId w:val="11"/>
  </w:num>
  <w:num w:numId="7">
    <w:abstractNumId w:val="3"/>
  </w:num>
  <w:num w:numId="8">
    <w:abstractNumId w:val="9"/>
  </w:num>
  <w:num w:numId="9">
    <w:abstractNumId w:val="8"/>
  </w:num>
  <w:num w:numId="10">
    <w:abstractNumId w:val="7"/>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503"/>
    <w:rsid w:val="00005BA5"/>
    <w:rsid w:val="00005F76"/>
    <w:rsid w:val="00007043"/>
    <w:rsid w:val="000150A2"/>
    <w:rsid w:val="00015AE1"/>
    <w:rsid w:val="00016781"/>
    <w:rsid w:val="00021FC8"/>
    <w:rsid w:val="0004424F"/>
    <w:rsid w:val="00050134"/>
    <w:rsid w:val="00057CE8"/>
    <w:rsid w:val="000609AF"/>
    <w:rsid w:val="000633B3"/>
    <w:rsid w:val="0006666E"/>
    <w:rsid w:val="00070AD6"/>
    <w:rsid w:val="0009450B"/>
    <w:rsid w:val="000B302A"/>
    <w:rsid w:val="000E7F9D"/>
    <w:rsid w:val="001073DE"/>
    <w:rsid w:val="00117FD2"/>
    <w:rsid w:val="001270EB"/>
    <w:rsid w:val="00134651"/>
    <w:rsid w:val="00157822"/>
    <w:rsid w:val="00164F3F"/>
    <w:rsid w:val="00186ADB"/>
    <w:rsid w:val="001963F0"/>
    <w:rsid w:val="00197956"/>
    <w:rsid w:val="00197C5B"/>
    <w:rsid w:val="00197CC1"/>
    <w:rsid w:val="001B025D"/>
    <w:rsid w:val="001D1E1E"/>
    <w:rsid w:val="001D48A7"/>
    <w:rsid w:val="001D5536"/>
    <w:rsid w:val="001E65EE"/>
    <w:rsid w:val="001F0BC9"/>
    <w:rsid w:val="0022697D"/>
    <w:rsid w:val="00230A86"/>
    <w:rsid w:val="0023121C"/>
    <w:rsid w:val="00240257"/>
    <w:rsid w:val="00246545"/>
    <w:rsid w:val="00246F95"/>
    <w:rsid w:val="0027530E"/>
    <w:rsid w:val="00281924"/>
    <w:rsid w:val="002922B0"/>
    <w:rsid w:val="002B29FE"/>
    <w:rsid w:val="002C5187"/>
    <w:rsid w:val="002C5216"/>
    <w:rsid w:val="002C5792"/>
    <w:rsid w:val="002E5858"/>
    <w:rsid w:val="002F1DC0"/>
    <w:rsid w:val="002F3292"/>
    <w:rsid w:val="002F52CA"/>
    <w:rsid w:val="002F674A"/>
    <w:rsid w:val="003009BC"/>
    <w:rsid w:val="00303219"/>
    <w:rsid w:val="0030509C"/>
    <w:rsid w:val="0030762A"/>
    <w:rsid w:val="0031082E"/>
    <w:rsid w:val="00320271"/>
    <w:rsid w:val="003242F8"/>
    <w:rsid w:val="00341C34"/>
    <w:rsid w:val="00347CF7"/>
    <w:rsid w:val="0037056E"/>
    <w:rsid w:val="0038479F"/>
    <w:rsid w:val="00385A5D"/>
    <w:rsid w:val="0039015C"/>
    <w:rsid w:val="00394138"/>
    <w:rsid w:val="003A4261"/>
    <w:rsid w:val="003B3709"/>
    <w:rsid w:val="003E0335"/>
    <w:rsid w:val="004006A7"/>
    <w:rsid w:val="004039FB"/>
    <w:rsid w:val="00417D6D"/>
    <w:rsid w:val="00421B00"/>
    <w:rsid w:val="004351F4"/>
    <w:rsid w:val="00440258"/>
    <w:rsid w:val="004539FA"/>
    <w:rsid w:val="0045511E"/>
    <w:rsid w:val="00463EA2"/>
    <w:rsid w:val="00467323"/>
    <w:rsid w:val="004674B3"/>
    <w:rsid w:val="0047327E"/>
    <w:rsid w:val="00474322"/>
    <w:rsid w:val="00481895"/>
    <w:rsid w:val="00496F44"/>
    <w:rsid w:val="004A0949"/>
    <w:rsid w:val="004B1613"/>
    <w:rsid w:val="004E5619"/>
    <w:rsid w:val="004E64F6"/>
    <w:rsid w:val="004E694C"/>
    <w:rsid w:val="004F31FA"/>
    <w:rsid w:val="004F5190"/>
    <w:rsid w:val="00503A04"/>
    <w:rsid w:val="00505CF2"/>
    <w:rsid w:val="005176EF"/>
    <w:rsid w:val="00523ABA"/>
    <w:rsid w:val="00525044"/>
    <w:rsid w:val="005251C7"/>
    <w:rsid w:val="00531A5C"/>
    <w:rsid w:val="005351CC"/>
    <w:rsid w:val="00540E72"/>
    <w:rsid w:val="0054260F"/>
    <w:rsid w:val="0054565B"/>
    <w:rsid w:val="00550D98"/>
    <w:rsid w:val="00555751"/>
    <w:rsid w:val="0056172A"/>
    <w:rsid w:val="00561E1C"/>
    <w:rsid w:val="00585D23"/>
    <w:rsid w:val="00587582"/>
    <w:rsid w:val="00590288"/>
    <w:rsid w:val="005D01BA"/>
    <w:rsid w:val="005D1743"/>
    <w:rsid w:val="005E3FA5"/>
    <w:rsid w:val="005E63D4"/>
    <w:rsid w:val="005F403F"/>
    <w:rsid w:val="006018BB"/>
    <w:rsid w:val="00607603"/>
    <w:rsid w:val="00612B69"/>
    <w:rsid w:val="00631AFC"/>
    <w:rsid w:val="00635258"/>
    <w:rsid w:val="00635F38"/>
    <w:rsid w:val="0064052F"/>
    <w:rsid w:val="0064508D"/>
    <w:rsid w:val="00666241"/>
    <w:rsid w:val="00671AA4"/>
    <w:rsid w:val="006728CC"/>
    <w:rsid w:val="00677175"/>
    <w:rsid w:val="00683845"/>
    <w:rsid w:val="0068407C"/>
    <w:rsid w:val="00691547"/>
    <w:rsid w:val="00692108"/>
    <w:rsid w:val="006A40BB"/>
    <w:rsid w:val="006A4EC5"/>
    <w:rsid w:val="006B662C"/>
    <w:rsid w:val="006C15BC"/>
    <w:rsid w:val="006D05C9"/>
    <w:rsid w:val="006D57B3"/>
    <w:rsid w:val="006E02DD"/>
    <w:rsid w:val="006F6287"/>
    <w:rsid w:val="0071517A"/>
    <w:rsid w:val="0071567C"/>
    <w:rsid w:val="0072617E"/>
    <w:rsid w:val="00736E07"/>
    <w:rsid w:val="00756851"/>
    <w:rsid w:val="00760CCD"/>
    <w:rsid w:val="0077483F"/>
    <w:rsid w:val="00776954"/>
    <w:rsid w:val="00777E04"/>
    <w:rsid w:val="00784401"/>
    <w:rsid w:val="00785159"/>
    <w:rsid w:val="00792E92"/>
    <w:rsid w:val="007A7B50"/>
    <w:rsid w:val="007C093F"/>
    <w:rsid w:val="007C79AD"/>
    <w:rsid w:val="007D0E2D"/>
    <w:rsid w:val="007D1AF7"/>
    <w:rsid w:val="007D3476"/>
    <w:rsid w:val="007E73D2"/>
    <w:rsid w:val="00801BA3"/>
    <w:rsid w:val="008105BF"/>
    <w:rsid w:val="00813399"/>
    <w:rsid w:val="0081696A"/>
    <w:rsid w:val="00832244"/>
    <w:rsid w:val="008433B1"/>
    <w:rsid w:val="00844B9A"/>
    <w:rsid w:val="00850657"/>
    <w:rsid w:val="00853D69"/>
    <w:rsid w:val="00857625"/>
    <w:rsid w:val="0086411D"/>
    <w:rsid w:val="00866049"/>
    <w:rsid w:val="008673D6"/>
    <w:rsid w:val="00867618"/>
    <w:rsid w:val="008861AE"/>
    <w:rsid w:val="008B65AA"/>
    <w:rsid w:val="008C1EAF"/>
    <w:rsid w:val="008C3479"/>
    <w:rsid w:val="008C3694"/>
    <w:rsid w:val="008C3CB3"/>
    <w:rsid w:val="008D719D"/>
    <w:rsid w:val="008D7CEC"/>
    <w:rsid w:val="008E0D9A"/>
    <w:rsid w:val="00901BE3"/>
    <w:rsid w:val="009208CD"/>
    <w:rsid w:val="0092671E"/>
    <w:rsid w:val="009304A3"/>
    <w:rsid w:val="0093705A"/>
    <w:rsid w:val="0094687D"/>
    <w:rsid w:val="009609B6"/>
    <w:rsid w:val="00960F3A"/>
    <w:rsid w:val="00973005"/>
    <w:rsid w:val="00976699"/>
    <w:rsid w:val="009851D6"/>
    <w:rsid w:val="0098770B"/>
    <w:rsid w:val="00997DBE"/>
    <w:rsid w:val="009C280A"/>
    <w:rsid w:val="009F0B7B"/>
    <w:rsid w:val="009F17C6"/>
    <w:rsid w:val="009F7CE2"/>
    <w:rsid w:val="00A03668"/>
    <w:rsid w:val="00A07D48"/>
    <w:rsid w:val="00A27C35"/>
    <w:rsid w:val="00A35F42"/>
    <w:rsid w:val="00A37DFD"/>
    <w:rsid w:val="00A50B97"/>
    <w:rsid w:val="00A53F3B"/>
    <w:rsid w:val="00A9563F"/>
    <w:rsid w:val="00A95A43"/>
    <w:rsid w:val="00AF25B8"/>
    <w:rsid w:val="00AF61B3"/>
    <w:rsid w:val="00B04767"/>
    <w:rsid w:val="00B0604C"/>
    <w:rsid w:val="00B07503"/>
    <w:rsid w:val="00B10588"/>
    <w:rsid w:val="00B17E23"/>
    <w:rsid w:val="00B22027"/>
    <w:rsid w:val="00B27E05"/>
    <w:rsid w:val="00B42676"/>
    <w:rsid w:val="00B44EDE"/>
    <w:rsid w:val="00B55144"/>
    <w:rsid w:val="00B57E75"/>
    <w:rsid w:val="00B63012"/>
    <w:rsid w:val="00B7178C"/>
    <w:rsid w:val="00B728FA"/>
    <w:rsid w:val="00BB304F"/>
    <w:rsid w:val="00BD3B66"/>
    <w:rsid w:val="00BD494D"/>
    <w:rsid w:val="00BE3DED"/>
    <w:rsid w:val="00C00049"/>
    <w:rsid w:val="00C02BA8"/>
    <w:rsid w:val="00C21EED"/>
    <w:rsid w:val="00C23EE2"/>
    <w:rsid w:val="00C32A98"/>
    <w:rsid w:val="00C36A26"/>
    <w:rsid w:val="00C412E4"/>
    <w:rsid w:val="00C5583D"/>
    <w:rsid w:val="00C61ED4"/>
    <w:rsid w:val="00C65657"/>
    <w:rsid w:val="00C71D1D"/>
    <w:rsid w:val="00C73149"/>
    <w:rsid w:val="00C90321"/>
    <w:rsid w:val="00C93819"/>
    <w:rsid w:val="00C96D66"/>
    <w:rsid w:val="00C97DCF"/>
    <w:rsid w:val="00CA28C5"/>
    <w:rsid w:val="00CA75F8"/>
    <w:rsid w:val="00CB08F2"/>
    <w:rsid w:val="00CB1029"/>
    <w:rsid w:val="00CB1B4C"/>
    <w:rsid w:val="00CB4B1C"/>
    <w:rsid w:val="00CC1A4E"/>
    <w:rsid w:val="00CE2585"/>
    <w:rsid w:val="00CF0F5F"/>
    <w:rsid w:val="00D02E87"/>
    <w:rsid w:val="00D22965"/>
    <w:rsid w:val="00D50B6F"/>
    <w:rsid w:val="00D62D24"/>
    <w:rsid w:val="00D738B9"/>
    <w:rsid w:val="00D73F77"/>
    <w:rsid w:val="00D81302"/>
    <w:rsid w:val="00D84477"/>
    <w:rsid w:val="00D85990"/>
    <w:rsid w:val="00D90974"/>
    <w:rsid w:val="00DC0F65"/>
    <w:rsid w:val="00DE0EB8"/>
    <w:rsid w:val="00DF22E0"/>
    <w:rsid w:val="00E03D7B"/>
    <w:rsid w:val="00E14E76"/>
    <w:rsid w:val="00E2590C"/>
    <w:rsid w:val="00E52274"/>
    <w:rsid w:val="00E67C64"/>
    <w:rsid w:val="00E73839"/>
    <w:rsid w:val="00E94879"/>
    <w:rsid w:val="00EA4336"/>
    <w:rsid w:val="00EA736D"/>
    <w:rsid w:val="00EC2834"/>
    <w:rsid w:val="00EC398B"/>
    <w:rsid w:val="00EC7D25"/>
    <w:rsid w:val="00EE6F1A"/>
    <w:rsid w:val="00EF10F9"/>
    <w:rsid w:val="00F00C61"/>
    <w:rsid w:val="00F23A88"/>
    <w:rsid w:val="00F30D76"/>
    <w:rsid w:val="00F33182"/>
    <w:rsid w:val="00F34232"/>
    <w:rsid w:val="00F40E32"/>
    <w:rsid w:val="00F42A7F"/>
    <w:rsid w:val="00F43B7D"/>
    <w:rsid w:val="00F45BCD"/>
    <w:rsid w:val="00F85ECB"/>
    <w:rsid w:val="00F92770"/>
    <w:rsid w:val="00F954C0"/>
    <w:rsid w:val="00F96370"/>
    <w:rsid w:val="00FA6984"/>
    <w:rsid w:val="00FD069A"/>
    <w:rsid w:val="00FD5EFE"/>
    <w:rsid w:val="00FE1BF9"/>
    <w:rsid w:val="00FE3175"/>
    <w:rsid w:val="00FE4256"/>
    <w:rsid w:val="00FE50E9"/>
    <w:rsid w:val="00FE56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033943"/>
  <w15:docId w15:val="{736F72D4-DA58-439A-8416-E69C49F2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A26"/>
    <w:rPr>
      <w:rFonts w:ascii="Times New Roman" w:eastAsia="Times New Roman" w:hAnsi="Times New Roman" w:cs="Times New Roman"/>
      <w:lang w:eastAsia="it-IT"/>
    </w:rPr>
  </w:style>
  <w:style w:type="paragraph" w:styleId="Heading1">
    <w:name w:val="heading 1"/>
    <w:basedOn w:val="Normal"/>
    <w:link w:val="Heading1Char"/>
    <w:uiPriority w:val="9"/>
    <w:qFormat/>
    <w:rsid w:val="0078515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97300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B07503"/>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B07503"/>
  </w:style>
  <w:style w:type="character" w:styleId="FootnoteReference">
    <w:name w:val="footnote reference"/>
    <w:basedOn w:val="DefaultParagraphFont"/>
    <w:uiPriority w:val="99"/>
    <w:unhideWhenUsed/>
    <w:rsid w:val="00B07503"/>
    <w:rPr>
      <w:vertAlign w:val="superscript"/>
    </w:rPr>
  </w:style>
  <w:style w:type="paragraph" w:styleId="ListParagraph">
    <w:name w:val="List Paragraph"/>
    <w:basedOn w:val="Normal"/>
    <w:uiPriority w:val="34"/>
    <w:qFormat/>
    <w:rsid w:val="00B07503"/>
    <w:pPr>
      <w:ind w:left="720"/>
      <w:contextualSpacing/>
    </w:pPr>
    <w:rPr>
      <w:szCs w:val="21"/>
    </w:rPr>
  </w:style>
  <w:style w:type="character" w:styleId="Hyperlink">
    <w:name w:val="Hyperlink"/>
    <w:basedOn w:val="DefaultParagraphFont"/>
    <w:uiPriority w:val="99"/>
    <w:unhideWhenUsed/>
    <w:rsid w:val="00117FD2"/>
    <w:rPr>
      <w:color w:val="0563C1" w:themeColor="hyperlink"/>
      <w:u w:val="single"/>
    </w:rPr>
  </w:style>
  <w:style w:type="character" w:customStyle="1" w:styleId="Menzionenonrisolta1">
    <w:name w:val="Menzione non risolta1"/>
    <w:basedOn w:val="DefaultParagraphFont"/>
    <w:uiPriority w:val="99"/>
    <w:semiHidden/>
    <w:unhideWhenUsed/>
    <w:rsid w:val="00117FD2"/>
    <w:rPr>
      <w:color w:val="605E5C"/>
      <w:shd w:val="clear" w:color="auto" w:fill="E1DFDD"/>
    </w:rPr>
  </w:style>
  <w:style w:type="paragraph" w:styleId="Footer">
    <w:name w:val="footer"/>
    <w:basedOn w:val="Normal"/>
    <w:link w:val="FooterChar"/>
    <w:uiPriority w:val="99"/>
    <w:unhideWhenUsed/>
    <w:rsid w:val="00F85ECB"/>
    <w:pPr>
      <w:tabs>
        <w:tab w:val="center" w:pos="4819"/>
        <w:tab w:val="right" w:pos="9638"/>
      </w:tabs>
    </w:pPr>
    <w:rPr>
      <w:szCs w:val="21"/>
    </w:rPr>
  </w:style>
  <w:style w:type="character" w:customStyle="1" w:styleId="FooterChar">
    <w:name w:val="Footer Char"/>
    <w:basedOn w:val="DefaultParagraphFont"/>
    <w:link w:val="Footer"/>
    <w:uiPriority w:val="99"/>
    <w:rsid w:val="00F85ECB"/>
    <w:rPr>
      <w:rFonts w:ascii="Times New Roman" w:eastAsia="SimSun" w:hAnsi="Times New Roman" w:cs="Mangal"/>
      <w:kern w:val="1"/>
      <w:szCs w:val="21"/>
      <w:lang w:val="en-GB" w:eastAsia="zh-CN" w:bidi="hi-IN"/>
    </w:rPr>
  </w:style>
  <w:style w:type="character" w:styleId="PageNumber">
    <w:name w:val="page number"/>
    <w:basedOn w:val="DefaultParagraphFont"/>
    <w:uiPriority w:val="99"/>
    <w:semiHidden/>
    <w:unhideWhenUsed/>
    <w:rsid w:val="00F85ECB"/>
  </w:style>
  <w:style w:type="paragraph" w:styleId="NormalWeb">
    <w:name w:val="Normal (Web)"/>
    <w:basedOn w:val="Normal"/>
    <w:uiPriority w:val="99"/>
    <w:unhideWhenUsed/>
    <w:rsid w:val="00FE3175"/>
    <w:pPr>
      <w:spacing w:before="100" w:beforeAutospacing="1" w:after="100" w:afterAutospacing="1"/>
    </w:pPr>
    <w:rPr>
      <w:rFonts w:eastAsiaTheme="minorHAnsi"/>
    </w:rPr>
  </w:style>
  <w:style w:type="character" w:styleId="Emphasis">
    <w:name w:val="Emphasis"/>
    <w:basedOn w:val="DefaultParagraphFont"/>
    <w:uiPriority w:val="20"/>
    <w:qFormat/>
    <w:rsid w:val="002F1DC0"/>
    <w:rPr>
      <w:i/>
      <w:iCs/>
    </w:rPr>
  </w:style>
  <w:style w:type="character" w:customStyle="1" w:styleId="apple-converted-space">
    <w:name w:val="apple-converted-space"/>
    <w:basedOn w:val="DefaultParagraphFont"/>
    <w:rsid w:val="002F1DC0"/>
  </w:style>
  <w:style w:type="character" w:customStyle="1" w:styleId="Heading1Char">
    <w:name w:val="Heading 1 Char"/>
    <w:basedOn w:val="DefaultParagraphFont"/>
    <w:link w:val="Heading1"/>
    <w:uiPriority w:val="9"/>
    <w:rsid w:val="00785159"/>
    <w:rPr>
      <w:rFonts w:ascii="Times New Roman" w:eastAsia="Times New Roman" w:hAnsi="Times New Roman" w:cs="Times New Roman"/>
      <w:b/>
      <w:bCs/>
      <w:kern w:val="36"/>
      <w:sz w:val="48"/>
      <w:szCs w:val="48"/>
      <w:lang w:eastAsia="it-IT"/>
    </w:rPr>
  </w:style>
  <w:style w:type="character" w:styleId="FollowedHyperlink">
    <w:name w:val="FollowedHyperlink"/>
    <w:basedOn w:val="DefaultParagraphFont"/>
    <w:uiPriority w:val="99"/>
    <w:semiHidden/>
    <w:unhideWhenUsed/>
    <w:rsid w:val="00785159"/>
    <w:rPr>
      <w:color w:val="954F72" w:themeColor="followedHyperlink"/>
      <w:u w:val="single"/>
    </w:rPr>
  </w:style>
  <w:style w:type="character" w:styleId="HTMLCite">
    <w:name w:val="HTML Cite"/>
    <w:basedOn w:val="DefaultParagraphFont"/>
    <w:uiPriority w:val="99"/>
    <w:semiHidden/>
    <w:unhideWhenUsed/>
    <w:rsid w:val="00736E07"/>
    <w:rPr>
      <w:i/>
      <w:iCs/>
    </w:rPr>
  </w:style>
  <w:style w:type="character" w:styleId="Strong">
    <w:name w:val="Strong"/>
    <w:qFormat/>
    <w:rsid w:val="00A37DFD"/>
    <w:rPr>
      <w:b/>
      <w:bCs/>
    </w:rPr>
  </w:style>
  <w:style w:type="paragraph" w:customStyle="1" w:styleId="Contenutotabella">
    <w:name w:val="Contenuto tabella"/>
    <w:basedOn w:val="Normal"/>
    <w:rsid w:val="00A37DFD"/>
    <w:pPr>
      <w:widowControl w:val="0"/>
      <w:suppressLineNumbers/>
      <w:suppressAutoHyphens/>
    </w:pPr>
    <w:rPr>
      <w:sz w:val="20"/>
      <w:szCs w:val="20"/>
    </w:rPr>
  </w:style>
  <w:style w:type="paragraph" w:customStyle="1" w:styleId="Default">
    <w:name w:val="Default"/>
    <w:rsid w:val="008D7CEC"/>
    <w:pPr>
      <w:widowControl w:val="0"/>
      <w:autoSpaceDE w:val="0"/>
      <w:autoSpaceDN w:val="0"/>
      <w:adjustRightInd w:val="0"/>
    </w:pPr>
    <w:rPr>
      <w:rFonts w:ascii="Times New Roman" w:hAnsi="Times New Roman" w:cs="Times New Roman"/>
      <w:color w:val="000000"/>
    </w:rPr>
  </w:style>
  <w:style w:type="character" w:customStyle="1" w:styleId="Heading2Char">
    <w:name w:val="Heading 2 Char"/>
    <w:basedOn w:val="DefaultParagraphFont"/>
    <w:link w:val="Heading2"/>
    <w:uiPriority w:val="9"/>
    <w:rsid w:val="00973005"/>
    <w:rPr>
      <w:rFonts w:asciiTheme="majorHAnsi" w:eastAsiaTheme="majorEastAsia" w:hAnsiTheme="majorHAnsi" w:cstheme="majorBidi"/>
      <w:color w:val="2F5496" w:themeColor="accent1" w:themeShade="BF"/>
      <w:sz w:val="26"/>
      <w:szCs w:val="26"/>
      <w:lang w:eastAsia="it-IT"/>
    </w:rPr>
  </w:style>
  <w:style w:type="character" w:styleId="CommentReference">
    <w:name w:val="annotation reference"/>
    <w:basedOn w:val="DefaultParagraphFont"/>
    <w:uiPriority w:val="99"/>
    <w:semiHidden/>
    <w:unhideWhenUsed/>
    <w:rsid w:val="006728CC"/>
    <w:rPr>
      <w:sz w:val="16"/>
      <w:szCs w:val="16"/>
    </w:rPr>
  </w:style>
  <w:style w:type="paragraph" w:styleId="CommentText">
    <w:name w:val="annotation text"/>
    <w:basedOn w:val="Normal"/>
    <w:link w:val="CommentTextChar"/>
    <w:uiPriority w:val="99"/>
    <w:semiHidden/>
    <w:unhideWhenUsed/>
    <w:rsid w:val="006728CC"/>
    <w:rPr>
      <w:sz w:val="20"/>
      <w:szCs w:val="20"/>
    </w:rPr>
  </w:style>
  <w:style w:type="character" w:customStyle="1" w:styleId="CommentTextChar">
    <w:name w:val="Comment Text Char"/>
    <w:basedOn w:val="DefaultParagraphFont"/>
    <w:link w:val="CommentText"/>
    <w:uiPriority w:val="99"/>
    <w:semiHidden/>
    <w:rsid w:val="006728CC"/>
    <w:rPr>
      <w:rFonts w:ascii="Times New Roman" w:eastAsia="Times New Roman" w:hAnsi="Times New Roman" w:cs="Times New Roman"/>
      <w:sz w:val="20"/>
      <w:szCs w:val="20"/>
      <w:lang w:eastAsia="it-IT"/>
    </w:rPr>
  </w:style>
  <w:style w:type="paragraph" w:styleId="CommentSubject">
    <w:name w:val="annotation subject"/>
    <w:basedOn w:val="CommentText"/>
    <w:next w:val="CommentText"/>
    <w:link w:val="CommentSubjectChar"/>
    <w:uiPriority w:val="99"/>
    <w:semiHidden/>
    <w:unhideWhenUsed/>
    <w:rsid w:val="006728CC"/>
    <w:rPr>
      <w:b/>
      <w:bCs/>
    </w:rPr>
  </w:style>
  <w:style w:type="character" w:customStyle="1" w:styleId="CommentSubjectChar">
    <w:name w:val="Comment Subject Char"/>
    <w:basedOn w:val="CommentTextChar"/>
    <w:link w:val="CommentSubject"/>
    <w:uiPriority w:val="99"/>
    <w:semiHidden/>
    <w:rsid w:val="006728CC"/>
    <w:rPr>
      <w:rFonts w:ascii="Times New Roman" w:eastAsia="Times New Roman" w:hAnsi="Times New Roman" w:cs="Times New Roman"/>
      <w:b/>
      <w:bCs/>
      <w:sz w:val="20"/>
      <w:szCs w:val="20"/>
      <w:lang w:eastAsia="it-IT"/>
    </w:rPr>
  </w:style>
  <w:style w:type="paragraph" w:styleId="BalloonText">
    <w:name w:val="Balloon Text"/>
    <w:basedOn w:val="Normal"/>
    <w:link w:val="BalloonTextChar"/>
    <w:uiPriority w:val="99"/>
    <w:semiHidden/>
    <w:unhideWhenUsed/>
    <w:rsid w:val="006728CC"/>
    <w:rPr>
      <w:rFonts w:ascii="Tahoma" w:hAnsi="Tahoma" w:cs="Tahoma"/>
      <w:sz w:val="16"/>
      <w:szCs w:val="16"/>
    </w:rPr>
  </w:style>
  <w:style w:type="character" w:customStyle="1" w:styleId="BalloonTextChar">
    <w:name w:val="Balloon Text Char"/>
    <w:basedOn w:val="DefaultParagraphFont"/>
    <w:link w:val="BalloonText"/>
    <w:uiPriority w:val="99"/>
    <w:semiHidden/>
    <w:rsid w:val="006728CC"/>
    <w:rPr>
      <w:rFonts w:ascii="Tahoma" w:eastAsia="Times New Roman" w:hAnsi="Tahoma" w:cs="Tahoma"/>
      <w:sz w:val="16"/>
      <w:szCs w:val="16"/>
      <w:lang w:eastAsia="it-IT"/>
    </w:rPr>
  </w:style>
  <w:style w:type="paragraph" w:styleId="Revision">
    <w:name w:val="Revision"/>
    <w:hidden/>
    <w:uiPriority w:val="99"/>
    <w:semiHidden/>
    <w:rsid w:val="0047327E"/>
    <w:rPr>
      <w:rFonts w:ascii="Times New Roman" w:eastAsia="Times New Roman" w:hAnsi="Times New Roman" w:cs="Times New Roman"/>
      <w:lang w:eastAsia="it-IT"/>
    </w:rPr>
  </w:style>
  <w:style w:type="paragraph" w:styleId="Header">
    <w:name w:val="header"/>
    <w:basedOn w:val="Normal"/>
    <w:link w:val="HeaderChar"/>
    <w:uiPriority w:val="99"/>
    <w:unhideWhenUsed/>
    <w:rsid w:val="00587582"/>
    <w:pPr>
      <w:tabs>
        <w:tab w:val="center" w:pos="4513"/>
        <w:tab w:val="right" w:pos="9026"/>
      </w:tabs>
    </w:pPr>
  </w:style>
  <w:style w:type="character" w:customStyle="1" w:styleId="HeaderChar">
    <w:name w:val="Header Char"/>
    <w:basedOn w:val="DefaultParagraphFont"/>
    <w:link w:val="Header"/>
    <w:uiPriority w:val="99"/>
    <w:rsid w:val="00587582"/>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30472">
      <w:bodyDiv w:val="1"/>
      <w:marLeft w:val="0"/>
      <w:marRight w:val="0"/>
      <w:marTop w:val="0"/>
      <w:marBottom w:val="0"/>
      <w:divBdr>
        <w:top w:val="none" w:sz="0" w:space="0" w:color="auto"/>
        <w:left w:val="none" w:sz="0" w:space="0" w:color="auto"/>
        <w:bottom w:val="none" w:sz="0" w:space="0" w:color="auto"/>
        <w:right w:val="none" w:sz="0" w:space="0" w:color="auto"/>
      </w:divBdr>
    </w:div>
    <w:div w:id="131140264">
      <w:bodyDiv w:val="1"/>
      <w:marLeft w:val="0"/>
      <w:marRight w:val="0"/>
      <w:marTop w:val="0"/>
      <w:marBottom w:val="0"/>
      <w:divBdr>
        <w:top w:val="none" w:sz="0" w:space="0" w:color="auto"/>
        <w:left w:val="none" w:sz="0" w:space="0" w:color="auto"/>
        <w:bottom w:val="none" w:sz="0" w:space="0" w:color="auto"/>
        <w:right w:val="none" w:sz="0" w:space="0" w:color="auto"/>
      </w:divBdr>
    </w:div>
    <w:div w:id="137654846">
      <w:bodyDiv w:val="1"/>
      <w:marLeft w:val="0"/>
      <w:marRight w:val="0"/>
      <w:marTop w:val="0"/>
      <w:marBottom w:val="0"/>
      <w:divBdr>
        <w:top w:val="none" w:sz="0" w:space="0" w:color="auto"/>
        <w:left w:val="none" w:sz="0" w:space="0" w:color="auto"/>
        <w:bottom w:val="none" w:sz="0" w:space="0" w:color="auto"/>
        <w:right w:val="none" w:sz="0" w:space="0" w:color="auto"/>
      </w:divBdr>
    </w:div>
    <w:div w:id="155607903">
      <w:bodyDiv w:val="1"/>
      <w:marLeft w:val="0"/>
      <w:marRight w:val="0"/>
      <w:marTop w:val="0"/>
      <w:marBottom w:val="0"/>
      <w:divBdr>
        <w:top w:val="none" w:sz="0" w:space="0" w:color="auto"/>
        <w:left w:val="none" w:sz="0" w:space="0" w:color="auto"/>
        <w:bottom w:val="none" w:sz="0" w:space="0" w:color="auto"/>
        <w:right w:val="none" w:sz="0" w:space="0" w:color="auto"/>
      </w:divBdr>
      <w:divsChild>
        <w:div w:id="1018581652">
          <w:marLeft w:val="0"/>
          <w:marRight w:val="0"/>
          <w:marTop w:val="0"/>
          <w:marBottom w:val="0"/>
          <w:divBdr>
            <w:top w:val="none" w:sz="0" w:space="0" w:color="auto"/>
            <w:left w:val="none" w:sz="0" w:space="0" w:color="auto"/>
            <w:bottom w:val="none" w:sz="0" w:space="0" w:color="auto"/>
            <w:right w:val="none" w:sz="0" w:space="0" w:color="auto"/>
          </w:divBdr>
        </w:div>
        <w:div w:id="188882553">
          <w:marLeft w:val="0"/>
          <w:marRight w:val="0"/>
          <w:marTop w:val="0"/>
          <w:marBottom w:val="0"/>
          <w:divBdr>
            <w:top w:val="none" w:sz="0" w:space="0" w:color="auto"/>
            <w:left w:val="none" w:sz="0" w:space="0" w:color="auto"/>
            <w:bottom w:val="none" w:sz="0" w:space="0" w:color="auto"/>
            <w:right w:val="none" w:sz="0" w:space="0" w:color="auto"/>
          </w:divBdr>
        </w:div>
      </w:divsChild>
    </w:div>
    <w:div w:id="308556164">
      <w:bodyDiv w:val="1"/>
      <w:marLeft w:val="0"/>
      <w:marRight w:val="0"/>
      <w:marTop w:val="0"/>
      <w:marBottom w:val="0"/>
      <w:divBdr>
        <w:top w:val="none" w:sz="0" w:space="0" w:color="auto"/>
        <w:left w:val="none" w:sz="0" w:space="0" w:color="auto"/>
        <w:bottom w:val="none" w:sz="0" w:space="0" w:color="auto"/>
        <w:right w:val="none" w:sz="0" w:space="0" w:color="auto"/>
      </w:divBdr>
    </w:div>
    <w:div w:id="370568403">
      <w:bodyDiv w:val="1"/>
      <w:marLeft w:val="0"/>
      <w:marRight w:val="0"/>
      <w:marTop w:val="0"/>
      <w:marBottom w:val="0"/>
      <w:divBdr>
        <w:top w:val="none" w:sz="0" w:space="0" w:color="auto"/>
        <w:left w:val="none" w:sz="0" w:space="0" w:color="auto"/>
        <w:bottom w:val="none" w:sz="0" w:space="0" w:color="auto"/>
        <w:right w:val="none" w:sz="0" w:space="0" w:color="auto"/>
      </w:divBdr>
    </w:div>
    <w:div w:id="382674885">
      <w:bodyDiv w:val="1"/>
      <w:marLeft w:val="0"/>
      <w:marRight w:val="0"/>
      <w:marTop w:val="0"/>
      <w:marBottom w:val="0"/>
      <w:divBdr>
        <w:top w:val="none" w:sz="0" w:space="0" w:color="auto"/>
        <w:left w:val="none" w:sz="0" w:space="0" w:color="auto"/>
        <w:bottom w:val="none" w:sz="0" w:space="0" w:color="auto"/>
        <w:right w:val="none" w:sz="0" w:space="0" w:color="auto"/>
      </w:divBdr>
    </w:div>
    <w:div w:id="436173679">
      <w:bodyDiv w:val="1"/>
      <w:marLeft w:val="0"/>
      <w:marRight w:val="0"/>
      <w:marTop w:val="0"/>
      <w:marBottom w:val="0"/>
      <w:divBdr>
        <w:top w:val="none" w:sz="0" w:space="0" w:color="auto"/>
        <w:left w:val="none" w:sz="0" w:space="0" w:color="auto"/>
        <w:bottom w:val="none" w:sz="0" w:space="0" w:color="auto"/>
        <w:right w:val="none" w:sz="0" w:space="0" w:color="auto"/>
      </w:divBdr>
    </w:div>
    <w:div w:id="576869453">
      <w:bodyDiv w:val="1"/>
      <w:marLeft w:val="0"/>
      <w:marRight w:val="0"/>
      <w:marTop w:val="0"/>
      <w:marBottom w:val="0"/>
      <w:divBdr>
        <w:top w:val="none" w:sz="0" w:space="0" w:color="auto"/>
        <w:left w:val="none" w:sz="0" w:space="0" w:color="auto"/>
        <w:bottom w:val="none" w:sz="0" w:space="0" w:color="auto"/>
        <w:right w:val="none" w:sz="0" w:space="0" w:color="auto"/>
      </w:divBdr>
    </w:div>
    <w:div w:id="584731355">
      <w:bodyDiv w:val="1"/>
      <w:marLeft w:val="0"/>
      <w:marRight w:val="0"/>
      <w:marTop w:val="0"/>
      <w:marBottom w:val="0"/>
      <w:divBdr>
        <w:top w:val="none" w:sz="0" w:space="0" w:color="auto"/>
        <w:left w:val="none" w:sz="0" w:space="0" w:color="auto"/>
        <w:bottom w:val="none" w:sz="0" w:space="0" w:color="auto"/>
        <w:right w:val="none" w:sz="0" w:space="0" w:color="auto"/>
      </w:divBdr>
    </w:div>
    <w:div w:id="700131051">
      <w:bodyDiv w:val="1"/>
      <w:marLeft w:val="0"/>
      <w:marRight w:val="0"/>
      <w:marTop w:val="0"/>
      <w:marBottom w:val="0"/>
      <w:divBdr>
        <w:top w:val="none" w:sz="0" w:space="0" w:color="auto"/>
        <w:left w:val="none" w:sz="0" w:space="0" w:color="auto"/>
        <w:bottom w:val="none" w:sz="0" w:space="0" w:color="auto"/>
        <w:right w:val="none" w:sz="0" w:space="0" w:color="auto"/>
      </w:divBdr>
    </w:div>
    <w:div w:id="749618911">
      <w:bodyDiv w:val="1"/>
      <w:marLeft w:val="0"/>
      <w:marRight w:val="0"/>
      <w:marTop w:val="0"/>
      <w:marBottom w:val="0"/>
      <w:divBdr>
        <w:top w:val="none" w:sz="0" w:space="0" w:color="auto"/>
        <w:left w:val="none" w:sz="0" w:space="0" w:color="auto"/>
        <w:bottom w:val="none" w:sz="0" w:space="0" w:color="auto"/>
        <w:right w:val="none" w:sz="0" w:space="0" w:color="auto"/>
      </w:divBdr>
    </w:div>
    <w:div w:id="754280938">
      <w:bodyDiv w:val="1"/>
      <w:marLeft w:val="0"/>
      <w:marRight w:val="0"/>
      <w:marTop w:val="0"/>
      <w:marBottom w:val="0"/>
      <w:divBdr>
        <w:top w:val="none" w:sz="0" w:space="0" w:color="auto"/>
        <w:left w:val="none" w:sz="0" w:space="0" w:color="auto"/>
        <w:bottom w:val="none" w:sz="0" w:space="0" w:color="auto"/>
        <w:right w:val="none" w:sz="0" w:space="0" w:color="auto"/>
      </w:divBdr>
    </w:div>
    <w:div w:id="875511562">
      <w:bodyDiv w:val="1"/>
      <w:marLeft w:val="0"/>
      <w:marRight w:val="0"/>
      <w:marTop w:val="0"/>
      <w:marBottom w:val="0"/>
      <w:divBdr>
        <w:top w:val="none" w:sz="0" w:space="0" w:color="auto"/>
        <w:left w:val="none" w:sz="0" w:space="0" w:color="auto"/>
        <w:bottom w:val="none" w:sz="0" w:space="0" w:color="auto"/>
        <w:right w:val="none" w:sz="0" w:space="0" w:color="auto"/>
      </w:divBdr>
    </w:div>
    <w:div w:id="897671487">
      <w:bodyDiv w:val="1"/>
      <w:marLeft w:val="0"/>
      <w:marRight w:val="0"/>
      <w:marTop w:val="0"/>
      <w:marBottom w:val="0"/>
      <w:divBdr>
        <w:top w:val="none" w:sz="0" w:space="0" w:color="auto"/>
        <w:left w:val="none" w:sz="0" w:space="0" w:color="auto"/>
        <w:bottom w:val="none" w:sz="0" w:space="0" w:color="auto"/>
        <w:right w:val="none" w:sz="0" w:space="0" w:color="auto"/>
      </w:divBdr>
    </w:div>
    <w:div w:id="926693708">
      <w:bodyDiv w:val="1"/>
      <w:marLeft w:val="0"/>
      <w:marRight w:val="0"/>
      <w:marTop w:val="0"/>
      <w:marBottom w:val="0"/>
      <w:divBdr>
        <w:top w:val="none" w:sz="0" w:space="0" w:color="auto"/>
        <w:left w:val="none" w:sz="0" w:space="0" w:color="auto"/>
        <w:bottom w:val="none" w:sz="0" w:space="0" w:color="auto"/>
        <w:right w:val="none" w:sz="0" w:space="0" w:color="auto"/>
      </w:divBdr>
    </w:div>
    <w:div w:id="985662890">
      <w:bodyDiv w:val="1"/>
      <w:marLeft w:val="0"/>
      <w:marRight w:val="0"/>
      <w:marTop w:val="0"/>
      <w:marBottom w:val="0"/>
      <w:divBdr>
        <w:top w:val="none" w:sz="0" w:space="0" w:color="auto"/>
        <w:left w:val="none" w:sz="0" w:space="0" w:color="auto"/>
        <w:bottom w:val="none" w:sz="0" w:space="0" w:color="auto"/>
        <w:right w:val="none" w:sz="0" w:space="0" w:color="auto"/>
      </w:divBdr>
    </w:div>
    <w:div w:id="1006904566">
      <w:bodyDiv w:val="1"/>
      <w:marLeft w:val="0"/>
      <w:marRight w:val="0"/>
      <w:marTop w:val="0"/>
      <w:marBottom w:val="0"/>
      <w:divBdr>
        <w:top w:val="none" w:sz="0" w:space="0" w:color="auto"/>
        <w:left w:val="none" w:sz="0" w:space="0" w:color="auto"/>
        <w:bottom w:val="none" w:sz="0" w:space="0" w:color="auto"/>
        <w:right w:val="none" w:sz="0" w:space="0" w:color="auto"/>
      </w:divBdr>
    </w:div>
    <w:div w:id="1010987017">
      <w:bodyDiv w:val="1"/>
      <w:marLeft w:val="0"/>
      <w:marRight w:val="0"/>
      <w:marTop w:val="0"/>
      <w:marBottom w:val="0"/>
      <w:divBdr>
        <w:top w:val="none" w:sz="0" w:space="0" w:color="auto"/>
        <w:left w:val="none" w:sz="0" w:space="0" w:color="auto"/>
        <w:bottom w:val="none" w:sz="0" w:space="0" w:color="auto"/>
        <w:right w:val="none" w:sz="0" w:space="0" w:color="auto"/>
      </w:divBdr>
    </w:div>
    <w:div w:id="1018774013">
      <w:bodyDiv w:val="1"/>
      <w:marLeft w:val="0"/>
      <w:marRight w:val="0"/>
      <w:marTop w:val="0"/>
      <w:marBottom w:val="0"/>
      <w:divBdr>
        <w:top w:val="none" w:sz="0" w:space="0" w:color="auto"/>
        <w:left w:val="none" w:sz="0" w:space="0" w:color="auto"/>
        <w:bottom w:val="none" w:sz="0" w:space="0" w:color="auto"/>
        <w:right w:val="none" w:sz="0" w:space="0" w:color="auto"/>
      </w:divBdr>
    </w:div>
    <w:div w:id="1039933992">
      <w:bodyDiv w:val="1"/>
      <w:marLeft w:val="0"/>
      <w:marRight w:val="0"/>
      <w:marTop w:val="0"/>
      <w:marBottom w:val="0"/>
      <w:divBdr>
        <w:top w:val="none" w:sz="0" w:space="0" w:color="auto"/>
        <w:left w:val="none" w:sz="0" w:space="0" w:color="auto"/>
        <w:bottom w:val="none" w:sz="0" w:space="0" w:color="auto"/>
        <w:right w:val="none" w:sz="0" w:space="0" w:color="auto"/>
      </w:divBdr>
    </w:div>
    <w:div w:id="1093549230">
      <w:bodyDiv w:val="1"/>
      <w:marLeft w:val="0"/>
      <w:marRight w:val="0"/>
      <w:marTop w:val="0"/>
      <w:marBottom w:val="0"/>
      <w:divBdr>
        <w:top w:val="none" w:sz="0" w:space="0" w:color="auto"/>
        <w:left w:val="none" w:sz="0" w:space="0" w:color="auto"/>
        <w:bottom w:val="none" w:sz="0" w:space="0" w:color="auto"/>
        <w:right w:val="none" w:sz="0" w:space="0" w:color="auto"/>
      </w:divBdr>
    </w:div>
    <w:div w:id="1102073082">
      <w:bodyDiv w:val="1"/>
      <w:marLeft w:val="0"/>
      <w:marRight w:val="0"/>
      <w:marTop w:val="0"/>
      <w:marBottom w:val="0"/>
      <w:divBdr>
        <w:top w:val="none" w:sz="0" w:space="0" w:color="auto"/>
        <w:left w:val="none" w:sz="0" w:space="0" w:color="auto"/>
        <w:bottom w:val="none" w:sz="0" w:space="0" w:color="auto"/>
        <w:right w:val="none" w:sz="0" w:space="0" w:color="auto"/>
      </w:divBdr>
      <w:divsChild>
        <w:div w:id="1153644106">
          <w:marLeft w:val="0"/>
          <w:marRight w:val="0"/>
          <w:marTop w:val="0"/>
          <w:marBottom w:val="0"/>
          <w:divBdr>
            <w:top w:val="none" w:sz="0" w:space="0" w:color="auto"/>
            <w:left w:val="none" w:sz="0" w:space="0" w:color="auto"/>
            <w:bottom w:val="none" w:sz="0" w:space="0" w:color="auto"/>
            <w:right w:val="none" w:sz="0" w:space="0" w:color="auto"/>
          </w:divBdr>
          <w:divsChild>
            <w:div w:id="211969183">
              <w:marLeft w:val="0"/>
              <w:marRight w:val="0"/>
              <w:marTop w:val="0"/>
              <w:marBottom w:val="0"/>
              <w:divBdr>
                <w:top w:val="none" w:sz="0" w:space="0" w:color="auto"/>
                <w:left w:val="none" w:sz="0" w:space="0" w:color="auto"/>
                <w:bottom w:val="none" w:sz="0" w:space="0" w:color="auto"/>
                <w:right w:val="none" w:sz="0" w:space="0" w:color="auto"/>
              </w:divBdr>
              <w:divsChild>
                <w:div w:id="139357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94978">
      <w:bodyDiv w:val="1"/>
      <w:marLeft w:val="0"/>
      <w:marRight w:val="0"/>
      <w:marTop w:val="0"/>
      <w:marBottom w:val="0"/>
      <w:divBdr>
        <w:top w:val="none" w:sz="0" w:space="0" w:color="auto"/>
        <w:left w:val="none" w:sz="0" w:space="0" w:color="auto"/>
        <w:bottom w:val="none" w:sz="0" w:space="0" w:color="auto"/>
        <w:right w:val="none" w:sz="0" w:space="0" w:color="auto"/>
      </w:divBdr>
    </w:div>
    <w:div w:id="1291856737">
      <w:bodyDiv w:val="1"/>
      <w:marLeft w:val="0"/>
      <w:marRight w:val="0"/>
      <w:marTop w:val="0"/>
      <w:marBottom w:val="0"/>
      <w:divBdr>
        <w:top w:val="none" w:sz="0" w:space="0" w:color="auto"/>
        <w:left w:val="none" w:sz="0" w:space="0" w:color="auto"/>
        <w:bottom w:val="none" w:sz="0" w:space="0" w:color="auto"/>
        <w:right w:val="none" w:sz="0" w:space="0" w:color="auto"/>
      </w:divBdr>
    </w:div>
    <w:div w:id="1298994717">
      <w:bodyDiv w:val="1"/>
      <w:marLeft w:val="0"/>
      <w:marRight w:val="0"/>
      <w:marTop w:val="0"/>
      <w:marBottom w:val="0"/>
      <w:divBdr>
        <w:top w:val="none" w:sz="0" w:space="0" w:color="auto"/>
        <w:left w:val="none" w:sz="0" w:space="0" w:color="auto"/>
        <w:bottom w:val="none" w:sz="0" w:space="0" w:color="auto"/>
        <w:right w:val="none" w:sz="0" w:space="0" w:color="auto"/>
      </w:divBdr>
      <w:divsChild>
        <w:div w:id="1042942815">
          <w:marLeft w:val="0"/>
          <w:marRight w:val="0"/>
          <w:marTop w:val="0"/>
          <w:marBottom w:val="0"/>
          <w:divBdr>
            <w:top w:val="none" w:sz="0" w:space="0" w:color="auto"/>
            <w:left w:val="none" w:sz="0" w:space="0" w:color="auto"/>
            <w:bottom w:val="none" w:sz="0" w:space="0" w:color="auto"/>
            <w:right w:val="none" w:sz="0" w:space="0" w:color="auto"/>
          </w:divBdr>
          <w:divsChild>
            <w:div w:id="1499611943">
              <w:marLeft w:val="0"/>
              <w:marRight w:val="0"/>
              <w:marTop w:val="0"/>
              <w:marBottom w:val="0"/>
              <w:divBdr>
                <w:top w:val="none" w:sz="0" w:space="0" w:color="auto"/>
                <w:left w:val="none" w:sz="0" w:space="0" w:color="auto"/>
                <w:bottom w:val="none" w:sz="0" w:space="0" w:color="auto"/>
                <w:right w:val="none" w:sz="0" w:space="0" w:color="auto"/>
              </w:divBdr>
              <w:divsChild>
                <w:div w:id="145667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68373">
      <w:bodyDiv w:val="1"/>
      <w:marLeft w:val="0"/>
      <w:marRight w:val="0"/>
      <w:marTop w:val="0"/>
      <w:marBottom w:val="0"/>
      <w:divBdr>
        <w:top w:val="none" w:sz="0" w:space="0" w:color="auto"/>
        <w:left w:val="none" w:sz="0" w:space="0" w:color="auto"/>
        <w:bottom w:val="none" w:sz="0" w:space="0" w:color="auto"/>
        <w:right w:val="none" w:sz="0" w:space="0" w:color="auto"/>
      </w:divBdr>
    </w:div>
    <w:div w:id="1360937919">
      <w:bodyDiv w:val="1"/>
      <w:marLeft w:val="0"/>
      <w:marRight w:val="0"/>
      <w:marTop w:val="0"/>
      <w:marBottom w:val="0"/>
      <w:divBdr>
        <w:top w:val="none" w:sz="0" w:space="0" w:color="auto"/>
        <w:left w:val="none" w:sz="0" w:space="0" w:color="auto"/>
        <w:bottom w:val="none" w:sz="0" w:space="0" w:color="auto"/>
        <w:right w:val="none" w:sz="0" w:space="0" w:color="auto"/>
      </w:divBdr>
    </w:div>
    <w:div w:id="1411199353">
      <w:bodyDiv w:val="1"/>
      <w:marLeft w:val="0"/>
      <w:marRight w:val="0"/>
      <w:marTop w:val="0"/>
      <w:marBottom w:val="0"/>
      <w:divBdr>
        <w:top w:val="none" w:sz="0" w:space="0" w:color="auto"/>
        <w:left w:val="none" w:sz="0" w:space="0" w:color="auto"/>
        <w:bottom w:val="none" w:sz="0" w:space="0" w:color="auto"/>
        <w:right w:val="none" w:sz="0" w:space="0" w:color="auto"/>
      </w:divBdr>
    </w:div>
    <w:div w:id="1418752760">
      <w:bodyDiv w:val="1"/>
      <w:marLeft w:val="0"/>
      <w:marRight w:val="0"/>
      <w:marTop w:val="0"/>
      <w:marBottom w:val="0"/>
      <w:divBdr>
        <w:top w:val="none" w:sz="0" w:space="0" w:color="auto"/>
        <w:left w:val="none" w:sz="0" w:space="0" w:color="auto"/>
        <w:bottom w:val="none" w:sz="0" w:space="0" w:color="auto"/>
        <w:right w:val="none" w:sz="0" w:space="0" w:color="auto"/>
      </w:divBdr>
    </w:div>
    <w:div w:id="1478843058">
      <w:bodyDiv w:val="1"/>
      <w:marLeft w:val="0"/>
      <w:marRight w:val="0"/>
      <w:marTop w:val="0"/>
      <w:marBottom w:val="0"/>
      <w:divBdr>
        <w:top w:val="none" w:sz="0" w:space="0" w:color="auto"/>
        <w:left w:val="none" w:sz="0" w:space="0" w:color="auto"/>
        <w:bottom w:val="none" w:sz="0" w:space="0" w:color="auto"/>
        <w:right w:val="none" w:sz="0" w:space="0" w:color="auto"/>
      </w:divBdr>
      <w:divsChild>
        <w:div w:id="937101225">
          <w:marLeft w:val="0"/>
          <w:marRight w:val="0"/>
          <w:marTop w:val="0"/>
          <w:marBottom w:val="0"/>
          <w:divBdr>
            <w:top w:val="none" w:sz="0" w:space="0" w:color="auto"/>
            <w:left w:val="none" w:sz="0" w:space="0" w:color="auto"/>
            <w:bottom w:val="none" w:sz="0" w:space="0" w:color="auto"/>
            <w:right w:val="none" w:sz="0" w:space="0" w:color="auto"/>
          </w:divBdr>
          <w:divsChild>
            <w:div w:id="380980961">
              <w:marLeft w:val="0"/>
              <w:marRight w:val="0"/>
              <w:marTop w:val="0"/>
              <w:marBottom w:val="0"/>
              <w:divBdr>
                <w:top w:val="none" w:sz="0" w:space="0" w:color="auto"/>
                <w:left w:val="none" w:sz="0" w:space="0" w:color="auto"/>
                <w:bottom w:val="none" w:sz="0" w:space="0" w:color="auto"/>
                <w:right w:val="none" w:sz="0" w:space="0" w:color="auto"/>
              </w:divBdr>
              <w:divsChild>
                <w:div w:id="674723115">
                  <w:marLeft w:val="0"/>
                  <w:marRight w:val="0"/>
                  <w:marTop w:val="0"/>
                  <w:marBottom w:val="0"/>
                  <w:divBdr>
                    <w:top w:val="none" w:sz="0" w:space="0" w:color="auto"/>
                    <w:left w:val="none" w:sz="0" w:space="0" w:color="auto"/>
                    <w:bottom w:val="none" w:sz="0" w:space="0" w:color="auto"/>
                    <w:right w:val="none" w:sz="0" w:space="0" w:color="auto"/>
                  </w:divBdr>
                  <w:divsChild>
                    <w:div w:id="16023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173505">
      <w:bodyDiv w:val="1"/>
      <w:marLeft w:val="0"/>
      <w:marRight w:val="0"/>
      <w:marTop w:val="0"/>
      <w:marBottom w:val="0"/>
      <w:divBdr>
        <w:top w:val="none" w:sz="0" w:space="0" w:color="auto"/>
        <w:left w:val="none" w:sz="0" w:space="0" w:color="auto"/>
        <w:bottom w:val="none" w:sz="0" w:space="0" w:color="auto"/>
        <w:right w:val="none" w:sz="0" w:space="0" w:color="auto"/>
      </w:divBdr>
    </w:div>
    <w:div w:id="1544557475">
      <w:bodyDiv w:val="1"/>
      <w:marLeft w:val="0"/>
      <w:marRight w:val="0"/>
      <w:marTop w:val="0"/>
      <w:marBottom w:val="0"/>
      <w:divBdr>
        <w:top w:val="none" w:sz="0" w:space="0" w:color="auto"/>
        <w:left w:val="none" w:sz="0" w:space="0" w:color="auto"/>
        <w:bottom w:val="none" w:sz="0" w:space="0" w:color="auto"/>
        <w:right w:val="none" w:sz="0" w:space="0" w:color="auto"/>
      </w:divBdr>
      <w:divsChild>
        <w:div w:id="2126076656">
          <w:marLeft w:val="0"/>
          <w:marRight w:val="0"/>
          <w:marTop w:val="0"/>
          <w:marBottom w:val="0"/>
          <w:divBdr>
            <w:top w:val="none" w:sz="0" w:space="0" w:color="auto"/>
            <w:left w:val="none" w:sz="0" w:space="0" w:color="auto"/>
            <w:bottom w:val="none" w:sz="0" w:space="0" w:color="auto"/>
            <w:right w:val="none" w:sz="0" w:space="0" w:color="auto"/>
          </w:divBdr>
          <w:divsChild>
            <w:div w:id="447772840">
              <w:marLeft w:val="0"/>
              <w:marRight w:val="0"/>
              <w:marTop w:val="0"/>
              <w:marBottom w:val="0"/>
              <w:divBdr>
                <w:top w:val="none" w:sz="0" w:space="0" w:color="auto"/>
                <w:left w:val="none" w:sz="0" w:space="0" w:color="auto"/>
                <w:bottom w:val="none" w:sz="0" w:space="0" w:color="auto"/>
                <w:right w:val="none" w:sz="0" w:space="0" w:color="auto"/>
              </w:divBdr>
              <w:divsChild>
                <w:div w:id="4929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65516">
      <w:bodyDiv w:val="1"/>
      <w:marLeft w:val="0"/>
      <w:marRight w:val="0"/>
      <w:marTop w:val="0"/>
      <w:marBottom w:val="0"/>
      <w:divBdr>
        <w:top w:val="none" w:sz="0" w:space="0" w:color="auto"/>
        <w:left w:val="none" w:sz="0" w:space="0" w:color="auto"/>
        <w:bottom w:val="none" w:sz="0" w:space="0" w:color="auto"/>
        <w:right w:val="none" w:sz="0" w:space="0" w:color="auto"/>
      </w:divBdr>
    </w:div>
    <w:div w:id="1574851835">
      <w:bodyDiv w:val="1"/>
      <w:marLeft w:val="0"/>
      <w:marRight w:val="0"/>
      <w:marTop w:val="0"/>
      <w:marBottom w:val="0"/>
      <w:divBdr>
        <w:top w:val="none" w:sz="0" w:space="0" w:color="auto"/>
        <w:left w:val="none" w:sz="0" w:space="0" w:color="auto"/>
        <w:bottom w:val="none" w:sz="0" w:space="0" w:color="auto"/>
        <w:right w:val="none" w:sz="0" w:space="0" w:color="auto"/>
      </w:divBdr>
      <w:divsChild>
        <w:div w:id="734200855">
          <w:marLeft w:val="0"/>
          <w:marRight w:val="0"/>
          <w:marTop w:val="0"/>
          <w:marBottom w:val="0"/>
          <w:divBdr>
            <w:top w:val="none" w:sz="0" w:space="0" w:color="auto"/>
            <w:left w:val="none" w:sz="0" w:space="0" w:color="auto"/>
            <w:bottom w:val="none" w:sz="0" w:space="0" w:color="auto"/>
            <w:right w:val="none" w:sz="0" w:space="0" w:color="auto"/>
          </w:divBdr>
          <w:divsChild>
            <w:div w:id="1729302967">
              <w:marLeft w:val="0"/>
              <w:marRight w:val="0"/>
              <w:marTop w:val="0"/>
              <w:marBottom w:val="0"/>
              <w:divBdr>
                <w:top w:val="none" w:sz="0" w:space="0" w:color="auto"/>
                <w:left w:val="none" w:sz="0" w:space="0" w:color="auto"/>
                <w:bottom w:val="none" w:sz="0" w:space="0" w:color="auto"/>
                <w:right w:val="none" w:sz="0" w:space="0" w:color="auto"/>
              </w:divBdr>
              <w:divsChild>
                <w:div w:id="467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535741">
      <w:bodyDiv w:val="1"/>
      <w:marLeft w:val="0"/>
      <w:marRight w:val="0"/>
      <w:marTop w:val="0"/>
      <w:marBottom w:val="0"/>
      <w:divBdr>
        <w:top w:val="none" w:sz="0" w:space="0" w:color="auto"/>
        <w:left w:val="none" w:sz="0" w:space="0" w:color="auto"/>
        <w:bottom w:val="none" w:sz="0" w:space="0" w:color="auto"/>
        <w:right w:val="none" w:sz="0" w:space="0" w:color="auto"/>
      </w:divBdr>
    </w:div>
    <w:div w:id="1597666599">
      <w:bodyDiv w:val="1"/>
      <w:marLeft w:val="0"/>
      <w:marRight w:val="0"/>
      <w:marTop w:val="0"/>
      <w:marBottom w:val="0"/>
      <w:divBdr>
        <w:top w:val="none" w:sz="0" w:space="0" w:color="auto"/>
        <w:left w:val="none" w:sz="0" w:space="0" w:color="auto"/>
        <w:bottom w:val="none" w:sz="0" w:space="0" w:color="auto"/>
        <w:right w:val="none" w:sz="0" w:space="0" w:color="auto"/>
      </w:divBdr>
      <w:divsChild>
        <w:div w:id="2113433660">
          <w:marLeft w:val="0"/>
          <w:marRight w:val="0"/>
          <w:marTop w:val="0"/>
          <w:marBottom w:val="0"/>
          <w:divBdr>
            <w:top w:val="none" w:sz="0" w:space="0" w:color="auto"/>
            <w:left w:val="none" w:sz="0" w:space="0" w:color="auto"/>
            <w:bottom w:val="none" w:sz="0" w:space="0" w:color="auto"/>
            <w:right w:val="none" w:sz="0" w:space="0" w:color="auto"/>
          </w:divBdr>
          <w:divsChild>
            <w:div w:id="1754888737">
              <w:marLeft w:val="0"/>
              <w:marRight w:val="0"/>
              <w:marTop w:val="0"/>
              <w:marBottom w:val="0"/>
              <w:divBdr>
                <w:top w:val="none" w:sz="0" w:space="0" w:color="auto"/>
                <w:left w:val="none" w:sz="0" w:space="0" w:color="auto"/>
                <w:bottom w:val="none" w:sz="0" w:space="0" w:color="auto"/>
                <w:right w:val="none" w:sz="0" w:space="0" w:color="auto"/>
              </w:divBdr>
              <w:divsChild>
                <w:div w:id="10799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03606">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91254700">
      <w:bodyDiv w:val="1"/>
      <w:marLeft w:val="0"/>
      <w:marRight w:val="0"/>
      <w:marTop w:val="0"/>
      <w:marBottom w:val="0"/>
      <w:divBdr>
        <w:top w:val="none" w:sz="0" w:space="0" w:color="auto"/>
        <w:left w:val="none" w:sz="0" w:space="0" w:color="auto"/>
        <w:bottom w:val="none" w:sz="0" w:space="0" w:color="auto"/>
        <w:right w:val="none" w:sz="0" w:space="0" w:color="auto"/>
      </w:divBdr>
    </w:div>
    <w:div w:id="2034574684">
      <w:bodyDiv w:val="1"/>
      <w:marLeft w:val="0"/>
      <w:marRight w:val="0"/>
      <w:marTop w:val="0"/>
      <w:marBottom w:val="0"/>
      <w:divBdr>
        <w:top w:val="none" w:sz="0" w:space="0" w:color="auto"/>
        <w:left w:val="none" w:sz="0" w:space="0" w:color="auto"/>
        <w:bottom w:val="none" w:sz="0" w:space="0" w:color="auto"/>
        <w:right w:val="none" w:sz="0" w:space="0" w:color="auto"/>
      </w:divBdr>
    </w:div>
    <w:div w:id="2092924155">
      <w:bodyDiv w:val="1"/>
      <w:marLeft w:val="0"/>
      <w:marRight w:val="0"/>
      <w:marTop w:val="0"/>
      <w:marBottom w:val="0"/>
      <w:divBdr>
        <w:top w:val="none" w:sz="0" w:space="0" w:color="auto"/>
        <w:left w:val="none" w:sz="0" w:space="0" w:color="auto"/>
        <w:bottom w:val="none" w:sz="0" w:space="0" w:color="auto"/>
        <w:right w:val="none" w:sz="0" w:space="0" w:color="auto"/>
      </w:divBdr>
    </w:div>
    <w:div w:id="209828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sra.org.uk/solicitors/competence-statement.page" TargetMode="External"/><Relationship Id="rId13" Type="http://schemas.openxmlformats.org/officeDocument/2006/relationships/hyperlink" Target="http://www.encle.org" TargetMode="External"/><Relationship Id="rId3" Type="http://schemas.openxmlformats.org/officeDocument/2006/relationships/hyperlink" Target="http://ec.europa.eu/competition/sectors/professional_services/studies/overview_of_regulation_in_the_eu_professions.pdf" TargetMode="External"/><Relationship Id="rId7" Type="http://schemas.openxmlformats.org/officeDocument/2006/relationships/hyperlink" Target="http://www.barstandardsboard.org.uk/media/1825162/032317_fbt_-_policy_statement_version_for_publication.pdf" TargetMode="External"/><Relationship Id="rId12" Type="http://schemas.openxmlformats.org/officeDocument/2006/relationships/hyperlink" Target="https://www.lawsociety.org.uk/support-services/research-trends/annual-statistics-report-2017/" TargetMode="External"/><Relationship Id="rId2" Type="http://schemas.openxmlformats.org/officeDocument/2006/relationships/hyperlink" Target="http://eur-lex.europa.eu/legal-content/EN/ALL/?uri=CELEX:52004DC0083" TargetMode="External"/><Relationship Id="rId1" Type="http://schemas.openxmlformats.org/officeDocument/2006/relationships/hyperlink" Target="http://www.consilium.europa.eu/uedocs/cms_data/docs/pressdata/en/ec/84335.pdf" TargetMode="External"/><Relationship Id="rId6" Type="http://schemas.openxmlformats.org/officeDocument/2006/relationships/hyperlink" Target="https://www.barstandardsboard.org.uk/qualifying-as-a-barrister/future-requirements/" TargetMode="External"/><Relationship Id="rId11" Type="http://schemas.openxmlformats.org/officeDocument/2006/relationships/hyperlink" Target="https://www.barstandardsboard.org.uk/media-centre/research-and-statistics/statistics/practising-barrister-statistics/" TargetMode="External"/><Relationship Id="rId5" Type="http://schemas.openxmlformats.org/officeDocument/2006/relationships/hyperlink" Target="http://www.letr.org.uk/the-report" TargetMode="External"/><Relationship Id="rId10" Type="http://schemas.openxmlformats.org/officeDocument/2006/relationships/hyperlink" Target="https://www.sra.org.uk/sra/consultations/solicitors-qualifying-examination.page" TargetMode="External"/><Relationship Id="rId4" Type="http://schemas.openxmlformats.org/officeDocument/2006/relationships/hyperlink" Target="https://eur-lex.europa.eu/legal-content/EN/TXT/?toc=OJ%3AL%3A2018%3A173%3ATOC&amp;uri=uriserv%3AOJ.L_.2018.173.01.0025.01.ENG" TargetMode="External"/><Relationship Id="rId9" Type="http://schemas.openxmlformats.org/officeDocument/2006/relationships/hyperlink" Target="https://www.sra.org.uk/sra/consultations/t4t-assessing-competence.pag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9D8F0-4562-4AF6-B097-0289CAF9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4204</Words>
  <Characters>23966</Characters>
  <Application>Microsoft Office Word</Application>
  <DocSecurity>0</DocSecurity>
  <Lines>199</Lines>
  <Paragraphs>56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28114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Bugatti</dc:creator>
  <cp:keywords/>
  <dc:description/>
  <cp:lastModifiedBy>Paul Burns</cp:lastModifiedBy>
  <cp:revision>3</cp:revision>
  <dcterms:created xsi:type="dcterms:W3CDTF">2019-07-03T13:18:00Z</dcterms:created>
  <dcterms:modified xsi:type="dcterms:W3CDTF">2019-07-03T13:19:00Z</dcterms:modified>
  <cp:category/>
</cp:coreProperties>
</file>