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13BB1" w14:textId="74CEF92A" w:rsidR="0024766C" w:rsidRPr="006814C7" w:rsidRDefault="0024766C" w:rsidP="005B37F3">
      <w:pPr>
        <w:rPr>
          <w:rFonts w:ascii="Palatino Linotype" w:hAnsi="Palatino Linotype"/>
          <w:b/>
        </w:rPr>
      </w:pPr>
      <w:r w:rsidRPr="006814C7">
        <w:rPr>
          <w:rFonts w:ascii="Palatino Linotype" w:hAnsi="Palatino Linotype"/>
          <w:b/>
        </w:rPr>
        <w:t xml:space="preserve">THE </w:t>
      </w:r>
      <w:r w:rsidR="00F75086" w:rsidRPr="006814C7">
        <w:rPr>
          <w:rFonts w:ascii="Palatino Linotype" w:hAnsi="Palatino Linotype"/>
          <w:b/>
        </w:rPr>
        <w:t>‘</w:t>
      </w:r>
      <w:r w:rsidRPr="006814C7">
        <w:rPr>
          <w:rFonts w:ascii="Palatino Linotype" w:hAnsi="Palatino Linotype"/>
          <w:b/>
        </w:rPr>
        <w:t>SECOND WAVE</w:t>
      </w:r>
      <w:r w:rsidR="00F75086" w:rsidRPr="006814C7">
        <w:rPr>
          <w:rFonts w:ascii="Palatino Linotype" w:hAnsi="Palatino Linotype"/>
          <w:b/>
        </w:rPr>
        <w:t>’</w:t>
      </w:r>
      <w:r w:rsidRPr="006814C7">
        <w:rPr>
          <w:rFonts w:ascii="Palatino Linotype" w:hAnsi="Palatino Linotype"/>
          <w:b/>
        </w:rPr>
        <w:t xml:space="preserve"> OF </w:t>
      </w:r>
      <w:r w:rsidR="00667B8F" w:rsidRPr="006814C7">
        <w:rPr>
          <w:rFonts w:ascii="Palatino Linotype" w:hAnsi="Palatino Linotype"/>
          <w:b/>
        </w:rPr>
        <w:t xml:space="preserve">SPANISH </w:t>
      </w:r>
      <w:r w:rsidRPr="006814C7">
        <w:rPr>
          <w:rFonts w:ascii="Palatino Linotype" w:hAnsi="Palatino Linotype"/>
          <w:b/>
        </w:rPr>
        <w:t>CLINICAL LEGAL EDUCATION:</w:t>
      </w:r>
      <w:r w:rsidR="00523FEE" w:rsidRPr="006814C7">
        <w:rPr>
          <w:rFonts w:ascii="Palatino Linotype" w:hAnsi="Palatino Linotype"/>
          <w:b/>
        </w:rPr>
        <w:t xml:space="preserve"> </w:t>
      </w:r>
    </w:p>
    <w:p w14:paraId="12C9514D" w14:textId="07A9A091" w:rsidR="00072FD8" w:rsidRPr="005B37F3" w:rsidRDefault="003061E7" w:rsidP="005B37F3">
      <w:pPr>
        <w:rPr>
          <w:rFonts w:ascii="Palatino Linotype" w:hAnsi="Palatino Linotype"/>
          <w:b/>
          <w:sz w:val="28"/>
          <w:szCs w:val="28"/>
        </w:rPr>
      </w:pPr>
      <w:r w:rsidRPr="006814C7">
        <w:rPr>
          <w:rFonts w:ascii="Palatino Linotype" w:hAnsi="Palatino Linotype"/>
          <w:b/>
        </w:rPr>
        <w:t>EMPIRICAL</w:t>
      </w:r>
      <w:r w:rsidR="0038212E" w:rsidRPr="006814C7">
        <w:rPr>
          <w:rFonts w:ascii="Palatino Linotype" w:hAnsi="Palatino Linotype"/>
          <w:b/>
        </w:rPr>
        <w:t>, PEDAGOGICAL, AND INSTITUTIONAL</w:t>
      </w:r>
      <w:r w:rsidRPr="006814C7">
        <w:rPr>
          <w:rFonts w:ascii="Palatino Linotype" w:hAnsi="Palatino Linotype"/>
          <w:b/>
        </w:rPr>
        <w:t xml:space="preserve"> LESSONS FOR</w:t>
      </w:r>
      <w:r w:rsidR="00597069" w:rsidRPr="006814C7">
        <w:rPr>
          <w:rFonts w:ascii="Palatino Linotype" w:hAnsi="Palatino Linotype"/>
          <w:b/>
        </w:rPr>
        <w:t xml:space="preserve"> </w:t>
      </w:r>
      <w:r w:rsidR="0024766C" w:rsidRPr="006814C7">
        <w:rPr>
          <w:rFonts w:ascii="Palatino Linotype" w:hAnsi="Palatino Linotype"/>
          <w:b/>
        </w:rPr>
        <w:t xml:space="preserve">A </w:t>
      </w:r>
      <w:r w:rsidR="007C42A8" w:rsidRPr="006814C7">
        <w:rPr>
          <w:rFonts w:ascii="Palatino Linotype" w:hAnsi="Palatino Linotype"/>
          <w:b/>
        </w:rPr>
        <w:t xml:space="preserve">PILOT </w:t>
      </w:r>
      <w:r w:rsidR="00F75086" w:rsidRPr="006814C7">
        <w:rPr>
          <w:rFonts w:ascii="Palatino Linotype" w:hAnsi="Palatino Linotype"/>
          <w:b/>
        </w:rPr>
        <w:t>COURSE</w:t>
      </w:r>
      <w:r w:rsidR="0024766C" w:rsidRPr="006814C7">
        <w:rPr>
          <w:rFonts w:ascii="Palatino Linotype" w:hAnsi="Palatino Linotype"/>
          <w:b/>
        </w:rPr>
        <w:t xml:space="preserve"> </w:t>
      </w:r>
      <w:r w:rsidR="007C4367" w:rsidRPr="006814C7">
        <w:rPr>
          <w:rFonts w:ascii="Palatino Linotype" w:hAnsi="Palatino Linotype"/>
          <w:b/>
        </w:rPr>
        <w:t>AND PROGRAM</w:t>
      </w:r>
      <w:r w:rsidRPr="006814C7">
        <w:rPr>
          <w:rFonts w:ascii="Palatino Linotype" w:hAnsi="Palatino Linotype"/>
          <w:b/>
        </w:rPr>
        <w:t xml:space="preserve"> </w:t>
      </w:r>
      <w:r w:rsidR="00597069" w:rsidRPr="006814C7">
        <w:rPr>
          <w:rFonts w:ascii="Palatino Linotype" w:hAnsi="Palatino Linotype"/>
          <w:b/>
        </w:rPr>
        <w:t>AT THE UNIVERSITY OF GRANADA</w:t>
      </w:r>
    </w:p>
    <w:p w14:paraId="71D127B0" w14:textId="568D0C72" w:rsidR="006D7746" w:rsidRPr="006814C7" w:rsidRDefault="006D7746" w:rsidP="00597069">
      <w:pPr>
        <w:jc w:val="center"/>
        <w:rPr>
          <w:rFonts w:ascii="Palatino Linotype" w:hAnsi="Palatino Linotype"/>
        </w:rPr>
      </w:pPr>
    </w:p>
    <w:p w14:paraId="5B13A356" w14:textId="5B6409D0" w:rsidR="00BC44EC" w:rsidRPr="005B37F3" w:rsidRDefault="00AE615D" w:rsidP="00BC44EC">
      <w:pPr>
        <w:rPr>
          <w:rFonts w:ascii="Palatino Linotype" w:hAnsi="Palatino Linotype"/>
          <w:b/>
          <w:lang w:val="es-ES_tradnl"/>
        </w:rPr>
      </w:pPr>
      <w:proofErr w:type="spellStart"/>
      <w:r w:rsidRPr="005B37F3">
        <w:rPr>
          <w:rFonts w:ascii="Palatino Linotype" w:hAnsi="Palatino Linotype"/>
          <w:b/>
          <w:lang w:val="es-ES_tradnl"/>
        </w:rPr>
        <w:t>Masao</w:t>
      </w:r>
      <w:proofErr w:type="spellEnd"/>
      <w:r w:rsidR="00B01066" w:rsidRPr="005B37F3">
        <w:rPr>
          <w:rFonts w:ascii="Palatino Linotype" w:hAnsi="Palatino Linotype"/>
          <w:b/>
          <w:lang w:val="es-ES_tradnl"/>
        </w:rPr>
        <w:t xml:space="preserve"> Javier</w:t>
      </w:r>
      <w:r w:rsidRPr="005B37F3">
        <w:rPr>
          <w:rFonts w:ascii="Palatino Linotype" w:hAnsi="Palatino Linotype"/>
          <w:b/>
          <w:lang w:val="es-ES_tradnl"/>
        </w:rPr>
        <w:t xml:space="preserve"> </w:t>
      </w:r>
      <w:proofErr w:type="spellStart"/>
      <w:r w:rsidRPr="005B37F3">
        <w:rPr>
          <w:rFonts w:ascii="Palatino Linotype" w:hAnsi="Palatino Linotype"/>
          <w:b/>
          <w:lang w:val="es-ES_tradnl"/>
        </w:rPr>
        <w:t>Lopez</w:t>
      </w:r>
      <w:proofErr w:type="spellEnd"/>
      <w:r w:rsidR="00B01066" w:rsidRPr="005B37F3">
        <w:rPr>
          <w:rFonts w:ascii="Palatino Linotype" w:hAnsi="Palatino Linotype"/>
          <w:b/>
          <w:lang w:val="es-ES_tradnl"/>
        </w:rPr>
        <w:t xml:space="preserve"> </w:t>
      </w:r>
      <w:proofErr w:type="spellStart"/>
      <w:r w:rsidR="00B01066" w:rsidRPr="005B37F3">
        <w:rPr>
          <w:rFonts w:ascii="Palatino Linotype" w:hAnsi="Palatino Linotype"/>
          <w:b/>
          <w:lang w:val="es-ES_tradnl"/>
        </w:rPr>
        <w:t>Sako</w:t>
      </w:r>
      <w:r w:rsidRPr="005B37F3">
        <w:rPr>
          <w:rFonts w:ascii="Palatino Linotype" w:hAnsi="Palatino Linotype"/>
          <w:b/>
          <w:lang w:val="es-ES_tradnl"/>
        </w:rPr>
        <w:t>,</w:t>
      </w:r>
      <w:r w:rsidR="00B00430" w:rsidRPr="005B37F3">
        <w:rPr>
          <w:rStyle w:val="FootnoteReference"/>
          <w:rFonts w:ascii="Palatino Linotype" w:hAnsi="Palatino Linotype"/>
          <w:b/>
          <w:lang w:val="es-ES_tradnl"/>
        </w:rPr>
        <w:footnoteReference w:customMarkFollows="1" w:id="1"/>
        <w:t>i</w:t>
      </w:r>
      <w:proofErr w:type="spellEnd"/>
      <w:r w:rsidRPr="005B37F3">
        <w:rPr>
          <w:rFonts w:ascii="Palatino Linotype" w:hAnsi="Palatino Linotype"/>
          <w:b/>
          <w:lang w:val="es-ES_tradnl"/>
        </w:rPr>
        <w:t xml:space="preserve"> </w:t>
      </w:r>
      <w:r w:rsidR="00BC44EC" w:rsidRPr="005B37F3">
        <w:rPr>
          <w:rFonts w:ascii="Palatino Linotype" w:hAnsi="Palatino Linotype"/>
          <w:b/>
          <w:lang w:val="es-ES_tradnl"/>
        </w:rPr>
        <w:t xml:space="preserve">Universidad de Granada, </w:t>
      </w:r>
      <w:proofErr w:type="spellStart"/>
      <w:r w:rsidR="00BC44EC" w:rsidRPr="005B37F3">
        <w:rPr>
          <w:rFonts w:ascii="Palatino Linotype" w:hAnsi="Palatino Linotype"/>
          <w:b/>
          <w:lang w:val="es-ES_tradnl"/>
        </w:rPr>
        <w:t>Spain</w:t>
      </w:r>
      <w:proofErr w:type="spellEnd"/>
    </w:p>
    <w:p w14:paraId="650891FD" w14:textId="5AE6972D" w:rsidR="00BC44EC" w:rsidRPr="005B37F3" w:rsidRDefault="00AE615D" w:rsidP="00BC44EC">
      <w:pPr>
        <w:rPr>
          <w:rFonts w:ascii="Palatino Linotype" w:hAnsi="Palatino Linotype"/>
          <w:b/>
        </w:rPr>
      </w:pPr>
      <w:r w:rsidRPr="005B37F3">
        <w:rPr>
          <w:rFonts w:ascii="Palatino Linotype" w:hAnsi="Palatino Linotype"/>
          <w:b/>
        </w:rPr>
        <w:t>Eduardo R.C. Capulong,</w:t>
      </w:r>
      <w:r w:rsidR="00B00430" w:rsidRPr="005B37F3">
        <w:rPr>
          <w:rStyle w:val="FootnoteReference"/>
          <w:rFonts w:ascii="Palatino Linotype" w:hAnsi="Palatino Linotype"/>
          <w:b/>
        </w:rPr>
        <w:footnoteReference w:customMarkFollows="1" w:id="2"/>
        <w:t>ii</w:t>
      </w:r>
      <w:r w:rsidRPr="005B37F3">
        <w:rPr>
          <w:rFonts w:ascii="Palatino Linotype" w:hAnsi="Palatino Linotype"/>
          <w:b/>
        </w:rPr>
        <w:t xml:space="preserve"> </w:t>
      </w:r>
      <w:r w:rsidR="00E27AD7">
        <w:rPr>
          <w:rFonts w:ascii="Palatino Linotype" w:hAnsi="Palatino Linotype"/>
          <w:b/>
        </w:rPr>
        <w:t>City University of New York</w:t>
      </w:r>
      <w:r w:rsidR="00BC44EC" w:rsidRPr="005B37F3">
        <w:rPr>
          <w:rFonts w:ascii="Palatino Linotype" w:hAnsi="Palatino Linotype"/>
          <w:b/>
        </w:rPr>
        <w:t>, USA</w:t>
      </w:r>
    </w:p>
    <w:p w14:paraId="69AB77DD" w14:textId="17CB583B" w:rsidR="00B01066" w:rsidRPr="005B37F3" w:rsidRDefault="00AE615D" w:rsidP="00BC44EC">
      <w:pPr>
        <w:rPr>
          <w:rFonts w:ascii="Palatino Linotype" w:hAnsi="Palatino Linotype"/>
          <w:b/>
        </w:rPr>
      </w:pPr>
      <w:r w:rsidRPr="005B37F3">
        <w:rPr>
          <w:rFonts w:ascii="Palatino Linotype" w:hAnsi="Palatino Linotype"/>
          <w:b/>
        </w:rPr>
        <w:t>Andrew King-Ries,</w:t>
      </w:r>
      <w:r w:rsidR="00B00430" w:rsidRPr="005B37F3">
        <w:rPr>
          <w:rStyle w:val="FootnoteReference"/>
          <w:rFonts w:ascii="Palatino Linotype" w:hAnsi="Palatino Linotype"/>
          <w:b/>
        </w:rPr>
        <w:footnoteReference w:customMarkFollows="1" w:id="3"/>
        <w:t>iii</w:t>
      </w:r>
      <w:r w:rsidRPr="005B37F3">
        <w:rPr>
          <w:rFonts w:ascii="Palatino Linotype" w:hAnsi="Palatino Linotype"/>
          <w:b/>
        </w:rPr>
        <w:t xml:space="preserve"> </w:t>
      </w:r>
      <w:r w:rsidR="00BC44EC" w:rsidRPr="005B37F3">
        <w:rPr>
          <w:rFonts w:ascii="Palatino Linotype" w:hAnsi="Palatino Linotype"/>
          <w:b/>
        </w:rPr>
        <w:t>University of Montana, USA</w:t>
      </w:r>
    </w:p>
    <w:p w14:paraId="7C2350F2" w14:textId="0846D3A7" w:rsidR="00AE615D" w:rsidRPr="005B37F3" w:rsidRDefault="00AE615D" w:rsidP="00BC44EC">
      <w:pPr>
        <w:rPr>
          <w:rFonts w:ascii="Palatino Linotype" w:hAnsi="Palatino Linotype"/>
          <w:b/>
          <w:lang w:val="es-ES_tradnl"/>
        </w:rPr>
      </w:pPr>
      <w:r w:rsidRPr="005B37F3">
        <w:rPr>
          <w:rFonts w:ascii="Palatino Linotype" w:hAnsi="Palatino Linotype"/>
          <w:b/>
          <w:lang w:val="es-ES_tradnl"/>
        </w:rPr>
        <w:t xml:space="preserve">Pilar </w:t>
      </w:r>
      <w:proofErr w:type="spellStart"/>
      <w:r w:rsidRPr="005B37F3">
        <w:rPr>
          <w:rFonts w:ascii="Palatino Linotype" w:hAnsi="Palatino Linotype"/>
          <w:b/>
          <w:lang w:val="es-ES_tradnl"/>
        </w:rPr>
        <w:t>Fernandez</w:t>
      </w:r>
      <w:proofErr w:type="spellEnd"/>
      <w:r w:rsidRPr="005B37F3">
        <w:rPr>
          <w:rFonts w:ascii="Palatino Linotype" w:hAnsi="Palatino Linotype"/>
          <w:b/>
          <w:lang w:val="es-ES_tradnl"/>
        </w:rPr>
        <w:t xml:space="preserve"> Artiach</w:t>
      </w:r>
      <w:r w:rsidR="00BC44EC" w:rsidRPr="005B37F3">
        <w:rPr>
          <w:rFonts w:ascii="Palatino Linotype" w:hAnsi="Palatino Linotype"/>
          <w:b/>
          <w:lang w:val="es-ES_tradnl"/>
        </w:rPr>
        <w:t>,</w:t>
      </w:r>
      <w:r w:rsidR="005C4319" w:rsidRPr="005B37F3">
        <w:rPr>
          <w:rStyle w:val="FootnoteReference"/>
          <w:rFonts w:ascii="Palatino Linotype" w:hAnsi="Palatino Linotype"/>
          <w:b/>
          <w:lang w:val="es-ES_tradnl"/>
        </w:rPr>
        <w:footnoteReference w:customMarkFollows="1" w:id="4"/>
        <w:t>iv</w:t>
      </w:r>
      <w:r w:rsidR="00BC44EC" w:rsidRPr="005B37F3">
        <w:rPr>
          <w:rFonts w:ascii="Palatino Linotype" w:hAnsi="Palatino Linotype"/>
          <w:b/>
          <w:lang w:val="es-ES_tradnl"/>
        </w:rPr>
        <w:t xml:space="preserve"> Universidad de Valencia, </w:t>
      </w:r>
      <w:proofErr w:type="spellStart"/>
      <w:r w:rsidR="00BC44EC" w:rsidRPr="005B37F3">
        <w:rPr>
          <w:rFonts w:ascii="Palatino Linotype" w:hAnsi="Palatino Linotype"/>
          <w:b/>
          <w:lang w:val="es-ES_tradnl"/>
        </w:rPr>
        <w:t>Spain</w:t>
      </w:r>
      <w:proofErr w:type="spellEnd"/>
    </w:p>
    <w:p w14:paraId="627980C6" w14:textId="77777777" w:rsidR="00C9581F" w:rsidRPr="00BC44EC" w:rsidRDefault="00C9581F" w:rsidP="00597069">
      <w:pPr>
        <w:jc w:val="center"/>
        <w:rPr>
          <w:rFonts w:ascii="Palatino Linotype" w:hAnsi="Palatino Linotype"/>
          <w:lang w:val="es-ES_tradnl"/>
        </w:rPr>
      </w:pPr>
    </w:p>
    <w:p w14:paraId="34909F13" w14:textId="77777777" w:rsidR="00BC44EC" w:rsidRPr="00BC44EC" w:rsidRDefault="00BC44EC" w:rsidP="00215C97">
      <w:pPr>
        <w:jc w:val="both"/>
        <w:rPr>
          <w:rFonts w:ascii="Palatino Linotype" w:hAnsi="Palatino Linotype"/>
          <w:i/>
          <w:lang w:val="es-ES_tradnl"/>
        </w:rPr>
      </w:pPr>
    </w:p>
    <w:p w14:paraId="4C5DA142" w14:textId="0C305098" w:rsidR="00597069" w:rsidRPr="006814C7" w:rsidRDefault="00EC70DC" w:rsidP="00215C97">
      <w:pPr>
        <w:jc w:val="both"/>
        <w:rPr>
          <w:rFonts w:ascii="Palatino Linotype" w:hAnsi="Palatino Linotype"/>
          <w:i/>
        </w:rPr>
      </w:pPr>
      <w:r w:rsidRPr="006814C7">
        <w:rPr>
          <w:rFonts w:ascii="Palatino Linotype" w:hAnsi="Palatino Linotype"/>
          <w:i/>
        </w:rPr>
        <w:t xml:space="preserve">Spanish clinicians today benefit from the ‘first wave’ of early adopters. </w:t>
      </w:r>
      <w:r w:rsidR="00C72A9A" w:rsidRPr="006814C7">
        <w:rPr>
          <w:rFonts w:ascii="Palatino Linotype" w:hAnsi="Palatino Linotype"/>
          <w:i/>
        </w:rPr>
        <w:t xml:space="preserve"> </w:t>
      </w:r>
      <w:r w:rsidR="00E76F8A" w:rsidRPr="006814C7">
        <w:rPr>
          <w:rFonts w:ascii="Palatino Linotype" w:hAnsi="Palatino Linotype"/>
          <w:i/>
        </w:rPr>
        <w:t xml:space="preserve">We also benefit from decades of clinical scholarship—most recently about the Western European and global clinical legal education movements—and empirical data on what lawyers actually do and need in practice.  </w:t>
      </w:r>
      <w:r w:rsidR="00C72A9A" w:rsidRPr="006814C7">
        <w:rPr>
          <w:rFonts w:ascii="Palatino Linotype" w:hAnsi="Palatino Linotype"/>
          <w:i/>
        </w:rPr>
        <w:t xml:space="preserve">In this article, the authors </w:t>
      </w:r>
      <w:r w:rsidRPr="006814C7">
        <w:rPr>
          <w:rFonts w:ascii="Palatino Linotype" w:hAnsi="Palatino Linotype"/>
          <w:i/>
        </w:rPr>
        <w:t xml:space="preserve">summarize </w:t>
      </w:r>
      <w:r w:rsidR="000E02DB" w:rsidRPr="006814C7">
        <w:rPr>
          <w:rFonts w:ascii="Palatino Linotype" w:hAnsi="Palatino Linotype"/>
          <w:i/>
        </w:rPr>
        <w:t>key empirical</w:t>
      </w:r>
      <w:r w:rsidR="005B595F" w:rsidRPr="006814C7">
        <w:rPr>
          <w:rFonts w:ascii="Palatino Linotype" w:hAnsi="Palatino Linotype"/>
          <w:i/>
        </w:rPr>
        <w:t>, pedagogical, and institutional</w:t>
      </w:r>
      <w:r w:rsidR="000E02DB" w:rsidRPr="006814C7">
        <w:rPr>
          <w:rFonts w:ascii="Palatino Linotype" w:hAnsi="Palatino Linotype"/>
          <w:i/>
        </w:rPr>
        <w:t xml:space="preserve"> lessons to ground </w:t>
      </w:r>
      <w:r w:rsidRPr="006814C7">
        <w:rPr>
          <w:rFonts w:ascii="Palatino Linotype" w:hAnsi="Palatino Linotype"/>
          <w:i/>
        </w:rPr>
        <w:t>the creation of a</w:t>
      </w:r>
      <w:r w:rsidR="00126A52" w:rsidRPr="006814C7">
        <w:rPr>
          <w:rFonts w:ascii="Palatino Linotype" w:hAnsi="Palatino Linotype"/>
          <w:i/>
        </w:rPr>
        <w:t xml:space="preserve"> pilot course</w:t>
      </w:r>
      <w:r w:rsidR="000E02DB" w:rsidRPr="006814C7">
        <w:rPr>
          <w:rFonts w:ascii="Palatino Linotype" w:hAnsi="Palatino Linotype"/>
          <w:i/>
        </w:rPr>
        <w:t xml:space="preserve"> and program</w:t>
      </w:r>
      <w:r w:rsidR="00126A52" w:rsidRPr="006814C7">
        <w:rPr>
          <w:rFonts w:ascii="Palatino Linotype" w:hAnsi="Palatino Linotype"/>
          <w:i/>
        </w:rPr>
        <w:t xml:space="preserve"> </w:t>
      </w:r>
      <w:r w:rsidR="001F37CD" w:rsidRPr="006814C7">
        <w:rPr>
          <w:rFonts w:ascii="Palatino Linotype" w:hAnsi="Palatino Linotype"/>
          <w:i/>
        </w:rPr>
        <w:t>at the University of Granada</w:t>
      </w:r>
      <w:r w:rsidR="000F5C87" w:rsidRPr="006814C7">
        <w:rPr>
          <w:rFonts w:ascii="Palatino Linotype" w:hAnsi="Palatino Linotype"/>
          <w:i/>
        </w:rPr>
        <w:t>.</w:t>
      </w:r>
    </w:p>
    <w:p w14:paraId="07E5B52B" w14:textId="77777777" w:rsidR="00597069" w:rsidRPr="006814C7" w:rsidRDefault="00597069" w:rsidP="00215C97">
      <w:pPr>
        <w:jc w:val="both"/>
        <w:rPr>
          <w:rFonts w:ascii="Palatino Linotype" w:hAnsi="Palatino Linotype"/>
        </w:rPr>
      </w:pPr>
    </w:p>
    <w:p w14:paraId="26439710" w14:textId="0A071496" w:rsidR="002720DD" w:rsidRPr="006814C7" w:rsidRDefault="002720DD" w:rsidP="00215C97">
      <w:pPr>
        <w:jc w:val="both"/>
        <w:rPr>
          <w:rFonts w:ascii="Palatino Linotype" w:eastAsia="Times New Roman" w:hAnsi="Palatino Linotype"/>
        </w:rPr>
      </w:pPr>
    </w:p>
    <w:p w14:paraId="4CAD74D1" w14:textId="1EFCBE35" w:rsidR="002720DD" w:rsidRPr="006814C7" w:rsidRDefault="002720DD" w:rsidP="00215C97">
      <w:pPr>
        <w:pStyle w:val="ListParagraph"/>
        <w:numPr>
          <w:ilvl w:val="0"/>
          <w:numId w:val="14"/>
        </w:numPr>
        <w:ind w:left="720" w:hanging="360"/>
        <w:jc w:val="both"/>
        <w:rPr>
          <w:rFonts w:ascii="Palatino Linotype" w:eastAsia="Times New Roman" w:hAnsi="Palatino Linotype"/>
          <w:b/>
        </w:rPr>
      </w:pPr>
      <w:r w:rsidRPr="006814C7">
        <w:rPr>
          <w:rFonts w:ascii="Palatino Linotype" w:eastAsia="Times New Roman" w:hAnsi="Palatino Linotype"/>
          <w:b/>
        </w:rPr>
        <w:t>Introduction</w:t>
      </w:r>
    </w:p>
    <w:p w14:paraId="6119AFF9" w14:textId="60E02F51" w:rsidR="002720DD" w:rsidRPr="006814C7" w:rsidRDefault="002720DD" w:rsidP="00215C97">
      <w:pPr>
        <w:jc w:val="both"/>
        <w:rPr>
          <w:rFonts w:ascii="Palatino Linotype" w:eastAsia="Times New Roman" w:hAnsi="Palatino Linotype"/>
        </w:rPr>
      </w:pPr>
    </w:p>
    <w:p w14:paraId="41CA2F22" w14:textId="54D5EA45" w:rsidR="00011B8F" w:rsidRPr="006814C7" w:rsidRDefault="002720DD" w:rsidP="00215C97">
      <w:pPr>
        <w:spacing w:line="480" w:lineRule="auto"/>
        <w:jc w:val="both"/>
        <w:rPr>
          <w:rFonts w:ascii="Palatino Linotype" w:eastAsia="Times New Roman" w:hAnsi="Palatino Linotype"/>
        </w:rPr>
      </w:pPr>
      <w:r w:rsidRPr="006814C7">
        <w:rPr>
          <w:rFonts w:ascii="Palatino Linotype" w:eastAsia="Times New Roman" w:hAnsi="Palatino Linotype"/>
        </w:rPr>
        <w:t>The benefit of being a later adopter is that we learn from our predecessors.</w:t>
      </w:r>
      <w:r w:rsidR="009B1C99" w:rsidRPr="006814C7">
        <w:rPr>
          <w:rFonts w:ascii="Palatino Linotype" w:eastAsia="Times New Roman" w:hAnsi="Palatino Linotype"/>
        </w:rPr>
        <w:t xml:space="preserve">  Having blazed the trail, the founders of Spanish clinical legal education—the “first wave” of clinicians— have provide</w:t>
      </w:r>
      <w:r w:rsidR="00485700" w:rsidRPr="006814C7">
        <w:rPr>
          <w:rFonts w:ascii="Palatino Linotype" w:eastAsia="Times New Roman" w:hAnsi="Palatino Linotype"/>
        </w:rPr>
        <w:t>d</w:t>
      </w:r>
      <w:r w:rsidR="009B1C99" w:rsidRPr="006814C7">
        <w:rPr>
          <w:rFonts w:ascii="Palatino Linotype" w:eastAsia="Times New Roman" w:hAnsi="Palatino Linotype"/>
        </w:rPr>
        <w:t xml:space="preserve"> important lessons for those of us now embarking on the project</w:t>
      </w:r>
      <w:r w:rsidR="00397553" w:rsidRPr="006814C7">
        <w:rPr>
          <w:rFonts w:ascii="Palatino Linotype" w:eastAsia="Times New Roman" w:hAnsi="Palatino Linotype"/>
        </w:rPr>
        <w:t xml:space="preserve"> of creating a clinical course </w:t>
      </w:r>
      <w:r w:rsidR="00036786" w:rsidRPr="006814C7">
        <w:rPr>
          <w:rFonts w:ascii="Palatino Linotype" w:eastAsia="Times New Roman" w:hAnsi="Palatino Linotype"/>
        </w:rPr>
        <w:t xml:space="preserve">and program </w:t>
      </w:r>
      <w:r w:rsidR="00397553" w:rsidRPr="006814C7">
        <w:rPr>
          <w:rFonts w:ascii="Palatino Linotype" w:eastAsia="Times New Roman" w:hAnsi="Palatino Linotype"/>
        </w:rPr>
        <w:t>at the University of Granada</w:t>
      </w:r>
      <w:r w:rsidR="009B1C99" w:rsidRPr="006814C7">
        <w:rPr>
          <w:rFonts w:ascii="Palatino Linotype" w:eastAsia="Times New Roman" w:hAnsi="Palatino Linotype"/>
        </w:rPr>
        <w:t>.  Our nascent endeavor also benefits from the broader European experienc</w:t>
      </w:r>
      <w:r w:rsidR="000C3127" w:rsidRPr="006814C7">
        <w:rPr>
          <w:rFonts w:ascii="Palatino Linotype" w:eastAsia="Times New Roman" w:hAnsi="Palatino Linotype"/>
        </w:rPr>
        <w:t xml:space="preserve">e, </w:t>
      </w:r>
      <w:r w:rsidR="009B1C99" w:rsidRPr="006814C7">
        <w:rPr>
          <w:rFonts w:ascii="Palatino Linotype" w:eastAsia="Times New Roman" w:hAnsi="Palatino Linotype"/>
        </w:rPr>
        <w:t>from the clinical legal education movement</w:t>
      </w:r>
      <w:r w:rsidR="000C3127" w:rsidRPr="006814C7">
        <w:rPr>
          <w:rFonts w:ascii="Palatino Linotype" w:eastAsia="Times New Roman" w:hAnsi="Palatino Linotype"/>
        </w:rPr>
        <w:t xml:space="preserve"> internationally</w:t>
      </w:r>
      <w:r w:rsidR="00B813AC" w:rsidRPr="006814C7">
        <w:rPr>
          <w:rFonts w:ascii="Palatino Linotype" w:eastAsia="Times New Roman" w:hAnsi="Palatino Linotype"/>
        </w:rPr>
        <w:t>,</w:t>
      </w:r>
      <w:r w:rsidR="00E46D39" w:rsidRPr="006814C7">
        <w:rPr>
          <w:rFonts w:ascii="Palatino Linotype" w:eastAsia="Times New Roman" w:hAnsi="Palatino Linotype"/>
        </w:rPr>
        <w:t xml:space="preserve"> </w:t>
      </w:r>
      <w:r w:rsidR="000C3127" w:rsidRPr="006814C7">
        <w:rPr>
          <w:rFonts w:ascii="Palatino Linotype" w:eastAsia="Times New Roman" w:hAnsi="Palatino Linotype"/>
        </w:rPr>
        <w:t>and from stud</w:t>
      </w:r>
      <w:r w:rsidR="00B813AC" w:rsidRPr="006814C7">
        <w:rPr>
          <w:rFonts w:ascii="Palatino Linotype" w:eastAsia="Times New Roman" w:hAnsi="Palatino Linotype"/>
        </w:rPr>
        <w:t>ies</w:t>
      </w:r>
      <w:r w:rsidR="000C3127" w:rsidRPr="006814C7">
        <w:rPr>
          <w:rFonts w:ascii="Palatino Linotype" w:eastAsia="Times New Roman" w:hAnsi="Palatino Linotype"/>
        </w:rPr>
        <w:t xml:space="preserve"> of present-day lawyering.  No longer do we proceed from conviction but, apropos of our project, </w:t>
      </w:r>
      <w:r w:rsidR="007B2AE9" w:rsidRPr="006814C7">
        <w:rPr>
          <w:rFonts w:ascii="Palatino Linotype" w:eastAsia="Times New Roman" w:hAnsi="Palatino Linotype"/>
        </w:rPr>
        <w:t>now</w:t>
      </w:r>
      <w:r w:rsidR="000C3127" w:rsidRPr="006814C7">
        <w:rPr>
          <w:rFonts w:ascii="Palatino Linotype" w:eastAsia="Times New Roman" w:hAnsi="Palatino Linotype"/>
        </w:rPr>
        <w:t xml:space="preserve"> proven experience.</w:t>
      </w:r>
    </w:p>
    <w:p w14:paraId="0DEAC614" w14:textId="138ABBCC" w:rsidR="00E41054" w:rsidRPr="006814C7" w:rsidRDefault="00397553" w:rsidP="00215C97">
      <w:pPr>
        <w:spacing w:line="480" w:lineRule="auto"/>
        <w:jc w:val="both"/>
        <w:rPr>
          <w:rFonts w:ascii="Palatino Linotype" w:eastAsia="Times New Roman" w:hAnsi="Palatino Linotype"/>
        </w:rPr>
      </w:pPr>
      <w:r w:rsidRPr="006814C7">
        <w:rPr>
          <w:rFonts w:ascii="Palatino Linotype" w:eastAsia="Times New Roman" w:hAnsi="Palatino Linotype"/>
        </w:rPr>
        <w:lastRenderedPageBreak/>
        <w:t xml:space="preserve">At the 2018 European </w:t>
      </w:r>
      <w:r w:rsidR="00AB3C7F" w:rsidRPr="006814C7">
        <w:rPr>
          <w:rFonts w:ascii="Palatino Linotype" w:eastAsia="Times New Roman" w:hAnsi="Palatino Linotype"/>
        </w:rPr>
        <w:t xml:space="preserve">Network for </w:t>
      </w:r>
      <w:r w:rsidRPr="006814C7">
        <w:rPr>
          <w:rFonts w:ascii="Palatino Linotype" w:eastAsia="Times New Roman" w:hAnsi="Palatino Linotype"/>
        </w:rPr>
        <w:t>Clinical</w:t>
      </w:r>
      <w:r w:rsidR="00AB3C7F" w:rsidRPr="006814C7">
        <w:rPr>
          <w:rFonts w:ascii="Palatino Linotype" w:eastAsia="Times New Roman" w:hAnsi="Palatino Linotype"/>
        </w:rPr>
        <w:t xml:space="preserve"> Legal Education</w:t>
      </w:r>
      <w:r w:rsidRPr="006814C7">
        <w:rPr>
          <w:rFonts w:ascii="Palatino Linotype" w:eastAsia="Times New Roman" w:hAnsi="Palatino Linotype"/>
        </w:rPr>
        <w:t xml:space="preserve"> Conference i</w:t>
      </w:r>
      <w:r w:rsidR="00C3784B" w:rsidRPr="006814C7">
        <w:rPr>
          <w:rFonts w:ascii="Palatino Linotype" w:eastAsia="Times New Roman" w:hAnsi="Palatino Linotype"/>
        </w:rPr>
        <w:t xml:space="preserve">n Turin, Laura </w:t>
      </w:r>
      <w:proofErr w:type="spellStart"/>
      <w:r w:rsidR="00C3784B" w:rsidRPr="006814C7">
        <w:rPr>
          <w:rFonts w:ascii="Palatino Linotype" w:eastAsia="Times New Roman" w:hAnsi="Palatino Linotype"/>
        </w:rPr>
        <w:t>Scomparin</w:t>
      </w:r>
      <w:proofErr w:type="spellEnd"/>
      <w:r w:rsidR="00C3784B" w:rsidRPr="006814C7">
        <w:rPr>
          <w:rFonts w:ascii="Palatino Linotype" w:eastAsia="Times New Roman" w:hAnsi="Palatino Linotype"/>
        </w:rPr>
        <w:t xml:space="preserve"> called for a “deeper theoretical framework” for the integration of clinical methodology in</w:t>
      </w:r>
      <w:r w:rsidR="000B0314" w:rsidRPr="006814C7">
        <w:rPr>
          <w:rFonts w:ascii="Palatino Linotype" w:eastAsia="Times New Roman" w:hAnsi="Palatino Linotype"/>
        </w:rPr>
        <w:t>to</w:t>
      </w:r>
      <w:r w:rsidR="00C3784B" w:rsidRPr="006814C7">
        <w:rPr>
          <w:rFonts w:ascii="Palatino Linotype" w:eastAsia="Times New Roman" w:hAnsi="Palatino Linotype"/>
        </w:rPr>
        <w:t xml:space="preserve"> the entire</w:t>
      </w:r>
      <w:r w:rsidR="00A462A0" w:rsidRPr="006814C7">
        <w:rPr>
          <w:rFonts w:ascii="Palatino Linotype" w:eastAsia="Times New Roman" w:hAnsi="Palatino Linotype"/>
        </w:rPr>
        <w:t xml:space="preserve"> European</w:t>
      </w:r>
      <w:r w:rsidR="00C3784B" w:rsidRPr="006814C7">
        <w:rPr>
          <w:rFonts w:ascii="Palatino Linotype" w:eastAsia="Times New Roman" w:hAnsi="Palatino Linotype"/>
        </w:rPr>
        <w:t xml:space="preserve"> legal curriculum.</w:t>
      </w:r>
      <w:r w:rsidR="00C3784B" w:rsidRPr="006814C7">
        <w:rPr>
          <w:rStyle w:val="FootnoteReference"/>
          <w:rFonts w:ascii="Palatino Linotype" w:eastAsia="Times New Roman" w:hAnsi="Palatino Linotype"/>
        </w:rPr>
        <w:footnoteReference w:id="5"/>
      </w:r>
      <w:r w:rsidR="00C3784B" w:rsidRPr="006814C7">
        <w:rPr>
          <w:rFonts w:ascii="Palatino Linotype" w:eastAsia="Times New Roman" w:hAnsi="Palatino Linotype"/>
        </w:rPr>
        <w:t xml:space="preserve">  </w:t>
      </w:r>
      <w:r w:rsidRPr="006814C7">
        <w:rPr>
          <w:rFonts w:ascii="Palatino Linotype" w:eastAsia="Times New Roman" w:hAnsi="Palatino Linotype"/>
        </w:rPr>
        <w:t>In this article, w</w:t>
      </w:r>
      <w:r w:rsidR="00C3784B" w:rsidRPr="006814C7">
        <w:rPr>
          <w:rFonts w:ascii="Palatino Linotype" w:eastAsia="Times New Roman" w:hAnsi="Palatino Linotype"/>
        </w:rPr>
        <w:t xml:space="preserve">e </w:t>
      </w:r>
      <w:r w:rsidR="000672C8" w:rsidRPr="006814C7">
        <w:rPr>
          <w:rFonts w:ascii="Palatino Linotype" w:eastAsia="Times New Roman" w:hAnsi="Palatino Linotype"/>
        </w:rPr>
        <w:t xml:space="preserve">offer a modest </w:t>
      </w:r>
      <w:r w:rsidR="0020502F" w:rsidRPr="006814C7">
        <w:rPr>
          <w:rFonts w:ascii="Palatino Linotype" w:eastAsia="Times New Roman" w:hAnsi="Palatino Linotype"/>
        </w:rPr>
        <w:t>response</w:t>
      </w:r>
      <w:r w:rsidR="000672C8" w:rsidRPr="006814C7">
        <w:rPr>
          <w:rFonts w:ascii="Palatino Linotype" w:eastAsia="Times New Roman" w:hAnsi="Palatino Linotype"/>
        </w:rPr>
        <w:t xml:space="preserve"> to </w:t>
      </w:r>
      <w:r w:rsidR="00A462A0" w:rsidRPr="006814C7">
        <w:rPr>
          <w:rFonts w:ascii="Palatino Linotype" w:eastAsia="Times New Roman" w:hAnsi="Palatino Linotype"/>
        </w:rPr>
        <w:t xml:space="preserve">this </w:t>
      </w:r>
      <w:r w:rsidR="00C3784B" w:rsidRPr="006814C7">
        <w:rPr>
          <w:rFonts w:ascii="Palatino Linotype" w:eastAsia="Times New Roman" w:hAnsi="Palatino Linotype"/>
        </w:rPr>
        <w:t xml:space="preserve">call </w:t>
      </w:r>
      <w:r w:rsidR="00DE1030" w:rsidRPr="006814C7">
        <w:rPr>
          <w:rFonts w:ascii="Palatino Linotype" w:eastAsia="Times New Roman" w:hAnsi="Palatino Linotype"/>
        </w:rPr>
        <w:t>by describing</w:t>
      </w:r>
      <w:r w:rsidR="007C0C6F" w:rsidRPr="006814C7">
        <w:rPr>
          <w:rFonts w:ascii="Palatino Linotype" w:eastAsia="Times New Roman" w:hAnsi="Palatino Linotype"/>
        </w:rPr>
        <w:t xml:space="preserve"> the </w:t>
      </w:r>
      <w:r w:rsidRPr="006814C7">
        <w:rPr>
          <w:rFonts w:ascii="Palatino Linotype" w:eastAsia="Times New Roman" w:hAnsi="Palatino Linotype"/>
        </w:rPr>
        <w:t xml:space="preserve">project to </w:t>
      </w:r>
      <w:r w:rsidR="007C0C6F" w:rsidRPr="006814C7">
        <w:rPr>
          <w:rFonts w:ascii="Palatino Linotype" w:eastAsia="Times New Roman" w:hAnsi="Palatino Linotype"/>
        </w:rPr>
        <w:t>creat</w:t>
      </w:r>
      <w:r w:rsidRPr="006814C7">
        <w:rPr>
          <w:rFonts w:ascii="Palatino Linotype" w:eastAsia="Times New Roman" w:hAnsi="Palatino Linotype"/>
        </w:rPr>
        <w:t>e</w:t>
      </w:r>
      <w:r w:rsidR="007C0C6F" w:rsidRPr="006814C7">
        <w:rPr>
          <w:rFonts w:ascii="Palatino Linotype" w:eastAsia="Times New Roman" w:hAnsi="Palatino Linotype"/>
        </w:rPr>
        <w:t xml:space="preserve"> a clinical course</w:t>
      </w:r>
      <w:r w:rsidR="0016582A" w:rsidRPr="006814C7">
        <w:rPr>
          <w:rFonts w:ascii="Palatino Linotype" w:eastAsia="Times New Roman" w:hAnsi="Palatino Linotype"/>
        </w:rPr>
        <w:t xml:space="preserve"> </w:t>
      </w:r>
      <w:r w:rsidR="007C0C6F" w:rsidRPr="006814C7">
        <w:rPr>
          <w:rFonts w:ascii="Palatino Linotype" w:eastAsia="Times New Roman" w:hAnsi="Palatino Linotype"/>
        </w:rPr>
        <w:t>at the University of Granada—the first of its kind at the University</w:t>
      </w:r>
      <w:r w:rsidR="0016582A" w:rsidRPr="006814C7">
        <w:rPr>
          <w:rFonts w:ascii="Palatino Linotype" w:eastAsia="Times New Roman" w:hAnsi="Palatino Linotype"/>
        </w:rPr>
        <w:t xml:space="preserve"> and hopefully the precursor of a program</w:t>
      </w:r>
      <w:r w:rsidR="007C0C6F" w:rsidRPr="006814C7">
        <w:rPr>
          <w:rFonts w:ascii="Palatino Linotype" w:eastAsia="Times New Roman" w:hAnsi="Palatino Linotype"/>
        </w:rPr>
        <w:t xml:space="preserve">—that we ground in </w:t>
      </w:r>
      <w:r w:rsidR="00523FEE" w:rsidRPr="006814C7">
        <w:rPr>
          <w:rFonts w:ascii="Palatino Linotype" w:eastAsia="Times New Roman" w:hAnsi="Palatino Linotype"/>
        </w:rPr>
        <w:t>three</w:t>
      </w:r>
      <w:r w:rsidR="007C0C6F" w:rsidRPr="006814C7">
        <w:rPr>
          <w:rFonts w:ascii="Palatino Linotype" w:eastAsia="Times New Roman" w:hAnsi="Palatino Linotype"/>
        </w:rPr>
        <w:t xml:space="preserve"> sets of lessons: </w:t>
      </w:r>
      <w:r w:rsidR="0016582A" w:rsidRPr="006814C7">
        <w:rPr>
          <w:rFonts w:ascii="Palatino Linotype" w:eastAsia="Times New Roman" w:hAnsi="Palatino Linotype"/>
        </w:rPr>
        <w:t>the</w:t>
      </w:r>
      <w:r w:rsidR="007C0C6F" w:rsidRPr="006814C7">
        <w:rPr>
          <w:rFonts w:ascii="Palatino Linotype" w:eastAsia="Times New Roman" w:hAnsi="Palatino Linotype"/>
        </w:rPr>
        <w:t xml:space="preserve"> </w:t>
      </w:r>
      <w:r w:rsidR="00A83631" w:rsidRPr="006814C7">
        <w:rPr>
          <w:rFonts w:ascii="Palatino Linotype" w:eastAsia="Times New Roman" w:hAnsi="Palatino Linotype"/>
        </w:rPr>
        <w:t xml:space="preserve">empirical, </w:t>
      </w:r>
      <w:r w:rsidR="007C0C6F" w:rsidRPr="006814C7">
        <w:rPr>
          <w:rFonts w:ascii="Palatino Linotype" w:eastAsia="Times New Roman" w:hAnsi="Palatino Linotype"/>
        </w:rPr>
        <w:t xml:space="preserve">the pedagogical, and the </w:t>
      </w:r>
      <w:r w:rsidR="00A83631" w:rsidRPr="006814C7">
        <w:rPr>
          <w:rFonts w:ascii="Palatino Linotype" w:eastAsia="Times New Roman" w:hAnsi="Palatino Linotype"/>
        </w:rPr>
        <w:t>institutional</w:t>
      </w:r>
      <w:r w:rsidR="007C0C6F" w:rsidRPr="006814C7">
        <w:rPr>
          <w:rFonts w:ascii="Palatino Linotype" w:eastAsia="Times New Roman" w:hAnsi="Palatino Linotype"/>
        </w:rPr>
        <w:t>.</w:t>
      </w:r>
      <w:r w:rsidR="00A83631" w:rsidRPr="006814C7">
        <w:rPr>
          <w:rFonts w:ascii="Palatino Linotype" w:eastAsia="Times New Roman" w:hAnsi="Palatino Linotype"/>
        </w:rPr>
        <w:t xml:space="preserve">  Empirically, we draw from</w:t>
      </w:r>
      <w:r w:rsidR="0023213A" w:rsidRPr="006814C7">
        <w:rPr>
          <w:rFonts w:ascii="Palatino Linotype" w:eastAsia="Times New Roman" w:hAnsi="Palatino Linotype"/>
        </w:rPr>
        <w:t xml:space="preserve"> </w:t>
      </w:r>
      <w:r w:rsidR="00A77A9B" w:rsidRPr="006814C7">
        <w:rPr>
          <w:rFonts w:ascii="Palatino Linotype" w:eastAsia="Times New Roman" w:hAnsi="Palatino Linotype"/>
        </w:rPr>
        <w:t>actual</w:t>
      </w:r>
      <w:r w:rsidR="0023213A" w:rsidRPr="006814C7">
        <w:rPr>
          <w:rFonts w:ascii="Palatino Linotype" w:eastAsia="Times New Roman" w:hAnsi="Palatino Linotype"/>
        </w:rPr>
        <w:t xml:space="preserve"> law</w:t>
      </w:r>
      <w:r w:rsidR="00A77A9B" w:rsidRPr="006814C7">
        <w:rPr>
          <w:rFonts w:ascii="Palatino Linotype" w:eastAsia="Times New Roman" w:hAnsi="Palatino Linotype"/>
        </w:rPr>
        <w:t xml:space="preserve"> practice</w:t>
      </w:r>
      <w:r w:rsidR="0023213A" w:rsidRPr="006814C7">
        <w:rPr>
          <w:rFonts w:ascii="Palatino Linotype" w:eastAsia="Times New Roman" w:hAnsi="Palatino Linotype"/>
        </w:rPr>
        <w:t>, in particular</w:t>
      </w:r>
      <w:r w:rsidR="00A83631" w:rsidRPr="006814C7">
        <w:rPr>
          <w:rFonts w:ascii="Palatino Linotype" w:eastAsia="Times New Roman" w:hAnsi="Palatino Linotype"/>
        </w:rPr>
        <w:t xml:space="preserve"> studies of what lawyers need in </w:t>
      </w:r>
      <w:r w:rsidR="0097028F" w:rsidRPr="006814C7">
        <w:rPr>
          <w:rFonts w:ascii="Palatino Linotype" w:eastAsia="Times New Roman" w:hAnsi="Palatino Linotype"/>
        </w:rPr>
        <w:t>their day-to-day work</w:t>
      </w:r>
      <w:r w:rsidR="002A3AF5" w:rsidRPr="006814C7">
        <w:rPr>
          <w:rFonts w:ascii="Palatino Linotype" w:eastAsia="Times New Roman" w:hAnsi="Palatino Linotype"/>
        </w:rPr>
        <w:t>—</w:t>
      </w:r>
      <w:r w:rsidRPr="006814C7">
        <w:rPr>
          <w:rFonts w:ascii="Palatino Linotype" w:eastAsia="Times New Roman" w:hAnsi="Palatino Linotype"/>
        </w:rPr>
        <w:t xml:space="preserve">especially </w:t>
      </w:r>
      <w:r w:rsidR="002A3AF5" w:rsidRPr="006814C7">
        <w:rPr>
          <w:rFonts w:ascii="Palatino Linotype" w:eastAsia="Times New Roman" w:hAnsi="Palatino Linotype"/>
        </w:rPr>
        <w:t>during the</w:t>
      </w:r>
      <w:r w:rsidRPr="006814C7">
        <w:rPr>
          <w:rFonts w:ascii="Palatino Linotype" w:eastAsia="Times New Roman" w:hAnsi="Palatino Linotype"/>
        </w:rPr>
        <w:t>ir</w:t>
      </w:r>
      <w:r w:rsidR="002A3AF5" w:rsidRPr="006814C7">
        <w:rPr>
          <w:rFonts w:ascii="Palatino Linotype" w:eastAsia="Times New Roman" w:hAnsi="Palatino Linotype"/>
        </w:rPr>
        <w:t xml:space="preserve"> first years</w:t>
      </w:r>
      <w:r w:rsidRPr="006814C7">
        <w:rPr>
          <w:rFonts w:ascii="Palatino Linotype" w:eastAsia="Times New Roman" w:hAnsi="Palatino Linotype"/>
        </w:rPr>
        <w:t xml:space="preserve"> after graduation</w:t>
      </w:r>
      <w:r w:rsidR="002A3AF5" w:rsidRPr="006814C7">
        <w:rPr>
          <w:rFonts w:ascii="Palatino Linotype" w:eastAsia="Times New Roman" w:hAnsi="Palatino Linotype"/>
        </w:rPr>
        <w:t>—</w:t>
      </w:r>
      <w:r w:rsidR="00A83631" w:rsidRPr="006814C7">
        <w:rPr>
          <w:rFonts w:ascii="Palatino Linotype" w:eastAsia="Times New Roman" w:hAnsi="Palatino Linotype"/>
        </w:rPr>
        <w:t xml:space="preserve">and </w:t>
      </w:r>
      <w:r w:rsidR="00CD4B7C" w:rsidRPr="006814C7">
        <w:rPr>
          <w:rFonts w:ascii="Palatino Linotype" w:eastAsia="Times New Roman" w:hAnsi="Palatino Linotype"/>
        </w:rPr>
        <w:t>the use of such data</w:t>
      </w:r>
      <w:r w:rsidR="00A83631" w:rsidRPr="006814C7">
        <w:rPr>
          <w:rFonts w:ascii="Palatino Linotype" w:eastAsia="Times New Roman" w:hAnsi="Palatino Linotype"/>
        </w:rPr>
        <w:t xml:space="preserve"> to reverse-engineer a modern legal curriculum.  Pedagogically, we draw from </w:t>
      </w:r>
      <w:r w:rsidR="009918E1" w:rsidRPr="006814C7">
        <w:rPr>
          <w:rFonts w:ascii="Palatino Linotype" w:eastAsia="Times New Roman" w:hAnsi="Palatino Linotype"/>
        </w:rPr>
        <w:t>what</w:t>
      </w:r>
      <w:r w:rsidRPr="006814C7">
        <w:rPr>
          <w:rFonts w:ascii="Palatino Linotype" w:eastAsia="Times New Roman" w:hAnsi="Palatino Linotype"/>
        </w:rPr>
        <w:t xml:space="preserve"> is</w:t>
      </w:r>
      <w:r w:rsidR="009918E1" w:rsidRPr="006814C7">
        <w:rPr>
          <w:rFonts w:ascii="Palatino Linotype" w:eastAsia="Times New Roman" w:hAnsi="Palatino Linotype"/>
        </w:rPr>
        <w:t xml:space="preserve"> now an international canon on</w:t>
      </w:r>
      <w:r w:rsidR="00A83631" w:rsidRPr="006814C7">
        <w:rPr>
          <w:rFonts w:ascii="Palatino Linotype" w:eastAsia="Times New Roman" w:hAnsi="Palatino Linotype"/>
        </w:rPr>
        <w:t xml:space="preserve"> clinical legal education.  And i</w:t>
      </w:r>
      <w:r w:rsidR="009870BF" w:rsidRPr="006814C7">
        <w:rPr>
          <w:rFonts w:ascii="Palatino Linotype" w:eastAsia="Times New Roman" w:hAnsi="Palatino Linotype"/>
        </w:rPr>
        <w:t xml:space="preserve">nstitutionally, we </w:t>
      </w:r>
      <w:r w:rsidR="006733F4" w:rsidRPr="006814C7">
        <w:rPr>
          <w:rFonts w:ascii="Palatino Linotype" w:eastAsia="Times New Roman" w:hAnsi="Palatino Linotype"/>
        </w:rPr>
        <w:t xml:space="preserve">draw lessons </w:t>
      </w:r>
      <w:r w:rsidR="0013252D" w:rsidRPr="006814C7">
        <w:rPr>
          <w:rFonts w:ascii="Palatino Linotype" w:eastAsia="Times New Roman" w:hAnsi="Palatino Linotype"/>
        </w:rPr>
        <w:t>from Spanish clinicians who</w:t>
      </w:r>
      <w:r w:rsidRPr="006814C7">
        <w:rPr>
          <w:rFonts w:ascii="Palatino Linotype" w:eastAsia="Times New Roman" w:hAnsi="Palatino Linotype"/>
        </w:rPr>
        <w:t xml:space="preserve"> have</w:t>
      </w:r>
      <w:r w:rsidR="0013252D" w:rsidRPr="006814C7">
        <w:rPr>
          <w:rFonts w:ascii="Palatino Linotype" w:eastAsia="Times New Roman" w:hAnsi="Palatino Linotype"/>
        </w:rPr>
        <w:t xml:space="preserve"> successfully translated </w:t>
      </w:r>
      <w:r w:rsidR="009870BF" w:rsidRPr="006814C7">
        <w:rPr>
          <w:rFonts w:ascii="Palatino Linotype" w:eastAsia="Times New Roman" w:hAnsi="Palatino Linotype"/>
        </w:rPr>
        <w:t>personal</w:t>
      </w:r>
      <w:r w:rsidR="00EB2CDA" w:rsidRPr="006814C7">
        <w:rPr>
          <w:rFonts w:ascii="Palatino Linotype" w:eastAsia="Times New Roman" w:hAnsi="Palatino Linotype"/>
        </w:rPr>
        <w:t xml:space="preserve"> </w:t>
      </w:r>
      <w:r w:rsidR="0013252D" w:rsidRPr="006814C7">
        <w:rPr>
          <w:rFonts w:ascii="Palatino Linotype" w:eastAsia="Times New Roman" w:hAnsi="Palatino Linotype"/>
        </w:rPr>
        <w:t>interest into institutional commitment</w:t>
      </w:r>
      <w:r w:rsidR="009870BF" w:rsidRPr="006814C7">
        <w:rPr>
          <w:rFonts w:ascii="Palatino Linotype" w:eastAsia="Times New Roman" w:hAnsi="Palatino Linotype"/>
        </w:rPr>
        <w:t>.</w:t>
      </w:r>
    </w:p>
    <w:p w14:paraId="4C532FB7" w14:textId="77777777" w:rsidR="003A53D9" w:rsidRPr="006814C7" w:rsidRDefault="003A53D9" w:rsidP="00215C97">
      <w:pPr>
        <w:spacing w:line="480" w:lineRule="auto"/>
        <w:jc w:val="both"/>
        <w:rPr>
          <w:rFonts w:ascii="Palatino Linotype" w:eastAsia="Times New Roman" w:hAnsi="Palatino Linotype"/>
        </w:rPr>
      </w:pPr>
    </w:p>
    <w:p w14:paraId="3B3452AF" w14:textId="3F9BF1C0" w:rsidR="00D65A33" w:rsidRPr="006814C7" w:rsidRDefault="00FB5C56" w:rsidP="00215C97">
      <w:pPr>
        <w:pStyle w:val="ListParagraph"/>
        <w:numPr>
          <w:ilvl w:val="0"/>
          <w:numId w:val="14"/>
        </w:numPr>
        <w:ind w:left="720" w:hanging="360"/>
        <w:jc w:val="both"/>
        <w:rPr>
          <w:rFonts w:ascii="Palatino Linotype" w:eastAsia="Times New Roman" w:hAnsi="Palatino Linotype"/>
          <w:b/>
        </w:rPr>
      </w:pPr>
      <w:r w:rsidRPr="006814C7">
        <w:rPr>
          <w:rFonts w:ascii="Palatino Linotype" w:eastAsia="Times New Roman" w:hAnsi="Palatino Linotype"/>
          <w:b/>
        </w:rPr>
        <w:t>Spanish Clinical Legal Education: Innovation in the Conte</w:t>
      </w:r>
      <w:r w:rsidR="00024C15" w:rsidRPr="006814C7">
        <w:rPr>
          <w:rFonts w:ascii="Palatino Linotype" w:eastAsia="Times New Roman" w:hAnsi="Palatino Linotype"/>
          <w:b/>
        </w:rPr>
        <w:t xml:space="preserve">xt of </w:t>
      </w:r>
      <w:r w:rsidR="00C01733" w:rsidRPr="006814C7">
        <w:rPr>
          <w:rFonts w:ascii="Palatino Linotype" w:eastAsia="Times New Roman" w:hAnsi="Palatino Linotype"/>
          <w:b/>
        </w:rPr>
        <w:t xml:space="preserve">the European, </w:t>
      </w:r>
      <w:r w:rsidR="000B0314" w:rsidRPr="006814C7">
        <w:rPr>
          <w:rFonts w:ascii="Palatino Linotype" w:eastAsia="Times New Roman" w:hAnsi="Palatino Linotype"/>
          <w:b/>
        </w:rPr>
        <w:t>U.S.,</w:t>
      </w:r>
      <w:r w:rsidR="00C01733" w:rsidRPr="006814C7">
        <w:rPr>
          <w:rFonts w:ascii="Palatino Linotype" w:eastAsia="Times New Roman" w:hAnsi="Palatino Linotype"/>
          <w:b/>
        </w:rPr>
        <w:t xml:space="preserve"> and</w:t>
      </w:r>
      <w:r w:rsidR="00024C15" w:rsidRPr="006814C7">
        <w:rPr>
          <w:rFonts w:ascii="Palatino Linotype" w:eastAsia="Times New Roman" w:hAnsi="Palatino Linotype"/>
          <w:b/>
        </w:rPr>
        <w:t xml:space="preserve"> Global Movement</w:t>
      </w:r>
      <w:r w:rsidR="00C01733" w:rsidRPr="006814C7">
        <w:rPr>
          <w:rFonts w:ascii="Palatino Linotype" w:eastAsia="Times New Roman" w:hAnsi="Palatino Linotype"/>
          <w:b/>
        </w:rPr>
        <w:t>s</w:t>
      </w:r>
    </w:p>
    <w:p w14:paraId="7B051EF0" w14:textId="13F50E5A" w:rsidR="00024C15" w:rsidRPr="006814C7" w:rsidRDefault="00024C15" w:rsidP="00215C97">
      <w:pPr>
        <w:jc w:val="both"/>
        <w:rPr>
          <w:rFonts w:ascii="Palatino Linotype" w:eastAsia="Times New Roman" w:hAnsi="Palatino Linotype"/>
        </w:rPr>
      </w:pPr>
      <w:r w:rsidRPr="006814C7">
        <w:rPr>
          <w:rFonts w:ascii="Palatino Linotype" w:eastAsia="Times New Roman" w:hAnsi="Palatino Linotype"/>
        </w:rPr>
        <w:tab/>
      </w:r>
    </w:p>
    <w:p w14:paraId="5251C15B" w14:textId="22ABB5FF" w:rsidR="00CD0B11" w:rsidRPr="006814C7" w:rsidRDefault="007B277E" w:rsidP="00215C97">
      <w:pPr>
        <w:spacing w:line="480" w:lineRule="auto"/>
        <w:jc w:val="both"/>
        <w:rPr>
          <w:rFonts w:ascii="Palatino Linotype" w:hAnsi="Palatino Linotype"/>
        </w:rPr>
      </w:pPr>
      <w:r w:rsidRPr="006814C7">
        <w:rPr>
          <w:rFonts w:ascii="Palatino Linotype" w:eastAsia="Times New Roman" w:hAnsi="Palatino Linotype"/>
        </w:rPr>
        <w:t>We begin with a brief history of Spanish clinical legal</w:t>
      </w:r>
      <w:r w:rsidR="00AA5E82" w:rsidRPr="006814C7">
        <w:rPr>
          <w:rFonts w:ascii="Palatino Linotype" w:eastAsia="Times New Roman" w:hAnsi="Palatino Linotype"/>
        </w:rPr>
        <w:t xml:space="preserve"> education</w:t>
      </w:r>
      <w:r w:rsidRPr="006814C7">
        <w:rPr>
          <w:rFonts w:ascii="Palatino Linotype" w:eastAsia="Times New Roman" w:hAnsi="Palatino Linotype"/>
        </w:rPr>
        <w:t>.</w:t>
      </w:r>
      <w:r w:rsidR="00E95E1A" w:rsidRPr="006814C7">
        <w:rPr>
          <w:rFonts w:ascii="Palatino Linotype" w:eastAsia="Times New Roman" w:hAnsi="Palatino Linotype"/>
        </w:rPr>
        <w:t xml:space="preserve">  </w:t>
      </w:r>
      <w:r w:rsidR="00CD0B11" w:rsidRPr="006814C7">
        <w:rPr>
          <w:rFonts w:ascii="Palatino Linotype" w:hAnsi="Palatino Linotype"/>
        </w:rPr>
        <w:t xml:space="preserve">Unlike </w:t>
      </w:r>
      <w:r w:rsidR="005559CE" w:rsidRPr="006814C7">
        <w:rPr>
          <w:rFonts w:ascii="Palatino Linotype" w:hAnsi="Palatino Linotype"/>
        </w:rPr>
        <w:t>our counterparts in</w:t>
      </w:r>
      <w:r w:rsidR="00CD0B11" w:rsidRPr="006814C7">
        <w:rPr>
          <w:rFonts w:ascii="Palatino Linotype" w:hAnsi="Palatino Linotype"/>
        </w:rPr>
        <w:t xml:space="preserve"> Central and Eastern Europe</w:t>
      </w:r>
      <w:r w:rsidR="00326AA0" w:rsidRPr="006814C7">
        <w:rPr>
          <w:rFonts w:ascii="Palatino Linotype" w:hAnsi="Palatino Linotype"/>
        </w:rPr>
        <w:t>—</w:t>
      </w:r>
      <w:r w:rsidR="00CD0B11" w:rsidRPr="006814C7">
        <w:rPr>
          <w:rFonts w:ascii="Palatino Linotype" w:hAnsi="Palatino Linotype"/>
        </w:rPr>
        <w:t>which</w:t>
      </w:r>
      <w:r w:rsidR="005559CE" w:rsidRPr="006814C7">
        <w:rPr>
          <w:rFonts w:ascii="Palatino Linotype" w:hAnsi="Palatino Linotype"/>
        </w:rPr>
        <w:t>,</w:t>
      </w:r>
      <w:r w:rsidR="00397553" w:rsidRPr="006814C7">
        <w:rPr>
          <w:rFonts w:ascii="Palatino Linotype" w:hAnsi="Palatino Linotype"/>
        </w:rPr>
        <w:t xml:space="preserve"> </w:t>
      </w:r>
      <w:r w:rsidR="00CD0B11" w:rsidRPr="006814C7">
        <w:rPr>
          <w:rFonts w:ascii="Palatino Linotype" w:hAnsi="Palatino Linotype"/>
        </w:rPr>
        <w:t>during the mid-1990s</w:t>
      </w:r>
      <w:r w:rsidR="005559CE" w:rsidRPr="006814C7">
        <w:rPr>
          <w:rFonts w:ascii="Palatino Linotype" w:hAnsi="Palatino Linotype"/>
        </w:rPr>
        <w:t>,</w:t>
      </w:r>
      <w:r w:rsidR="00CD0B11" w:rsidRPr="006814C7">
        <w:rPr>
          <w:rFonts w:ascii="Palatino Linotype" w:hAnsi="Palatino Linotype"/>
        </w:rPr>
        <w:t xml:space="preserve"> received considerable </w:t>
      </w:r>
      <w:r w:rsidR="00326AA0" w:rsidRPr="006814C7">
        <w:rPr>
          <w:rFonts w:ascii="Palatino Linotype" w:hAnsi="Palatino Linotype"/>
        </w:rPr>
        <w:t xml:space="preserve">financial and training </w:t>
      </w:r>
      <w:r w:rsidR="00CD0B11" w:rsidRPr="006814C7">
        <w:rPr>
          <w:rFonts w:ascii="Palatino Linotype" w:hAnsi="Palatino Linotype"/>
        </w:rPr>
        <w:t>resources for the creation of legal clinics in that region</w:t>
      </w:r>
      <w:r w:rsidR="00326AA0" w:rsidRPr="006814C7">
        <w:rPr>
          <w:rStyle w:val="FootnoteReference"/>
          <w:rFonts w:ascii="Palatino Linotype" w:hAnsi="Palatino Linotype"/>
        </w:rPr>
        <w:footnoteReference w:id="6"/>
      </w:r>
      <w:r w:rsidR="00326AA0" w:rsidRPr="006814C7">
        <w:rPr>
          <w:rFonts w:ascii="Palatino Linotype" w:hAnsi="Palatino Linotype"/>
        </w:rPr>
        <w:t>—</w:t>
      </w:r>
      <w:r w:rsidR="00CD0B11" w:rsidRPr="006814C7">
        <w:rPr>
          <w:rFonts w:ascii="Palatino Linotype" w:hAnsi="Palatino Linotype"/>
        </w:rPr>
        <w:t xml:space="preserve">clinical </w:t>
      </w:r>
      <w:r w:rsidR="00CD0B11" w:rsidRPr="006814C7">
        <w:rPr>
          <w:rFonts w:ascii="Palatino Linotype" w:hAnsi="Palatino Linotype"/>
        </w:rPr>
        <w:lastRenderedPageBreak/>
        <w:t xml:space="preserve">legal education </w:t>
      </w:r>
      <w:r w:rsidR="00326AA0" w:rsidRPr="006814C7">
        <w:rPr>
          <w:rFonts w:ascii="Palatino Linotype" w:hAnsi="Palatino Linotype"/>
        </w:rPr>
        <w:t xml:space="preserve">arrived </w:t>
      </w:r>
      <w:r w:rsidR="00CD0B11" w:rsidRPr="006814C7">
        <w:rPr>
          <w:rFonts w:ascii="Palatino Linotype" w:hAnsi="Palatino Linotype"/>
        </w:rPr>
        <w:t xml:space="preserve">in Spain during the first decade of the 21st century, with no </w:t>
      </w:r>
      <w:r w:rsidR="00326AA0" w:rsidRPr="006814C7">
        <w:rPr>
          <w:rFonts w:ascii="Palatino Linotype" w:hAnsi="Palatino Linotype"/>
        </w:rPr>
        <w:t xml:space="preserve">such </w:t>
      </w:r>
      <w:r w:rsidR="00CD0B11" w:rsidRPr="006814C7">
        <w:rPr>
          <w:rFonts w:ascii="Palatino Linotype" w:hAnsi="Palatino Linotype"/>
        </w:rPr>
        <w:t>help</w:t>
      </w:r>
      <w:r w:rsidR="005559CE" w:rsidRPr="006814C7">
        <w:rPr>
          <w:rFonts w:ascii="Palatino Linotype" w:hAnsi="Palatino Linotype"/>
        </w:rPr>
        <w:t xml:space="preserve"> other</w:t>
      </w:r>
      <w:r w:rsidR="00CD0B11" w:rsidRPr="006814C7">
        <w:rPr>
          <w:rFonts w:ascii="Palatino Linotype" w:hAnsi="Palatino Linotype"/>
        </w:rPr>
        <w:t xml:space="preserve"> than the influence </w:t>
      </w:r>
      <w:r w:rsidR="00326AA0" w:rsidRPr="006814C7">
        <w:rPr>
          <w:rFonts w:ascii="Palatino Linotype" w:hAnsi="Palatino Linotype"/>
        </w:rPr>
        <w:t xml:space="preserve">of </w:t>
      </w:r>
      <w:r w:rsidR="00CD0B11" w:rsidRPr="006814C7">
        <w:rPr>
          <w:rFonts w:ascii="Palatino Linotype" w:hAnsi="Palatino Linotype"/>
        </w:rPr>
        <w:t xml:space="preserve">and contacts </w:t>
      </w:r>
      <w:r w:rsidR="00326AA0" w:rsidRPr="006814C7">
        <w:rPr>
          <w:rFonts w:ascii="Palatino Linotype" w:hAnsi="Palatino Linotype"/>
        </w:rPr>
        <w:t>with</w:t>
      </w:r>
      <w:r w:rsidR="00CD0B11" w:rsidRPr="006814C7">
        <w:rPr>
          <w:rFonts w:ascii="Palatino Linotype" w:hAnsi="Palatino Linotype"/>
        </w:rPr>
        <w:t xml:space="preserve"> Latin American and U</w:t>
      </w:r>
      <w:r w:rsidR="005559CE" w:rsidRPr="006814C7">
        <w:rPr>
          <w:rFonts w:ascii="Palatino Linotype" w:hAnsi="Palatino Linotype"/>
        </w:rPr>
        <w:t>.</w:t>
      </w:r>
      <w:r w:rsidR="00CD0B11" w:rsidRPr="006814C7">
        <w:rPr>
          <w:rFonts w:ascii="Palatino Linotype" w:hAnsi="Palatino Linotype"/>
        </w:rPr>
        <w:t>S</w:t>
      </w:r>
      <w:r w:rsidR="005559CE" w:rsidRPr="006814C7">
        <w:rPr>
          <w:rFonts w:ascii="Palatino Linotype" w:hAnsi="Palatino Linotype"/>
        </w:rPr>
        <w:t>.</w:t>
      </w:r>
      <w:r w:rsidR="00CD0B11" w:rsidRPr="006814C7">
        <w:rPr>
          <w:rFonts w:ascii="Palatino Linotype" w:hAnsi="Palatino Linotype"/>
        </w:rPr>
        <w:t xml:space="preserve"> clinicians. </w:t>
      </w:r>
      <w:r w:rsidR="00462BFD" w:rsidRPr="006814C7">
        <w:rPr>
          <w:rFonts w:ascii="Palatino Linotype" w:hAnsi="Palatino Linotype"/>
        </w:rPr>
        <w:t xml:space="preserve"> </w:t>
      </w:r>
      <w:r w:rsidR="00CD0B11" w:rsidRPr="006814C7">
        <w:rPr>
          <w:rFonts w:ascii="Palatino Linotype" w:hAnsi="Palatino Linotype"/>
        </w:rPr>
        <w:t xml:space="preserve">Until then, the Spanish academy had been focused on </w:t>
      </w:r>
      <w:r w:rsidR="00326AA0" w:rsidRPr="006814C7">
        <w:rPr>
          <w:rFonts w:ascii="Palatino Linotype" w:hAnsi="Palatino Linotype"/>
        </w:rPr>
        <w:t>“</w:t>
      </w:r>
      <w:r w:rsidR="00CD0B11" w:rsidRPr="006814C7">
        <w:rPr>
          <w:rFonts w:ascii="Palatino Linotype" w:hAnsi="Palatino Linotype"/>
        </w:rPr>
        <w:t xml:space="preserve">what to teach” </w:t>
      </w:r>
      <w:r w:rsidR="005559CE" w:rsidRPr="006814C7">
        <w:rPr>
          <w:rFonts w:ascii="Palatino Linotype" w:hAnsi="Palatino Linotype"/>
        </w:rPr>
        <w:t xml:space="preserve">rather </w:t>
      </w:r>
      <w:r w:rsidR="00CD0B11" w:rsidRPr="006814C7">
        <w:rPr>
          <w:rFonts w:ascii="Palatino Linotype" w:hAnsi="Palatino Linotype"/>
        </w:rPr>
        <w:t xml:space="preserve">than on </w:t>
      </w:r>
      <w:r w:rsidR="00326AA0" w:rsidRPr="006814C7">
        <w:rPr>
          <w:rFonts w:ascii="Palatino Linotype" w:hAnsi="Palatino Linotype"/>
        </w:rPr>
        <w:t>“</w:t>
      </w:r>
      <w:r w:rsidR="00CD0B11" w:rsidRPr="006814C7">
        <w:rPr>
          <w:rFonts w:ascii="Palatino Linotype" w:hAnsi="Palatino Linotype"/>
        </w:rPr>
        <w:t>how to teach</w:t>
      </w:r>
      <w:r w:rsidR="00326AA0" w:rsidRPr="006814C7">
        <w:rPr>
          <w:rFonts w:ascii="Palatino Linotype" w:hAnsi="Palatino Linotype"/>
        </w:rPr>
        <w:t>” law students</w:t>
      </w:r>
      <w:r w:rsidR="00CD0B11" w:rsidRPr="006814C7">
        <w:rPr>
          <w:rFonts w:ascii="Palatino Linotype" w:hAnsi="Palatino Linotype"/>
        </w:rPr>
        <w:t xml:space="preserve">. </w:t>
      </w:r>
    </w:p>
    <w:p w14:paraId="2062B8DA" w14:textId="77777777" w:rsidR="003A53D9" w:rsidRPr="006814C7" w:rsidRDefault="003A53D9" w:rsidP="00215C97">
      <w:pPr>
        <w:spacing w:line="480" w:lineRule="auto"/>
        <w:jc w:val="both"/>
        <w:rPr>
          <w:rFonts w:ascii="Palatino Linotype" w:hAnsi="Palatino Linotype"/>
        </w:rPr>
      </w:pPr>
    </w:p>
    <w:p w14:paraId="36B86335" w14:textId="5B428192" w:rsidR="00404246" w:rsidRPr="006814C7" w:rsidRDefault="00CD0B11" w:rsidP="00215C97">
      <w:pPr>
        <w:spacing w:line="480" w:lineRule="auto"/>
        <w:jc w:val="both"/>
        <w:rPr>
          <w:rFonts w:ascii="Palatino Linotype" w:hAnsi="Palatino Linotype"/>
        </w:rPr>
      </w:pPr>
      <w:r w:rsidRPr="006814C7">
        <w:rPr>
          <w:rFonts w:ascii="Palatino Linotype" w:hAnsi="Palatino Linotype"/>
        </w:rPr>
        <w:t xml:space="preserve">It has been common in </w:t>
      </w:r>
      <w:r w:rsidR="00326AA0" w:rsidRPr="006814C7">
        <w:rPr>
          <w:rFonts w:ascii="Palatino Linotype" w:hAnsi="Palatino Linotype"/>
        </w:rPr>
        <w:t xml:space="preserve">European clinical </w:t>
      </w:r>
      <w:r w:rsidRPr="006814C7">
        <w:rPr>
          <w:rFonts w:ascii="Palatino Linotype" w:hAnsi="Palatino Linotype"/>
        </w:rPr>
        <w:t>literature to point to the Bologna Process as the catalyst for the</w:t>
      </w:r>
      <w:r w:rsidR="00326AA0" w:rsidRPr="006814C7">
        <w:rPr>
          <w:rFonts w:ascii="Palatino Linotype" w:hAnsi="Palatino Linotype"/>
        </w:rPr>
        <w:t xml:space="preserve"> creation</w:t>
      </w:r>
      <w:r w:rsidRPr="006814C7">
        <w:rPr>
          <w:rFonts w:ascii="Palatino Linotype" w:hAnsi="Palatino Linotype"/>
        </w:rPr>
        <w:t xml:space="preserve"> of legal clinics in that period</w:t>
      </w:r>
      <w:r w:rsidR="00BB2E98" w:rsidRPr="006814C7">
        <w:rPr>
          <w:rFonts w:ascii="Palatino Linotype" w:hAnsi="Palatino Linotype"/>
        </w:rPr>
        <w:t>.</w:t>
      </w:r>
      <w:r w:rsidR="00BB2E98" w:rsidRPr="006814C7">
        <w:rPr>
          <w:rStyle w:val="FootnoteReference"/>
          <w:rFonts w:ascii="Palatino Linotype" w:hAnsi="Palatino Linotype"/>
        </w:rPr>
        <w:footnoteReference w:id="7"/>
      </w:r>
      <w:r w:rsidR="00BB2E98" w:rsidRPr="006814C7">
        <w:rPr>
          <w:rFonts w:ascii="Palatino Linotype" w:hAnsi="Palatino Linotype"/>
        </w:rPr>
        <w:t xml:space="preserve"> </w:t>
      </w:r>
      <w:r w:rsidRPr="006814C7">
        <w:rPr>
          <w:rFonts w:ascii="Palatino Linotype" w:hAnsi="Palatino Linotype"/>
        </w:rPr>
        <w:t xml:space="preserve"> </w:t>
      </w:r>
      <w:r w:rsidR="00F53A2C" w:rsidRPr="006814C7">
        <w:rPr>
          <w:rFonts w:ascii="Palatino Linotype" w:hAnsi="Palatino Linotype"/>
        </w:rPr>
        <w:t xml:space="preserve">This is so because the Bologna Process concerned itself in part </w:t>
      </w:r>
      <w:r w:rsidRPr="006814C7">
        <w:rPr>
          <w:rFonts w:ascii="Palatino Linotype" w:hAnsi="Palatino Linotype"/>
        </w:rPr>
        <w:t xml:space="preserve">with how to teach and learn </w:t>
      </w:r>
      <w:r w:rsidR="00462BFD" w:rsidRPr="006814C7">
        <w:rPr>
          <w:rFonts w:ascii="Palatino Linotype" w:hAnsi="Palatino Linotype"/>
        </w:rPr>
        <w:t>l</w:t>
      </w:r>
      <w:r w:rsidRPr="006814C7">
        <w:rPr>
          <w:rFonts w:ascii="Palatino Linotype" w:hAnsi="Palatino Linotype"/>
        </w:rPr>
        <w:t>aw</w:t>
      </w:r>
      <w:r w:rsidR="00462BFD" w:rsidRPr="006814C7">
        <w:rPr>
          <w:rFonts w:ascii="Palatino Linotype" w:hAnsi="Palatino Linotype"/>
        </w:rPr>
        <w:t>.</w:t>
      </w:r>
      <w:r w:rsidR="00F53A2C" w:rsidRPr="006814C7">
        <w:rPr>
          <w:rStyle w:val="FootnoteReference"/>
          <w:rFonts w:ascii="Palatino Linotype" w:hAnsi="Palatino Linotype"/>
        </w:rPr>
        <w:footnoteReference w:id="8"/>
      </w:r>
      <w:r w:rsidR="00462BFD" w:rsidRPr="006814C7">
        <w:rPr>
          <w:rFonts w:ascii="Palatino Linotype" w:hAnsi="Palatino Linotype"/>
        </w:rPr>
        <w:t xml:space="preserve"> </w:t>
      </w:r>
      <w:r w:rsidR="00F53A2C" w:rsidRPr="006814C7">
        <w:rPr>
          <w:rFonts w:ascii="Palatino Linotype" w:hAnsi="Palatino Linotype"/>
        </w:rPr>
        <w:t xml:space="preserve"> </w:t>
      </w:r>
      <w:r w:rsidRPr="006814C7">
        <w:rPr>
          <w:rFonts w:ascii="Palatino Linotype" w:hAnsi="Palatino Linotype"/>
        </w:rPr>
        <w:t>In Spain, in addition, the public debate caused by the Bologna Declaration of 1998 made it possible to update</w:t>
      </w:r>
      <w:r w:rsidR="00F53A2C" w:rsidRPr="006814C7">
        <w:rPr>
          <w:rFonts w:ascii="Palatino Linotype" w:hAnsi="Palatino Linotype"/>
        </w:rPr>
        <w:t>, in 2010,</w:t>
      </w:r>
      <w:r w:rsidRPr="006814C7">
        <w:rPr>
          <w:rFonts w:ascii="Palatino Linotype" w:hAnsi="Palatino Linotype"/>
        </w:rPr>
        <w:t xml:space="preserve"> </w:t>
      </w:r>
      <w:r w:rsidR="00F53A2C" w:rsidRPr="006814C7">
        <w:rPr>
          <w:rFonts w:ascii="Palatino Linotype" w:hAnsi="Palatino Linotype"/>
        </w:rPr>
        <w:t>a</w:t>
      </w:r>
      <w:r w:rsidRPr="006814C7">
        <w:rPr>
          <w:rFonts w:ascii="Palatino Linotype" w:hAnsi="Palatino Linotype"/>
        </w:rPr>
        <w:t xml:space="preserve"> curriculum </w:t>
      </w:r>
      <w:r w:rsidR="00462BFD" w:rsidRPr="006814C7">
        <w:rPr>
          <w:rFonts w:ascii="Palatino Linotype" w:hAnsi="Palatino Linotype"/>
        </w:rPr>
        <w:t>that</w:t>
      </w:r>
      <w:r w:rsidRPr="006814C7">
        <w:rPr>
          <w:rFonts w:ascii="Palatino Linotype" w:hAnsi="Palatino Linotype"/>
        </w:rPr>
        <w:t xml:space="preserve"> had not undergone any significant reform </w:t>
      </w:r>
      <w:r w:rsidR="00462BFD" w:rsidRPr="006814C7">
        <w:rPr>
          <w:rFonts w:ascii="Palatino Linotype" w:hAnsi="Palatino Linotype"/>
        </w:rPr>
        <w:t xml:space="preserve">since </w:t>
      </w:r>
      <w:r w:rsidRPr="006814C7">
        <w:rPr>
          <w:rFonts w:ascii="Palatino Linotype" w:hAnsi="Palatino Linotype"/>
        </w:rPr>
        <w:t xml:space="preserve">the end of the Franco dictatorship in 1975. </w:t>
      </w:r>
      <w:r w:rsidR="00462BFD" w:rsidRPr="006814C7">
        <w:rPr>
          <w:rFonts w:ascii="Palatino Linotype" w:hAnsi="Palatino Linotype"/>
        </w:rPr>
        <w:t xml:space="preserve"> Alberto </w:t>
      </w:r>
      <w:proofErr w:type="spellStart"/>
      <w:r w:rsidRPr="006814C7">
        <w:rPr>
          <w:rFonts w:ascii="Palatino Linotype" w:hAnsi="Palatino Linotype"/>
        </w:rPr>
        <w:t>Alemanno</w:t>
      </w:r>
      <w:proofErr w:type="spellEnd"/>
      <w:r w:rsidRPr="006814C7">
        <w:rPr>
          <w:rFonts w:ascii="Palatino Linotype" w:hAnsi="Palatino Linotype"/>
        </w:rPr>
        <w:t xml:space="preserve"> and </w:t>
      </w:r>
      <w:proofErr w:type="spellStart"/>
      <w:r w:rsidR="00404246" w:rsidRPr="006814C7">
        <w:rPr>
          <w:rFonts w:ascii="Palatino Linotype" w:hAnsi="Palatino Linotype"/>
        </w:rPr>
        <w:t>Lamin</w:t>
      </w:r>
      <w:proofErr w:type="spellEnd"/>
      <w:r w:rsidR="00404246" w:rsidRPr="006814C7">
        <w:rPr>
          <w:rFonts w:ascii="Palatino Linotype" w:hAnsi="Palatino Linotype"/>
        </w:rPr>
        <w:t xml:space="preserve"> </w:t>
      </w:r>
      <w:proofErr w:type="spellStart"/>
      <w:r w:rsidRPr="006814C7">
        <w:rPr>
          <w:rFonts w:ascii="Palatino Linotype" w:hAnsi="Palatino Linotype"/>
        </w:rPr>
        <w:t>Khadar</w:t>
      </w:r>
      <w:proofErr w:type="spellEnd"/>
      <w:r w:rsidR="00AE281F" w:rsidRPr="006814C7">
        <w:rPr>
          <w:rFonts w:ascii="Palatino Linotype" w:hAnsi="Palatino Linotype"/>
        </w:rPr>
        <w:t xml:space="preserve"> </w:t>
      </w:r>
      <w:r w:rsidRPr="006814C7">
        <w:rPr>
          <w:rFonts w:ascii="Palatino Linotype" w:hAnsi="Palatino Linotype"/>
        </w:rPr>
        <w:t>cite other concurrent factors that may have caused such a</w:t>
      </w:r>
      <w:r w:rsidR="00F53A2C" w:rsidRPr="006814C7">
        <w:rPr>
          <w:rFonts w:ascii="Palatino Linotype" w:hAnsi="Palatino Linotype"/>
        </w:rPr>
        <w:t xml:space="preserve"> development </w:t>
      </w:r>
      <w:r w:rsidRPr="006814C7">
        <w:rPr>
          <w:rFonts w:ascii="Palatino Linotype" w:hAnsi="Palatino Linotype"/>
        </w:rPr>
        <w:t>and that occur</w:t>
      </w:r>
      <w:r w:rsidR="00404246" w:rsidRPr="006814C7">
        <w:rPr>
          <w:rFonts w:ascii="Palatino Linotype" w:hAnsi="Palatino Linotype"/>
        </w:rPr>
        <w:t>r</w:t>
      </w:r>
      <w:r w:rsidRPr="006814C7">
        <w:rPr>
          <w:rFonts w:ascii="Palatino Linotype" w:hAnsi="Palatino Linotype"/>
        </w:rPr>
        <w:t>ed simultaneously with the implementation of the Bologna Declaration</w:t>
      </w:r>
      <w:r w:rsidR="00F53A2C" w:rsidRPr="006814C7">
        <w:rPr>
          <w:rFonts w:ascii="Palatino Linotype" w:hAnsi="Palatino Linotype"/>
        </w:rPr>
        <w:t>; they</w:t>
      </w:r>
      <w:r w:rsidR="00404246" w:rsidRPr="006814C7">
        <w:rPr>
          <w:rFonts w:ascii="Palatino Linotype" w:hAnsi="Palatino Linotype"/>
        </w:rPr>
        <w:t xml:space="preserve"> include:</w:t>
      </w:r>
    </w:p>
    <w:p w14:paraId="2573AD9B" w14:textId="5F670A89" w:rsidR="00CD0B11" w:rsidRPr="006814C7" w:rsidRDefault="00404246" w:rsidP="00215C97">
      <w:pPr>
        <w:ind w:left="720" w:right="720" w:hanging="720"/>
        <w:jc w:val="both"/>
        <w:rPr>
          <w:rFonts w:ascii="Palatino Linotype" w:hAnsi="Palatino Linotype"/>
        </w:rPr>
      </w:pPr>
      <w:r w:rsidRPr="006814C7">
        <w:rPr>
          <w:rFonts w:ascii="Palatino Linotype" w:hAnsi="Palatino Linotype"/>
        </w:rPr>
        <w:tab/>
      </w:r>
      <w:r w:rsidR="00CD0B11" w:rsidRPr="006814C7">
        <w:rPr>
          <w:rFonts w:ascii="Palatino Linotype" w:hAnsi="Palatino Linotype"/>
        </w:rPr>
        <w:t xml:space="preserve">the </w:t>
      </w:r>
      <w:proofErr w:type="spellStart"/>
      <w:r w:rsidR="00CD0B11" w:rsidRPr="006814C7">
        <w:rPr>
          <w:rFonts w:ascii="Palatino Linotype" w:hAnsi="Palatino Linotype"/>
        </w:rPr>
        <w:t>internationalisation</w:t>
      </w:r>
      <w:proofErr w:type="spellEnd"/>
      <w:r w:rsidR="00CD0B11" w:rsidRPr="006814C7">
        <w:rPr>
          <w:rFonts w:ascii="Palatino Linotype" w:hAnsi="Palatino Linotype"/>
        </w:rPr>
        <w:t xml:space="preserve"> and Europeanisation of domestic legal fields; the emergence of supranational and international jurisdictions and tribunals; the emergence of a European and a global market for legal education; increasing demands for relevance in law school education; the emergence of CSR/Service learning/</w:t>
      </w:r>
      <w:r w:rsidR="00220C2F" w:rsidRPr="006814C7">
        <w:rPr>
          <w:rFonts w:ascii="Palatino Linotype" w:hAnsi="Palatino Linotype"/>
        </w:rPr>
        <w:t>c</w:t>
      </w:r>
      <w:r w:rsidR="00CD0B11" w:rsidRPr="006814C7">
        <w:rPr>
          <w:rFonts w:ascii="Palatino Linotype" w:hAnsi="Palatino Linotype"/>
        </w:rPr>
        <w:t>ommunity engagement ethic within European higher education institutions; increased focus on innovation and practical-skill-based education within European higher education institutions</w:t>
      </w:r>
      <w:r w:rsidRPr="006814C7">
        <w:rPr>
          <w:rFonts w:ascii="Palatino Linotype" w:hAnsi="Palatino Linotype"/>
        </w:rPr>
        <w:t>.</w:t>
      </w:r>
      <w:r w:rsidRPr="006814C7">
        <w:rPr>
          <w:rStyle w:val="FootnoteReference"/>
          <w:rFonts w:ascii="Palatino Linotype" w:hAnsi="Palatino Linotype"/>
        </w:rPr>
        <w:footnoteReference w:id="9"/>
      </w:r>
    </w:p>
    <w:p w14:paraId="5377C0CC" w14:textId="77777777" w:rsidR="00404246" w:rsidRPr="006814C7" w:rsidRDefault="00404246" w:rsidP="00215C97">
      <w:pPr>
        <w:jc w:val="both"/>
        <w:rPr>
          <w:rFonts w:ascii="Palatino Linotype" w:hAnsi="Palatino Linotype"/>
        </w:rPr>
      </w:pPr>
    </w:p>
    <w:p w14:paraId="61D7DC36" w14:textId="4CF0384E" w:rsidR="00CD0B11" w:rsidRPr="006814C7" w:rsidRDefault="00CD0B11" w:rsidP="00215C97">
      <w:pPr>
        <w:spacing w:line="480" w:lineRule="auto"/>
        <w:jc w:val="both"/>
        <w:rPr>
          <w:rFonts w:ascii="Palatino Linotype" w:hAnsi="Palatino Linotype"/>
        </w:rPr>
      </w:pPr>
      <w:r w:rsidRPr="006814C7">
        <w:rPr>
          <w:rFonts w:ascii="Palatino Linotype" w:hAnsi="Palatino Linotype"/>
        </w:rPr>
        <w:lastRenderedPageBreak/>
        <w:t xml:space="preserve">Spain was in the vanguard of the clinical movement in Western continental Europe, but </w:t>
      </w:r>
      <w:r w:rsidR="00397553" w:rsidRPr="006814C7">
        <w:rPr>
          <w:rFonts w:ascii="Palatino Linotype" w:hAnsi="Palatino Linotype"/>
        </w:rPr>
        <w:t xml:space="preserve">was </w:t>
      </w:r>
      <w:r w:rsidRPr="006814C7">
        <w:rPr>
          <w:rFonts w:ascii="Palatino Linotype" w:hAnsi="Palatino Linotype"/>
        </w:rPr>
        <w:t>quickly followed by Italy, France</w:t>
      </w:r>
      <w:r w:rsidR="0016447E" w:rsidRPr="006814C7">
        <w:rPr>
          <w:rFonts w:ascii="Palatino Linotype" w:hAnsi="Palatino Linotype"/>
        </w:rPr>
        <w:t>,</w:t>
      </w:r>
      <w:r w:rsidRPr="006814C7">
        <w:rPr>
          <w:rFonts w:ascii="Palatino Linotype" w:hAnsi="Palatino Linotype"/>
        </w:rPr>
        <w:t xml:space="preserve"> and Germany. </w:t>
      </w:r>
      <w:r w:rsidR="0016447E" w:rsidRPr="006814C7">
        <w:rPr>
          <w:rFonts w:ascii="Palatino Linotype" w:hAnsi="Palatino Linotype"/>
        </w:rPr>
        <w:t xml:space="preserve"> </w:t>
      </w:r>
      <w:r w:rsidRPr="006814C7">
        <w:rPr>
          <w:rFonts w:ascii="Palatino Linotype" w:hAnsi="Palatino Linotype"/>
        </w:rPr>
        <w:t>What is</w:t>
      </w:r>
      <w:r w:rsidR="0016447E" w:rsidRPr="006814C7">
        <w:rPr>
          <w:rFonts w:ascii="Palatino Linotype" w:hAnsi="Palatino Linotype"/>
        </w:rPr>
        <w:t xml:space="preserve"> now</w:t>
      </w:r>
      <w:r w:rsidRPr="006814C7">
        <w:rPr>
          <w:rFonts w:ascii="Palatino Linotype" w:hAnsi="Palatino Linotype"/>
        </w:rPr>
        <w:t xml:space="preserve"> known as the </w:t>
      </w:r>
      <w:r w:rsidR="00A16A97" w:rsidRPr="006814C7">
        <w:rPr>
          <w:rFonts w:ascii="Palatino Linotype" w:hAnsi="Palatino Linotype"/>
        </w:rPr>
        <w:t>“</w:t>
      </w:r>
      <w:r w:rsidRPr="006814C7">
        <w:rPr>
          <w:rFonts w:ascii="Palatino Linotype" w:hAnsi="Palatino Linotype"/>
        </w:rPr>
        <w:t>first wave</w:t>
      </w:r>
      <w:r w:rsidR="00A16A97" w:rsidRPr="006814C7">
        <w:rPr>
          <w:rFonts w:ascii="Palatino Linotype" w:hAnsi="Palatino Linotype"/>
        </w:rPr>
        <w:t>”</w:t>
      </w:r>
      <w:r w:rsidR="0016447E" w:rsidRPr="006814C7">
        <w:rPr>
          <w:rFonts w:ascii="Palatino Linotype" w:hAnsi="Palatino Linotype"/>
        </w:rPr>
        <w:t xml:space="preserve"> of Spanish clinical legal education</w:t>
      </w:r>
      <w:r w:rsidRPr="006814C7">
        <w:rPr>
          <w:rFonts w:ascii="Palatino Linotype" w:hAnsi="Palatino Linotype"/>
        </w:rPr>
        <w:t xml:space="preserve"> refers to the four universities that initiated the clinical movement in Spain during the process of reforming the</w:t>
      </w:r>
      <w:r w:rsidR="0016447E" w:rsidRPr="006814C7">
        <w:rPr>
          <w:rFonts w:ascii="Palatino Linotype" w:hAnsi="Palatino Linotype"/>
        </w:rPr>
        <w:t xml:space="preserve"> law</w:t>
      </w:r>
      <w:r w:rsidRPr="006814C7">
        <w:rPr>
          <w:rFonts w:ascii="Palatino Linotype" w:hAnsi="Palatino Linotype"/>
        </w:rPr>
        <w:t xml:space="preserve"> curriculum to adapt it to the European Higher Education Area: the </w:t>
      </w:r>
      <w:proofErr w:type="spellStart"/>
      <w:r w:rsidRPr="006814C7">
        <w:rPr>
          <w:rFonts w:ascii="Palatino Linotype" w:hAnsi="Palatino Linotype"/>
        </w:rPr>
        <w:t>Rovira</w:t>
      </w:r>
      <w:proofErr w:type="spellEnd"/>
      <w:r w:rsidRPr="006814C7">
        <w:rPr>
          <w:rFonts w:ascii="Palatino Linotype" w:hAnsi="Palatino Linotype"/>
        </w:rPr>
        <w:t xml:space="preserve"> i </w:t>
      </w:r>
      <w:proofErr w:type="spellStart"/>
      <w:r w:rsidRPr="006814C7">
        <w:rPr>
          <w:rFonts w:ascii="Palatino Linotype" w:hAnsi="Palatino Linotype"/>
        </w:rPr>
        <w:t>Virgili</w:t>
      </w:r>
      <w:proofErr w:type="spellEnd"/>
      <w:r w:rsidRPr="006814C7">
        <w:rPr>
          <w:rFonts w:ascii="Palatino Linotype" w:hAnsi="Palatino Linotype"/>
        </w:rPr>
        <w:t xml:space="preserve"> University in Tarragona, the pioneer, with </w:t>
      </w:r>
      <w:r w:rsidR="0016447E" w:rsidRPr="006814C7">
        <w:rPr>
          <w:rFonts w:ascii="Palatino Linotype" w:hAnsi="Palatino Linotype"/>
        </w:rPr>
        <w:t xml:space="preserve">its </w:t>
      </w:r>
      <w:r w:rsidRPr="006814C7">
        <w:rPr>
          <w:rFonts w:ascii="Palatino Linotype" w:hAnsi="Palatino Linotype"/>
        </w:rPr>
        <w:t>establishment of a penitentiary clinic in 2002; Carlos III University of Madrid (2005); the University of Barcelona (2005); and the University of Valencia (2006).</w:t>
      </w:r>
      <w:r w:rsidR="006E0030" w:rsidRPr="006814C7">
        <w:rPr>
          <w:rStyle w:val="FootnoteReference"/>
          <w:rFonts w:ascii="Palatino Linotype" w:hAnsi="Palatino Linotype"/>
        </w:rPr>
        <w:footnoteReference w:id="10"/>
      </w:r>
    </w:p>
    <w:p w14:paraId="52AE8D42" w14:textId="77777777" w:rsidR="003A53D9" w:rsidRPr="006814C7" w:rsidRDefault="003A53D9" w:rsidP="00215C97">
      <w:pPr>
        <w:spacing w:line="480" w:lineRule="auto"/>
        <w:jc w:val="both"/>
        <w:rPr>
          <w:rFonts w:ascii="Palatino Linotype" w:hAnsi="Palatino Linotype"/>
        </w:rPr>
      </w:pPr>
    </w:p>
    <w:p w14:paraId="65A3526B" w14:textId="049B3E38" w:rsidR="00CD0B11" w:rsidRPr="006814C7" w:rsidRDefault="007F37AB" w:rsidP="00215C97">
      <w:pPr>
        <w:spacing w:line="480" w:lineRule="auto"/>
        <w:jc w:val="both"/>
        <w:rPr>
          <w:rFonts w:ascii="Palatino Linotype" w:hAnsi="Palatino Linotype"/>
        </w:rPr>
      </w:pPr>
      <w:r w:rsidRPr="006814C7">
        <w:rPr>
          <w:rFonts w:ascii="Palatino Linotype" w:hAnsi="Palatino Linotype"/>
          <w:color w:val="000000" w:themeColor="text1"/>
        </w:rPr>
        <w:t>Since then, t</w:t>
      </w:r>
      <w:r w:rsidR="0016447E" w:rsidRPr="006814C7">
        <w:rPr>
          <w:rFonts w:ascii="Palatino Linotype" w:hAnsi="Palatino Linotype"/>
          <w:color w:val="000000" w:themeColor="text1"/>
        </w:rPr>
        <w:t xml:space="preserve">he </w:t>
      </w:r>
      <w:r w:rsidR="0016447E" w:rsidRPr="006814C7">
        <w:rPr>
          <w:rFonts w:ascii="Palatino Linotype" w:hAnsi="Palatino Linotype"/>
        </w:rPr>
        <w:t>Spanish clinical legal education</w:t>
      </w:r>
      <w:r w:rsidR="00CD0B11" w:rsidRPr="006814C7">
        <w:rPr>
          <w:rFonts w:ascii="Palatino Linotype" w:hAnsi="Palatino Linotype"/>
        </w:rPr>
        <w:t xml:space="preserve"> movement </w:t>
      </w:r>
      <w:r w:rsidR="006520F4" w:rsidRPr="006814C7">
        <w:rPr>
          <w:rFonts w:ascii="Palatino Linotype" w:hAnsi="Palatino Linotype"/>
        </w:rPr>
        <w:t>has</w:t>
      </w:r>
      <w:r w:rsidR="00CD0B11" w:rsidRPr="006814C7">
        <w:rPr>
          <w:rFonts w:ascii="Palatino Linotype" w:hAnsi="Palatino Linotype"/>
        </w:rPr>
        <w:t xml:space="preserve"> grow</w:t>
      </w:r>
      <w:r w:rsidR="006520F4" w:rsidRPr="006814C7">
        <w:rPr>
          <w:rFonts w:ascii="Palatino Linotype" w:hAnsi="Palatino Linotype"/>
        </w:rPr>
        <w:t>n</w:t>
      </w:r>
      <w:r w:rsidR="00CD0B11" w:rsidRPr="006814C7">
        <w:rPr>
          <w:rFonts w:ascii="Palatino Linotype" w:hAnsi="Palatino Linotype"/>
        </w:rPr>
        <w:t xml:space="preserve"> and consolidate</w:t>
      </w:r>
      <w:r w:rsidR="006520F4" w:rsidRPr="006814C7">
        <w:rPr>
          <w:rFonts w:ascii="Palatino Linotype" w:hAnsi="Palatino Linotype"/>
        </w:rPr>
        <w:t>d slowly</w:t>
      </w:r>
      <w:r w:rsidR="005F455C" w:rsidRPr="006814C7">
        <w:rPr>
          <w:rFonts w:ascii="Palatino Linotype" w:hAnsi="Palatino Linotype"/>
        </w:rPr>
        <w:t>.  It has taken time</w:t>
      </w:r>
      <w:r w:rsidR="00CD0B11" w:rsidRPr="006814C7">
        <w:rPr>
          <w:rFonts w:ascii="Palatino Linotype" w:hAnsi="Palatino Linotype"/>
        </w:rPr>
        <w:t xml:space="preserve"> to introduce clinical legal education </w:t>
      </w:r>
      <w:r w:rsidR="00397553" w:rsidRPr="006814C7">
        <w:rPr>
          <w:rFonts w:ascii="Palatino Linotype" w:hAnsi="Palatino Linotype"/>
        </w:rPr>
        <w:t xml:space="preserve">to both </w:t>
      </w:r>
      <w:r w:rsidR="005F455C" w:rsidRPr="006814C7">
        <w:rPr>
          <w:rFonts w:ascii="Palatino Linotype" w:hAnsi="Palatino Linotype"/>
        </w:rPr>
        <w:t>u</w:t>
      </w:r>
      <w:r w:rsidR="00CD0B11" w:rsidRPr="006814C7">
        <w:rPr>
          <w:rFonts w:ascii="Palatino Linotype" w:hAnsi="Palatino Linotype"/>
        </w:rPr>
        <w:t xml:space="preserve">niversities </w:t>
      </w:r>
      <w:r w:rsidR="00397553" w:rsidRPr="006814C7">
        <w:rPr>
          <w:rFonts w:ascii="Palatino Linotype" w:hAnsi="Palatino Linotype"/>
        </w:rPr>
        <w:t xml:space="preserve">and </w:t>
      </w:r>
      <w:r w:rsidR="00CD0B11" w:rsidRPr="006814C7">
        <w:rPr>
          <w:rFonts w:ascii="Palatino Linotype" w:hAnsi="Palatino Linotype"/>
        </w:rPr>
        <w:t xml:space="preserve">professors, </w:t>
      </w:r>
      <w:r w:rsidR="00F22DBF" w:rsidRPr="006814C7">
        <w:rPr>
          <w:rFonts w:ascii="Palatino Linotype" w:hAnsi="Palatino Linotype"/>
        </w:rPr>
        <w:t xml:space="preserve">an introduction that has occurred </w:t>
      </w:r>
      <w:r w:rsidR="00CD0B11" w:rsidRPr="006814C7">
        <w:rPr>
          <w:rFonts w:ascii="Palatino Linotype" w:hAnsi="Palatino Linotype"/>
        </w:rPr>
        <w:t xml:space="preserve">mainly through the exchange of experiences in </w:t>
      </w:r>
      <w:r w:rsidR="005F455C" w:rsidRPr="006814C7">
        <w:rPr>
          <w:rFonts w:ascii="Palatino Linotype" w:hAnsi="Palatino Linotype"/>
        </w:rPr>
        <w:t>c</w:t>
      </w:r>
      <w:r w:rsidR="00CD0B11" w:rsidRPr="006814C7">
        <w:rPr>
          <w:rFonts w:ascii="Palatino Linotype" w:hAnsi="Palatino Linotype"/>
        </w:rPr>
        <w:t xml:space="preserve">onferences focused on </w:t>
      </w:r>
      <w:r w:rsidR="005F455C" w:rsidRPr="006814C7">
        <w:rPr>
          <w:rFonts w:ascii="Palatino Linotype" w:hAnsi="Palatino Linotype"/>
        </w:rPr>
        <w:t>innovative law teaching</w:t>
      </w:r>
      <w:r w:rsidR="00397553" w:rsidRPr="006814C7">
        <w:rPr>
          <w:rFonts w:ascii="Palatino Linotype" w:hAnsi="Palatino Linotype"/>
        </w:rPr>
        <w:t>.</w:t>
      </w:r>
      <w:r w:rsidR="00CD0B11" w:rsidRPr="006814C7">
        <w:rPr>
          <w:rStyle w:val="FootnoteReference"/>
          <w:rFonts w:ascii="Palatino Linotype" w:hAnsi="Palatino Linotype"/>
        </w:rPr>
        <w:footnoteReference w:id="11"/>
      </w:r>
      <w:r w:rsidR="00CD0B11" w:rsidRPr="006814C7">
        <w:rPr>
          <w:rFonts w:ascii="Palatino Linotype" w:hAnsi="Palatino Linotype"/>
        </w:rPr>
        <w:t xml:space="preserve"> </w:t>
      </w:r>
      <w:r w:rsidR="00E4603A" w:rsidRPr="006814C7">
        <w:rPr>
          <w:rFonts w:ascii="Palatino Linotype" w:hAnsi="Palatino Linotype"/>
        </w:rPr>
        <w:t xml:space="preserve"> </w:t>
      </w:r>
      <w:r w:rsidR="00CD0B11" w:rsidRPr="006814C7">
        <w:rPr>
          <w:rFonts w:ascii="Palatino Linotype" w:hAnsi="Palatino Linotype"/>
        </w:rPr>
        <w:t>Another factor influencing the development of th</w:t>
      </w:r>
      <w:r w:rsidR="00E4603A" w:rsidRPr="006814C7">
        <w:rPr>
          <w:rFonts w:ascii="Palatino Linotype" w:hAnsi="Palatino Linotype"/>
        </w:rPr>
        <w:t xml:space="preserve">e clinical legal education </w:t>
      </w:r>
      <w:r w:rsidR="00CD0B11" w:rsidRPr="006814C7">
        <w:rPr>
          <w:rFonts w:ascii="Palatino Linotype" w:hAnsi="Palatino Linotype"/>
        </w:rPr>
        <w:t xml:space="preserve">movement has been specific national meetings </w:t>
      </w:r>
      <w:r w:rsidR="00E4603A" w:rsidRPr="006814C7">
        <w:rPr>
          <w:rFonts w:ascii="Palatino Linotype" w:hAnsi="Palatino Linotype"/>
        </w:rPr>
        <w:t>of</w:t>
      </w:r>
      <w:r w:rsidR="00CD0B11" w:rsidRPr="006814C7">
        <w:rPr>
          <w:rFonts w:ascii="Palatino Linotype" w:hAnsi="Palatino Linotype"/>
        </w:rPr>
        <w:t xml:space="preserve"> legal clinics, </w:t>
      </w:r>
      <w:r w:rsidR="00E4603A" w:rsidRPr="006814C7">
        <w:rPr>
          <w:rFonts w:ascii="Palatino Linotype" w:hAnsi="Palatino Linotype"/>
        </w:rPr>
        <w:t xml:space="preserve">at </w:t>
      </w:r>
      <w:r w:rsidR="00CD0B11" w:rsidRPr="006814C7">
        <w:rPr>
          <w:rFonts w:ascii="Palatino Linotype" w:hAnsi="Palatino Linotype"/>
        </w:rPr>
        <w:t xml:space="preserve">times </w:t>
      </w:r>
      <w:r w:rsidR="00E4603A" w:rsidRPr="006814C7">
        <w:rPr>
          <w:rFonts w:ascii="Palatino Linotype" w:hAnsi="Palatino Linotype"/>
        </w:rPr>
        <w:t>during the</w:t>
      </w:r>
      <w:r w:rsidR="00CD0B11" w:rsidRPr="006814C7">
        <w:rPr>
          <w:rFonts w:ascii="Palatino Linotype" w:hAnsi="Palatino Linotype"/>
        </w:rPr>
        <w:t xml:space="preserve"> Congress on Teaching Innovation in Legal Studies. </w:t>
      </w:r>
      <w:r w:rsidR="00264F5C" w:rsidRPr="006814C7">
        <w:rPr>
          <w:rFonts w:ascii="Palatino Linotype" w:hAnsi="Palatino Linotype"/>
        </w:rPr>
        <w:t xml:space="preserve"> </w:t>
      </w:r>
      <w:r w:rsidR="00CD0B11" w:rsidRPr="006814C7">
        <w:rPr>
          <w:rFonts w:ascii="Palatino Linotype" w:hAnsi="Palatino Linotype"/>
        </w:rPr>
        <w:t>Th</w:t>
      </w:r>
      <w:r w:rsidR="0007338A" w:rsidRPr="006814C7">
        <w:rPr>
          <w:rFonts w:ascii="Palatino Linotype" w:hAnsi="Palatino Linotype"/>
        </w:rPr>
        <w:t xml:space="preserve">ese initiatives have bolstered </w:t>
      </w:r>
      <w:r w:rsidR="00CD0B11" w:rsidRPr="006814C7">
        <w:rPr>
          <w:rFonts w:ascii="Palatino Linotype" w:hAnsi="Palatino Linotype"/>
        </w:rPr>
        <w:t xml:space="preserve">the clinical movement and led to the creation of </w:t>
      </w:r>
      <w:r w:rsidR="002823BF" w:rsidRPr="006814C7">
        <w:rPr>
          <w:rFonts w:ascii="Palatino Linotype" w:hAnsi="Palatino Linotype"/>
        </w:rPr>
        <w:lastRenderedPageBreak/>
        <w:t>the</w:t>
      </w:r>
      <w:r w:rsidR="00CD0B11" w:rsidRPr="006814C7">
        <w:rPr>
          <w:rFonts w:ascii="Palatino Linotype" w:hAnsi="Palatino Linotype"/>
        </w:rPr>
        <w:t xml:space="preserve"> Spanish </w:t>
      </w:r>
      <w:r w:rsidR="002823BF" w:rsidRPr="006814C7">
        <w:rPr>
          <w:rFonts w:ascii="Palatino Linotype" w:hAnsi="Palatino Linotype"/>
        </w:rPr>
        <w:t>N</w:t>
      </w:r>
      <w:r w:rsidR="00CD0B11" w:rsidRPr="006814C7">
        <w:rPr>
          <w:rFonts w:ascii="Palatino Linotype" w:hAnsi="Palatino Linotype"/>
        </w:rPr>
        <w:t xml:space="preserve">etwork of </w:t>
      </w:r>
      <w:r w:rsidR="002823BF" w:rsidRPr="006814C7">
        <w:rPr>
          <w:rFonts w:ascii="Palatino Linotype" w:hAnsi="Palatino Linotype"/>
        </w:rPr>
        <w:t>L</w:t>
      </w:r>
      <w:r w:rsidR="00CD0B11" w:rsidRPr="006814C7">
        <w:rPr>
          <w:rFonts w:ascii="Palatino Linotype" w:hAnsi="Palatino Linotype"/>
        </w:rPr>
        <w:t xml:space="preserve">egal </w:t>
      </w:r>
      <w:r w:rsidR="002823BF" w:rsidRPr="006814C7">
        <w:rPr>
          <w:rFonts w:ascii="Palatino Linotype" w:hAnsi="Palatino Linotype"/>
        </w:rPr>
        <w:t>C</w:t>
      </w:r>
      <w:r w:rsidR="00CD0B11" w:rsidRPr="006814C7">
        <w:rPr>
          <w:rFonts w:ascii="Palatino Linotype" w:hAnsi="Palatino Linotype"/>
        </w:rPr>
        <w:t>linics</w:t>
      </w:r>
      <w:r w:rsidR="0007338A" w:rsidRPr="006814C7">
        <w:rPr>
          <w:rFonts w:ascii="Palatino Linotype" w:hAnsi="Palatino Linotype"/>
        </w:rPr>
        <w:t>.</w:t>
      </w:r>
      <w:r w:rsidR="00CD0B11" w:rsidRPr="006814C7">
        <w:rPr>
          <w:rStyle w:val="FootnoteReference"/>
          <w:rFonts w:ascii="Palatino Linotype" w:hAnsi="Palatino Linotype"/>
        </w:rPr>
        <w:footnoteReference w:id="12"/>
      </w:r>
      <w:r w:rsidR="00264F5C" w:rsidRPr="006814C7">
        <w:rPr>
          <w:rFonts w:ascii="Palatino Linotype" w:hAnsi="Palatino Linotype"/>
        </w:rPr>
        <w:t xml:space="preserve"> </w:t>
      </w:r>
      <w:r w:rsidR="0007338A" w:rsidRPr="006814C7">
        <w:rPr>
          <w:rFonts w:ascii="Palatino Linotype" w:hAnsi="Palatino Linotype"/>
        </w:rPr>
        <w:t xml:space="preserve"> </w:t>
      </w:r>
      <w:r w:rsidR="00264F5C" w:rsidRPr="006814C7">
        <w:rPr>
          <w:rFonts w:ascii="Palatino Linotype" w:hAnsi="Palatino Linotype"/>
        </w:rPr>
        <w:t>To date, the Network has a registry of 26</w:t>
      </w:r>
      <w:r w:rsidR="00CD0B11" w:rsidRPr="006814C7">
        <w:rPr>
          <w:rFonts w:ascii="Palatino Linotype" w:hAnsi="Palatino Linotype"/>
        </w:rPr>
        <w:t xml:space="preserve"> legal clinics</w:t>
      </w:r>
      <w:r w:rsidR="00397553" w:rsidRPr="006814C7">
        <w:rPr>
          <w:rFonts w:ascii="Palatino Linotype" w:hAnsi="Palatino Linotype"/>
        </w:rPr>
        <w:t>.</w:t>
      </w:r>
      <w:r w:rsidR="00CD0B11" w:rsidRPr="006814C7">
        <w:rPr>
          <w:rStyle w:val="FootnoteReference"/>
          <w:rFonts w:ascii="Palatino Linotype" w:hAnsi="Palatino Linotype"/>
        </w:rPr>
        <w:footnoteReference w:id="13"/>
      </w:r>
      <w:r w:rsidR="00CD0B11" w:rsidRPr="006814C7">
        <w:rPr>
          <w:rFonts w:ascii="Palatino Linotype" w:hAnsi="Palatino Linotype"/>
        </w:rPr>
        <w:t xml:space="preserve"> </w:t>
      </w:r>
      <w:r w:rsidR="00264F5C" w:rsidRPr="006814C7">
        <w:rPr>
          <w:rFonts w:ascii="Palatino Linotype" w:hAnsi="Palatino Linotype"/>
        </w:rPr>
        <w:t xml:space="preserve"> </w:t>
      </w:r>
      <w:r w:rsidR="000A767D" w:rsidRPr="006814C7">
        <w:rPr>
          <w:rFonts w:ascii="Palatino Linotype" w:hAnsi="Palatino Linotype"/>
        </w:rPr>
        <w:t>A final, no less important,</w:t>
      </w:r>
      <w:r w:rsidR="00CD0B11" w:rsidRPr="006814C7">
        <w:rPr>
          <w:rFonts w:ascii="Palatino Linotype" w:hAnsi="Palatino Linotype"/>
        </w:rPr>
        <w:t xml:space="preserve"> factor</w:t>
      </w:r>
      <w:r w:rsidR="000A767D" w:rsidRPr="006814C7">
        <w:rPr>
          <w:rFonts w:ascii="Palatino Linotype" w:hAnsi="Palatino Linotype"/>
        </w:rPr>
        <w:t xml:space="preserve"> </w:t>
      </w:r>
      <w:r w:rsidR="00CD0B11" w:rsidRPr="006814C7">
        <w:rPr>
          <w:rFonts w:ascii="Palatino Linotype" w:hAnsi="Palatino Linotype"/>
        </w:rPr>
        <w:t>is the participation of Spanish clinicians as active members in European and international networks</w:t>
      </w:r>
      <w:r w:rsidR="00397553" w:rsidRPr="006814C7">
        <w:rPr>
          <w:rFonts w:ascii="Palatino Linotype" w:hAnsi="Palatino Linotype"/>
        </w:rPr>
        <w:t>.</w:t>
      </w:r>
      <w:r w:rsidR="00CD0B11" w:rsidRPr="006814C7">
        <w:rPr>
          <w:rStyle w:val="FootnoteReference"/>
          <w:rFonts w:ascii="Palatino Linotype" w:hAnsi="Palatino Linotype"/>
        </w:rPr>
        <w:footnoteReference w:id="14"/>
      </w:r>
      <w:r w:rsidR="00365F87" w:rsidRPr="006814C7">
        <w:rPr>
          <w:rFonts w:ascii="Palatino Linotype" w:hAnsi="Palatino Linotype"/>
        </w:rPr>
        <w:t xml:space="preserve">  </w:t>
      </w:r>
      <w:r w:rsidR="00CD0B11" w:rsidRPr="006814C7">
        <w:rPr>
          <w:rFonts w:ascii="Palatino Linotype" w:hAnsi="Palatino Linotype"/>
        </w:rPr>
        <w:t xml:space="preserve">The last </w:t>
      </w:r>
      <w:r w:rsidR="002823BF" w:rsidRPr="006814C7">
        <w:rPr>
          <w:rFonts w:ascii="Palatino Linotype" w:hAnsi="Palatino Linotype"/>
        </w:rPr>
        <w:t>m</w:t>
      </w:r>
      <w:r w:rsidR="00CD0B11" w:rsidRPr="006814C7">
        <w:rPr>
          <w:rFonts w:ascii="Palatino Linotype" w:hAnsi="Palatino Linotype"/>
        </w:rPr>
        <w:t>eeting of the Network</w:t>
      </w:r>
      <w:r w:rsidR="00B97DC6" w:rsidRPr="006814C7">
        <w:rPr>
          <w:rFonts w:ascii="Palatino Linotype" w:hAnsi="Palatino Linotype"/>
        </w:rPr>
        <w:t>,</w:t>
      </w:r>
      <w:r w:rsidR="00CD0B11" w:rsidRPr="006814C7">
        <w:rPr>
          <w:rFonts w:ascii="Palatino Linotype" w:hAnsi="Palatino Linotype"/>
        </w:rPr>
        <w:t xml:space="preserve"> in October 2018</w:t>
      </w:r>
      <w:r w:rsidR="00B97DC6" w:rsidRPr="006814C7">
        <w:rPr>
          <w:rFonts w:ascii="Palatino Linotype" w:hAnsi="Palatino Linotype"/>
        </w:rPr>
        <w:t>,</w:t>
      </w:r>
      <w:r w:rsidR="00CD0B11" w:rsidRPr="006814C7">
        <w:rPr>
          <w:rFonts w:ascii="Palatino Linotype" w:hAnsi="Palatino Linotype"/>
        </w:rPr>
        <w:t xml:space="preserve"> </w:t>
      </w:r>
      <w:r w:rsidR="00745458" w:rsidRPr="006814C7">
        <w:rPr>
          <w:rFonts w:ascii="Palatino Linotype" w:hAnsi="Palatino Linotype"/>
        </w:rPr>
        <w:t>saw</w:t>
      </w:r>
      <w:r w:rsidR="00CD0B11" w:rsidRPr="006814C7">
        <w:rPr>
          <w:rFonts w:ascii="Palatino Linotype" w:hAnsi="Palatino Linotype"/>
        </w:rPr>
        <w:t xml:space="preserve"> the approval of the so-called “Declaration of Salamanca</w:t>
      </w:r>
      <w:r w:rsidR="00B97DC6" w:rsidRPr="006814C7">
        <w:rPr>
          <w:rFonts w:ascii="Palatino Linotype" w:hAnsi="Palatino Linotype"/>
        </w:rPr>
        <w:t>,</w:t>
      </w:r>
      <w:r w:rsidR="00CD0B11" w:rsidRPr="006814C7">
        <w:rPr>
          <w:rFonts w:ascii="Palatino Linotype" w:hAnsi="Palatino Linotype"/>
        </w:rPr>
        <w:t>” wh</w:t>
      </w:r>
      <w:r w:rsidR="000C7F27" w:rsidRPr="006814C7">
        <w:rPr>
          <w:rFonts w:ascii="Palatino Linotype" w:hAnsi="Palatino Linotype"/>
        </w:rPr>
        <w:t>ich, among other</w:t>
      </w:r>
      <w:r w:rsidR="00CD0B11" w:rsidRPr="006814C7">
        <w:rPr>
          <w:rFonts w:ascii="Palatino Linotype" w:hAnsi="Palatino Linotype"/>
        </w:rPr>
        <w:t xml:space="preserve"> content</w:t>
      </w:r>
      <w:r w:rsidR="000C7F27" w:rsidRPr="006814C7">
        <w:rPr>
          <w:rFonts w:ascii="Palatino Linotype" w:hAnsi="Palatino Linotype"/>
        </w:rPr>
        <w:t>,</w:t>
      </w:r>
      <w:r w:rsidR="00CD0B11" w:rsidRPr="006814C7">
        <w:rPr>
          <w:rFonts w:ascii="Palatino Linotype" w:hAnsi="Palatino Linotype"/>
        </w:rPr>
        <w:t xml:space="preserve"> </w:t>
      </w:r>
      <w:r w:rsidR="000C7F27" w:rsidRPr="006814C7">
        <w:rPr>
          <w:rFonts w:ascii="Palatino Linotype" w:hAnsi="Palatino Linotype"/>
        </w:rPr>
        <w:t xml:space="preserve">pledged the </w:t>
      </w:r>
      <w:r w:rsidR="00CD0B11" w:rsidRPr="006814C7">
        <w:rPr>
          <w:rFonts w:ascii="Palatino Linotype" w:hAnsi="Palatino Linotype"/>
        </w:rPr>
        <w:t>promot</w:t>
      </w:r>
      <w:r w:rsidR="000C7F27" w:rsidRPr="006814C7">
        <w:rPr>
          <w:rFonts w:ascii="Palatino Linotype" w:hAnsi="Palatino Linotype"/>
        </w:rPr>
        <w:t>ion of</w:t>
      </w:r>
      <w:r w:rsidR="00CD0B11" w:rsidRPr="006814C7">
        <w:rPr>
          <w:rFonts w:ascii="Palatino Linotype" w:hAnsi="Palatino Linotype"/>
        </w:rPr>
        <w:t xml:space="preserve"> the clinical legal education in Spain</w:t>
      </w:r>
      <w:r w:rsidR="00397553" w:rsidRPr="006814C7">
        <w:rPr>
          <w:rFonts w:ascii="Palatino Linotype" w:hAnsi="Palatino Linotype"/>
        </w:rPr>
        <w:t>.</w:t>
      </w:r>
      <w:r w:rsidR="00CD0B11" w:rsidRPr="006814C7">
        <w:rPr>
          <w:rStyle w:val="FootnoteReference"/>
          <w:rFonts w:ascii="Palatino Linotype" w:hAnsi="Palatino Linotype"/>
        </w:rPr>
        <w:footnoteReference w:id="15"/>
      </w:r>
    </w:p>
    <w:p w14:paraId="459DBF84" w14:textId="33FEB27D" w:rsidR="00CD0B11" w:rsidRPr="006814C7" w:rsidRDefault="00B43C4D" w:rsidP="00215C97">
      <w:pPr>
        <w:spacing w:line="480" w:lineRule="auto"/>
        <w:jc w:val="both"/>
        <w:rPr>
          <w:rFonts w:ascii="Palatino Linotype" w:hAnsi="Palatino Linotype"/>
        </w:rPr>
      </w:pPr>
      <w:r w:rsidRPr="006814C7">
        <w:rPr>
          <w:rFonts w:ascii="Palatino Linotype" w:hAnsi="Palatino Linotype"/>
        </w:rPr>
        <w:lastRenderedPageBreak/>
        <w:t>Currently</w:t>
      </w:r>
      <w:r w:rsidR="00CD0B11" w:rsidRPr="006814C7">
        <w:rPr>
          <w:rFonts w:ascii="Palatino Linotype" w:hAnsi="Palatino Linotype"/>
        </w:rPr>
        <w:t xml:space="preserve">, the main challenge for the Network is the signing of a </w:t>
      </w:r>
      <w:r w:rsidR="00E66455" w:rsidRPr="006814C7">
        <w:rPr>
          <w:rFonts w:ascii="Palatino Linotype" w:hAnsi="Palatino Linotype"/>
        </w:rPr>
        <w:t>f</w:t>
      </w:r>
      <w:r w:rsidR="00CD0B11" w:rsidRPr="006814C7">
        <w:rPr>
          <w:rFonts w:ascii="Palatino Linotype" w:hAnsi="Palatino Linotype"/>
        </w:rPr>
        <w:t xml:space="preserve">ramework </w:t>
      </w:r>
      <w:r w:rsidR="00E66455" w:rsidRPr="006814C7">
        <w:rPr>
          <w:rFonts w:ascii="Palatino Linotype" w:hAnsi="Palatino Linotype"/>
        </w:rPr>
        <w:t>a</w:t>
      </w:r>
      <w:r w:rsidR="00CD0B11" w:rsidRPr="006814C7">
        <w:rPr>
          <w:rFonts w:ascii="Palatino Linotype" w:hAnsi="Palatino Linotype"/>
        </w:rPr>
        <w:t xml:space="preserve">greement for collaboration between </w:t>
      </w:r>
      <w:r w:rsidR="00BB7903" w:rsidRPr="006814C7">
        <w:rPr>
          <w:rFonts w:ascii="Palatino Linotype" w:hAnsi="Palatino Linotype"/>
        </w:rPr>
        <w:t>it</w:t>
      </w:r>
      <w:r w:rsidR="00CD0B11" w:rsidRPr="006814C7">
        <w:rPr>
          <w:rFonts w:ascii="Palatino Linotype" w:hAnsi="Palatino Linotype"/>
        </w:rPr>
        <w:t xml:space="preserve"> and the General Council of the Legal Profession</w:t>
      </w:r>
      <w:r w:rsidR="00397553" w:rsidRPr="006814C7">
        <w:rPr>
          <w:rFonts w:ascii="Palatino Linotype" w:hAnsi="Palatino Linotype"/>
        </w:rPr>
        <w:t>,</w:t>
      </w:r>
      <w:r w:rsidR="00CD0B11" w:rsidRPr="006814C7">
        <w:rPr>
          <w:rStyle w:val="FootnoteReference"/>
          <w:rFonts w:ascii="Palatino Linotype" w:hAnsi="Palatino Linotype"/>
        </w:rPr>
        <w:footnoteReference w:id="16"/>
      </w:r>
      <w:r w:rsidR="00CD0B11" w:rsidRPr="006814C7">
        <w:rPr>
          <w:rFonts w:ascii="Palatino Linotype" w:hAnsi="Palatino Linotype"/>
        </w:rPr>
        <w:t xml:space="preserve"> so that </w:t>
      </w:r>
      <w:r w:rsidR="001A68FC" w:rsidRPr="006814C7">
        <w:rPr>
          <w:rFonts w:ascii="Palatino Linotype" w:hAnsi="Palatino Linotype"/>
        </w:rPr>
        <w:t xml:space="preserve">legal </w:t>
      </w:r>
      <w:r w:rsidR="00E66455" w:rsidRPr="006814C7">
        <w:rPr>
          <w:rFonts w:ascii="Palatino Linotype" w:hAnsi="Palatino Linotype"/>
        </w:rPr>
        <w:t>c</w:t>
      </w:r>
      <w:r w:rsidR="00CD0B11" w:rsidRPr="006814C7">
        <w:rPr>
          <w:rFonts w:ascii="Palatino Linotype" w:hAnsi="Palatino Linotype"/>
        </w:rPr>
        <w:t xml:space="preserve">linics can </w:t>
      </w:r>
      <w:r w:rsidR="001A68FC" w:rsidRPr="006814C7">
        <w:rPr>
          <w:rFonts w:ascii="Palatino Linotype" w:hAnsi="Palatino Linotype"/>
        </w:rPr>
        <w:t>use the agreement</w:t>
      </w:r>
      <w:r w:rsidR="00CD0B11" w:rsidRPr="006814C7">
        <w:rPr>
          <w:rFonts w:ascii="Palatino Linotype" w:hAnsi="Palatino Linotype"/>
        </w:rPr>
        <w:t xml:space="preserve"> as a referent with regional </w:t>
      </w:r>
      <w:r w:rsidR="00E66455" w:rsidRPr="006814C7">
        <w:rPr>
          <w:rFonts w:ascii="Palatino Linotype" w:hAnsi="Palatino Linotype"/>
        </w:rPr>
        <w:t>b</w:t>
      </w:r>
      <w:r w:rsidR="00CD0B11" w:rsidRPr="006814C7">
        <w:rPr>
          <w:rFonts w:ascii="Palatino Linotype" w:hAnsi="Palatino Linotype"/>
        </w:rPr>
        <w:t xml:space="preserve">ar </w:t>
      </w:r>
      <w:r w:rsidR="00E66455" w:rsidRPr="006814C7">
        <w:rPr>
          <w:rFonts w:ascii="Palatino Linotype" w:hAnsi="Palatino Linotype"/>
        </w:rPr>
        <w:t>a</w:t>
      </w:r>
      <w:r w:rsidR="00CD0B11" w:rsidRPr="006814C7">
        <w:rPr>
          <w:rFonts w:ascii="Palatino Linotype" w:hAnsi="Palatino Linotype"/>
        </w:rPr>
        <w:t xml:space="preserve">ssociations, in case </w:t>
      </w:r>
      <w:r w:rsidR="00E66455" w:rsidRPr="006814C7">
        <w:rPr>
          <w:rFonts w:ascii="Palatino Linotype" w:hAnsi="Palatino Linotype"/>
        </w:rPr>
        <w:t>there are no</w:t>
      </w:r>
      <w:r w:rsidR="00CD0B11" w:rsidRPr="006814C7">
        <w:rPr>
          <w:rFonts w:ascii="Palatino Linotype" w:hAnsi="Palatino Linotype"/>
        </w:rPr>
        <w:t xml:space="preserve"> specific agreement</w:t>
      </w:r>
      <w:r w:rsidR="00E66455" w:rsidRPr="006814C7">
        <w:rPr>
          <w:rFonts w:ascii="Palatino Linotype" w:hAnsi="Palatino Linotype"/>
        </w:rPr>
        <w:t>s</w:t>
      </w:r>
      <w:r w:rsidR="00CD0B11" w:rsidRPr="006814C7">
        <w:rPr>
          <w:rFonts w:ascii="Palatino Linotype" w:hAnsi="Palatino Linotype"/>
        </w:rPr>
        <w:t xml:space="preserve"> </w:t>
      </w:r>
      <w:r w:rsidR="00E66455" w:rsidRPr="006814C7">
        <w:rPr>
          <w:rFonts w:ascii="Palatino Linotype" w:hAnsi="Palatino Linotype"/>
        </w:rPr>
        <w:t>in</w:t>
      </w:r>
      <w:r w:rsidR="00CD0B11" w:rsidRPr="006814C7">
        <w:rPr>
          <w:rFonts w:ascii="Palatino Linotype" w:hAnsi="Palatino Linotype"/>
        </w:rPr>
        <w:t xml:space="preserve"> this regard. </w:t>
      </w:r>
      <w:r w:rsidR="00147CE3" w:rsidRPr="006814C7">
        <w:rPr>
          <w:rFonts w:ascii="Palatino Linotype" w:hAnsi="Palatino Linotype"/>
        </w:rPr>
        <w:t xml:space="preserve"> </w:t>
      </w:r>
      <w:r w:rsidR="00CD0B11" w:rsidRPr="006814C7">
        <w:rPr>
          <w:rFonts w:ascii="Palatino Linotype" w:hAnsi="Palatino Linotype"/>
        </w:rPr>
        <w:t xml:space="preserve">According to </w:t>
      </w:r>
      <w:r w:rsidR="001A68FC" w:rsidRPr="006814C7">
        <w:rPr>
          <w:rFonts w:ascii="Palatino Linotype" w:hAnsi="Palatino Linotype"/>
        </w:rPr>
        <w:t>the agreement’s</w:t>
      </w:r>
      <w:r w:rsidR="00CD0B11" w:rsidRPr="006814C7">
        <w:rPr>
          <w:rFonts w:ascii="Palatino Linotype" w:hAnsi="Palatino Linotype"/>
        </w:rPr>
        <w:t xml:space="preserve"> provisional content, the parties</w:t>
      </w:r>
      <w:r w:rsidR="001A68FC" w:rsidRPr="006814C7">
        <w:rPr>
          <w:rFonts w:ascii="Palatino Linotype" w:hAnsi="Palatino Linotype"/>
        </w:rPr>
        <w:t>’ aim</w:t>
      </w:r>
      <w:r w:rsidR="00CD0B11" w:rsidRPr="006814C7">
        <w:rPr>
          <w:rFonts w:ascii="Palatino Linotype" w:hAnsi="Palatino Linotype"/>
        </w:rPr>
        <w:t xml:space="preserve"> is to reinforce </w:t>
      </w:r>
      <w:r w:rsidR="00397553" w:rsidRPr="006814C7">
        <w:rPr>
          <w:rFonts w:ascii="Palatino Linotype" w:hAnsi="Palatino Linotype"/>
        </w:rPr>
        <w:t xml:space="preserve">the teaching of </w:t>
      </w:r>
      <w:r w:rsidR="00CD0B11" w:rsidRPr="006814C7">
        <w:rPr>
          <w:rFonts w:ascii="Palatino Linotype" w:hAnsi="Palatino Linotype"/>
        </w:rPr>
        <w:t xml:space="preserve">values and social responsibility </w:t>
      </w:r>
      <w:r w:rsidR="00E66455" w:rsidRPr="006814C7">
        <w:rPr>
          <w:rFonts w:ascii="Palatino Linotype" w:hAnsi="Palatino Linotype"/>
        </w:rPr>
        <w:t>to</w:t>
      </w:r>
      <w:r w:rsidR="00CD0B11" w:rsidRPr="006814C7">
        <w:rPr>
          <w:rFonts w:ascii="Palatino Linotype" w:hAnsi="Palatino Linotype"/>
        </w:rPr>
        <w:t xml:space="preserve"> undergraduate and postgraduate </w:t>
      </w:r>
      <w:r w:rsidR="00E66455" w:rsidRPr="006814C7">
        <w:rPr>
          <w:rFonts w:ascii="Palatino Linotype" w:hAnsi="Palatino Linotype"/>
        </w:rPr>
        <w:t>students of law and</w:t>
      </w:r>
      <w:r w:rsidR="00CD0B11" w:rsidRPr="006814C7">
        <w:rPr>
          <w:rFonts w:ascii="Palatino Linotype" w:hAnsi="Palatino Linotype"/>
        </w:rPr>
        <w:t xml:space="preserve"> facili</w:t>
      </w:r>
      <w:r w:rsidR="001A68FC" w:rsidRPr="006814C7">
        <w:rPr>
          <w:rFonts w:ascii="Palatino Linotype" w:hAnsi="Palatino Linotype"/>
        </w:rPr>
        <w:t>tate</w:t>
      </w:r>
      <w:r w:rsidR="00CD0B11" w:rsidRPr="006814C7">
        <w:rPr>
          <w:rFonts w:ascii="Palatino Linotype" w:hAnsi="Palatino Linotype"/>
        </w:rPr>
        <w:t xml:space="preserve"> practical training of students through participation in social</w:t>
      </w:r>
      <w:r w:rsidR="00E66455" w:rsidRPr="006814C7">
        <w:rPr>
          <w:rFonts w:ascii="Palatino Linotype" w:hAnsi="Palatino Linotype"/>
        </w:rPr>
        <w:t>ly</w:t>
      </w:r>
      <w:r w:rsidR="00CD0B11" w:rsidRPr="006814C7">
        <w:rPr>
          <w:rFonts w:ascii="Palatino Linotype" w:hAnsi="Palatino Linotype"/>
        </w:rPr>
        <w:t xml:space="preserve"> responsib</w:t>
      </w:r>
      <w:r w:rsidR="00E66455" w:rsidRPr="006814C7">
        <w:rPr>
          <w:rFonts w:ascii="Palatino Linotype" w:hAnsi="Palatino Linotype"/>
        </w:rPr>
        <w:t>le</w:t>
      </w:r>
      <w:r w:rsidR="00CD0B11" w:rsidRPr="006814C7">
        <w:rPr>
          <w:rFonts w:ascii="Palatino Linotype" w:hAnsi="Palatino Linotype"/>
        </w:rPr>
        <w:t xml:space="preserve"> activities and pro bono cases related to persons and groups in vulnerable situation</w:t>
      </w:r>
      <w:r w:rsidR="00397553" w:rsidRPr="006814C7">
        <w:rPr>
          <w:rFonts w:ascii="Palatino Linotype" w:hAnsi="Palatino Linotype"/>
        </w:rPr>
        <w:t>s</w:t>
      </w:r>
      <w:r w:rsidR="00CD0B11" w:rsidRPr="006814C7">
        <w:rPr>
          <w:rFonts w:ascii="Palatino Linotype" w:hAnsi="Palatino Linotype"/>
        </w:rPr>
        <w:t>, supervised by volunteer lawyers and professors.</w:t>
      </w:r>
    </w:p>
    <w:p w14:paraId="42FEFD13" w14:textId="77777777" w:rsidR="006814C7" w:rsidRDefault="006814C7" w:rsidP="00215C97">
      <w:pPr>
        <w:spacing w:line="480" w:lineRule="auto"/>
        <w:jc w:val="both"/>
        <w:rPr>
          <w:rFonts w:ascii="Palatino Linotype" w:hAnsi="Palatino Linotype"/>
        </w:rPr>
      </w:pPr>
    </w:p>
    <w:p w14:paraId="06EFE168" w14:textId="2171B148" w:rsidR="00397553" w:rsidRPr="006814C7" w:rsidRDefault="0068649D" w:rsidP="00215C97">
      <w:pPr>
        <w:spacing w:line="480" w:lineRule="auto"/>
        <w:jc w:val="both"/>
        <w:rPr>
          <w:rFonts w:ascii="Palatino Linotype" w:hAnsi="Palatino Linotype"/>
        </w:rPr>
      </w:pPr>
      <w:r w:rsidRPr="006814C7">
        <w:rPr>
          <w:rFonts w:ascii="Palatino Linotype" w:hAnsi="Palatino Linotype"/>
        </w:rPr>
        <w:t>Since</w:t>
      </w:r>
      <w:r w:rsidR="00CD0B11" w:rsidRPr="006814C7">
        <w:rPr>
          <w:rFonts w:ascii="Palatino Linotype" w:hAnsi="Palatino Linotype"/>
        </w:rPr>
        <w:t xml:space="preserve"> </w:t>
      </w:r>
      <w:r w:rsidRPr="006814C7">
        <w:rPr>
          <w:rFonts w:ascii="Palatino Linotype" w:hAnsi="Palatino Linotype"/>
        </w:rPr>
        <w:t>c</w:t>
      </w:r>
      <w:r w:rsidR="00CD0B11" w:rsidRPr="006814C7">
        <w:rPr>
          <w:rFonts w:ascii="Palatino Linotype" w:hAnsi="Palatino Linotype"/>
        </w:rPr>
        <w:t>linics</w:t>
      </w:r>
      <w:r w:rsidR="004305C4" w:rsidRPr="006814C7">
        <w:rPr>
          <w:rFonts w:ascii="Palatino Linotype" w:hAnsi="Palatino Linotype"/>
        </w:rPr>
        <w:t xml:space="preserve"> (as yet) </w:t>
      </w:r>
      <w:r w:rsidR="00CD0B11" w:rsidRPr="006814C7">
        <w:rPr>
          <w:rFonts w:ascii="Palatino Linotype" w:hAnsi="Palatino Linotype"/>
        </w:rPr>
        <w:t xml:space="preserve">do not have legal status and, therefore, </w:t>
      </w:r>
      <w:r w:rsidRPr="006814C7">
        <w:rPr>
          <w:rFonts w:ascii="Palatino Linotype" w:hAnsi="Palatino Linotype"/>
        </w:rPr>
        <w:t>can</w:t>
      </w:r>
      <w:r w:rsidR="00CD0B11" w:rsidRPr="006814C7">
        <w:rPr>
          <w:rFonts w:ascii="Palatino Linotype" w:hAnsi="Palatino Linotype"/>
        </w:rPr>
        <w:t>not participate directly in the signing of the agreement, the Conference of Rectors of Spanish Universities (CRUE) has been the elected delegate to represent the</w:t>
      </w:r>
      <w:r w:rsidRPr="006814C7">
        <w:rPr>
          <w:rFonts w:ascii="Palatino Linotype" w:hAnsi="Palatino Linotype"/>
        </w:rPr>
        <w:t xml:space="preserve">m.  </w:t>
      </w:r>
      <w:r w:rsidR="00CD0B11" w:rsidRPr="006814C7">
        <w:rPr>
          <w:rFonts w:ascii="Palatino Linotype" w:hAnsi="Palatino Linotype"/>
        </w:rPr>
        <w:t xml:space="preserve">The text of the </w:t>
      </w:r>
      <w:r w:rsidRPr="006814C7">
        <w:rPr>
          <w:rFonts w:ascii="Palatino Linotype" w:hAnsi="Palatino Linotype"/>
        </w:rPr>
        <w:t>a</w:t>
      </w:r>
      <w:r w:rsidR="00CD0B11" w:rsidRPr="006814C7">
        <w:rPr>
          <w:rFonts w:ascii="Palatino Linotype" w:hAnsi="Palatino Linotype"/>
        </w:rPr>
        <w:t xml:space="preserve">greement, which is awaiting final signature, includes, among other issues, the </w:t>
      </w:r>
      <w:r w:rsidRPr="006814C7">
        <w:rPr>
          <w:rFonts w:ascii="Palatino Linotype" w:hAnsi="Palatino Linotype"/>
        </w:rPr>
        <w:t>collab</w:t>
      </w:r>
      <w:r w:rsidR="00841B9F" w:rsidRPr="006814C7">
        <w:rPr>
          <w:rFonts w:ascii="Palatino Linotype" w:hAnsi="Palatino Linotype"/>
        </w:rPr>
        <w:t>or</w:t>
      </w:r>
      <w:r w:rsidRPr="006814C7">
        <w:rPr>
          <w:rFonts w:ascii="Palatino Linotype" w:hAnsi="Palatino Linotype"/>
        </w:rPr>
        <w:t xml:space="preserve">ative working </w:t>
      </w:r>
      <w:r w:rsidR="00CD0B11" w:rsidRPr="006814C7">
        <w:rPr>
          <w:rFonts w:ascii="Palatino Linotype" w:hAnsi="Palatino Linotype"/>
        </w:rPr>
        <w:t xml:space="preserve">commitments assumed by </w:t>
      </w:r>
      <w:r w:rsidRPr="006814C7">
        <w:rPr>
          <w:rFonts w:ascii="Palatino Linotype" w:hAnsi="Palatino Linotype"/>
        </w:rPr>
        <w:t>c</w:t>
      </w:r>
      <w:r w:rsidR="00CD0B11" w:rsidRPr="006814C7">
        <w:rPr>
          <w:rFonts w:ascii="Palatino Linotype" w:hAnsi="Palatino Linotype"/>
        </w:rPr>
        <w:t xml:space="preserve">linics and </w:t>
      </w:r>
      <w:r w:rsidRPr="006814C7">
        <w:rPr>
          <w:rFonts w:ascii="Palatino Linotype" w:hAnsi="Palatino Linotype"/>
        </w:rPr>
        <w:t>b</w:t>
      </w:r>
      <w:r w:rsidR="00CD0B11" w:rsidRPr="006814C7">
        <w:rPr>
          <w:rFonts w:ascii="Palatino Linotype" w:hAnsi="Palatino Linotype"/>
        </w:rPr>
        <w:t xml:space="preserve">ar </w:t>
      </w:r>
      <w:r w:rsidRPr="006814C7">
        <w:rPr>
          <w:rFonts w:ascii="Palatino Linotype" w:hAnsi="Palatino Linotype"/>
        </w:rPr>
        <w:t>a</w:t>
      </w:r>
      <w:r w:rsidR="00CD0B11" w:rsidRPr="006814C7">
        <w:rPr>
          <w:rFonts w:ascii="Palatino Linotype" w:hAnsi="Palatino Linotype"/>
        </w:rPr>
        <w:t>ssociations</w:t>
      </w:r>
      <w:r w:rsidR="00C064CB">
        <w:rPr>
          <w:rFonts w:ascii="Palatino Linotype" w:hAnsi="Palatino Linotype"/>
        </w:rPr>
        <w:t>—</w:t>
      </w:r>
      <w:r w:rsidR="00CD0B11" w:rsidRPr="006814C7">
        <w:rPr>
          <w:rFonts w:ascii="Palatino Linotype" w:hAnsi="Palatino Linotype"/>
        </w:rPr>
        <w:t>it regulates cases in which non-profit entities participate</w:t>
      </w:r>
      <w:r w:rsidRPr="006814C7">
        <w:rPr>
          <w:rFonts w:ascii="Palatino Linotype" w:hAnsi="Palatino Linotype"/>
        </w:rPr>
        <w:t xml:space="preserve">, </w:t>
      </w:r>
      <w:r w:rsidR="00CD0B11" w:rsidRPr="006814C7">
        <w:rPr>
          <w:rFonts w:ascii="Palatino Linotype" w:hAnsi="Palatino Linotype"/>
        </w:rPr>
        <w:t xml:space="preserve">the </w:t>
      </w:r>
      <w:r w:rsidRPr="006814C7">
        <w:rPr>
          <w:rFonts w:ascii="Palatino Linotype" w:hAnsi="Palatino Linotype"/>
        </w:rPr>
        <w:t xml:space="preserve">voluntary nature </w:t>
      </w:r>
      <w:r w:rsidR="00CD0B11" w:rsidRPr="006814C7">
        <w:rPr>
          <w:rFonts w:ascii="Palatino Linotype" w:hAnsi="Palatino Linotype"/>
        </w:rPr>
        <w:t>of all activities</w:t>
      </w:r>
      <w:r w:rsidRPr="006814C7">
        <w:rPr>
          <w:rFonts w:ascii="Palatino Linotype" w:hAnsi="Palatino Linotype"/>
        </w:rPr>
        <w:t>,</w:t>
      </w:r>
      <w:r w:rsidR="00CD0B11" w:rsidRPr="006814C7">
        <w:rPr>
          <w:rFonts w:ascii="Palatino Linotype" w:hAnsi="Palatino Linotype"/>
        </w:rPr>
        <w:t xml:space="preserve"> </w:t>
      </w:r>
      <w:r w:rsidRPr="006814C7">
        <w:rPr>
          <w:rFonts w:ascii="Palatino Linotype" w:hAnsi="Palatino Linotype"/>
        </w:rPr>
        <w:t>and</w:t>
      </w:r>
      <w:r w:rsidR="00CD0B11" w:rsidRPr="006814C7">
        <w:rPr>
          <w:rFonts w:ascii="Palatino Linotype" w:hAnsi="Palatino Linotype"/>
        </w:rPr>
        <w:t xml:space="preserve"> the confidentiality of information handled and </w:t>
      </w:r>
      <w:r w:rsidR="004305C4" w:rsidRPr="006814C7">
        <w:rPr>
          <w:rFonts w:ascii="Palatino Linotype" w:hAnsi="Palatino Linotype"/>
        </w:rPr>
        <w:t xml:space="preserve">developed </w:t>
      </w:r>
      <w:r w:rsidR="00CD0B11" w:rsidRPr="006814C7">
        <w:rPr>
          <w:rFonts w:ascii="Palatino Linotype" w:hAnsi="Palatino Linotype"/>
        </w:rPr>
        <w:t>during the collaborative work.</w:t>
      </w:r>
    </w:p>
    <w:p w14:paraId="3375ABB0" w14:textId="7B7574AD" w:rsidR="003A53D9" w:rsidRDefault="003A53D9" w:rsidP="00215C97">
      <w:pPr>
        <w:spacing w:line="480" w:lineRule="auto"/>
        <w:jc w:val="both"/>
        <w:rPr>
          <w:rFonts w:ascii="Palatino Linotype" w:hAnsi="Palatino Linotype"/>
        </w:rPr>
      </w:pPr>
    </w:p>
    <w:p w14:paraId="640A0C8D" w14:textId="77777777" w:rsidR="00C00BAB" w:rsidRPr="006814C7" w:rsidRDefault="00C00BAB" w:rsidP="00215C97">
      <w:pPr>
        <w:spacing w:line="480" w:lineRule="auto"/>
        <w:jc w:val="both"/>
        <w:rPr>
          <w:rFonts w:ascii="Palatino Linotype" w:hAnsi="Palatino Linotype"/>
        </w:rPr>
      </w:pPr>
    </w:p>
    <w:p w14:paraId="552E7AEF" w14:textId="39F241D1" w:rsidR="00590E52" w:rsidRPr="006814C7" w:rsidRDefault="00B8019C" w:rsidP="006814C7">
      <w:pPr>
        <w:pStyle w:val="ListParagraph"/>
        <w:numPr>
          <w:ilvl w:val="0"/>
          <w:numId w:val="14"/>
        </w:numPr>
        <w:jc w:val="both"/>
        <w:rPr>
          <w:rFonts w:ascii="Palatino Linotype" w:eastAsia="Times New Roman" w:hAnsi="Palatino Linotype"/>
          <w:b/>
        </w:rPr>
      </w:pPr>
      <w:r w:rsidRPr="006814C7">
        <w:rPr>
          <w:rFonts w:ascii="Palatino Linotype" w:eastAsia="Times New Roman" w:hAnsi="Palatino Linotype"/>
          <w:b/>
        </w:rPr>
        <w:lastRenderedPageBreak/>
        <w:t xml:space="preserve">Empirical, Pedagogical, and Institutional </w:t>
      </w:r>
      <w:r w:rsidR="005D3503" w:rsidRPr="006814C7">
        <w:rPr>
          <w:rFonts w:ascii="Palatino Linotype" w:eastAsia="Times New Roman" w:hAnsi="Palatino Linotype"/>
          <w:b/>
        </w:rPr>
        <w:t>Lessons for Second</w:t>
      </w:r>
      <w:r w:rsidRPr="006814C7">
        <w:rPr>
          <w:rFonts w:ascii="Palatino Linotype" w:eastAsia="Times New Roman" w:hAnsi="Palatino Linotype"/>
          <w:b/>
        </w:rPr>
        <w:t>-</w:t>
      </w:r>
      <w:r w:rsidR="005D3503" w:rsidRPr="006814C7">
        <w:rPr>
          <w:rFonts w:ascii="Palatino Linotype" w:eastAsia="Times New Roman" w:hAnsi="Palatino Linotype"/>
          <w:b/>
        </w:rPr>
        <w:t xml:space="preserve">Wave </w:t>
      </w:r>
      <w:r w:rsidRPr="006814C7">
        <w:rPr>
          <w:rFonts w:ascii="Palatino Linotype" w:eastAsia="Times New Roman" w:hAnsi="Palatino Linotype"/>
          <w:b/>
        </w:rPr>
        <w:t xml:space="preserve">Spanish </w:t>
      </w:r>
      <w:r w:rsidR="005D3503" w:rsidRPr="006814C7">
        <w:rPr>
          <w:rFonts w:ascii="Palatino Linotype" w:eastAsia="Times New Roman" w:hAnsi="Palatino Linotype"/>
          <w:b/>
        </w:rPr>
        <w:t>Clinicians</w:t>
      </w:r>
      <w:r w:rsidR="00EB77EB" w:rsidRPr="006814C7">
        <w:rPr>
          <w:rFonts w:ascii="Palatino Linotype" w:eastAsia="Times New Roman" w:hAnsi="Palatino Linotype"/>
          <w:b/>
        </w:rPr>
        <w:t xml:space="preserve"> </w:t>
      </w:r>
    </w:p>
    <w:p w14:paraId="4E124386" w14:textId="77777777" w:rsidR="00B8019C" w:rsidRPr="006814C7" w:rsidRDefault="00B8019C" w:rsidP="00215C97">
      <w:pPr>
        <w:jc w:val="both"/>
        <w:rPr>
          <w:rFonts w:ascii="Palatino Linotype" w:eastAsia="Times New Roman" w:hAnsi="Palatino Linotype"/>
        </w:rPr>
      </w:pPr>
    </w:p>
    <w:p w14:paraId="38A33344" w14:textId="453572ED" w:rsidR="001B28E7" w:rsidRPr="006814C7" w:rsidRDefault="00AB6B6C" w:rsidP="00215C97">
      <w:pPr>
        <w:pStyle w:val="ListParagraph"/>
        <w:numPr>
          <w:ilvl w:val="0"/>
          <w:numId w:val="19"/>
        </w:numPr>
        <w:jc w:val="both"/>
        <w:rPr>
          <w:rFonts w:ascii="Palatino Linotype" w:eastAsia="Times New Roman" w:hAnsi="Palatino Linotype"/>
          <w:b/>
        </w:rPr>
      </w:pPr>
      <w:r w:rsidRPr="006814C7">
        <w:rPr>
          <w:rFonts w:ascii="Palatino Linotype" w:eastAsia="Times New Roman" w:hAnsi="Palatino Linotype"/>
          <w:b/>
        </w:rPr>
        <w:t>Empirical</w:t>
      </w:r>
      <w:r w:rsidR="001F0060" w:rsidRPr="006814C7">
        <w:rPr>
          <w:rFonts w:ascii="Palatino Linotype" w:eastAsia="Times New Roman" w:hAnsi="Palatino Linotype"/>
          <w:b/>
        </w:rPr>
        <w:t xml:space="preserve"> Data</w:t>
      </w:r>
      <w:r w:rsidRPr="006814C7">
        <w:rPr>
          <w:rFonts w:ascii="Palatino Linotype" w:eastAsia="Times New Roman" w:hAnsi="Palatino Linotype"/>
          <w:b/>
        </w:rPr>
        <w:t xml:space="preserve">: </w:t>
      </w:r>
      <w:r w:rsidR="00AD2620" w:rsidRPr="006814C7">
        <w:rPr>
          <w:rFonts w:ascii="Palatino Linotype" w:eastAsia="Times New Roman" w:hAnsi="Palatino Linotype"/>
          <w:b/>
        </w:rPr>
        <w:t>Lawyering and Modern European Practice</w:t>
      </w:r>
      <w:r w:rsidRPr="006814C7">
        <w:rPr>
          <w:rFonts w:ascii="Palatino Linotype" w:eastAsia="Times New Roman" w:hAnsi="Palatino Linotype"/>
          <w:b/>
        </w:rPr>
        <w:t>—</w:t>
      </w:r>
      <w:r w:rsidR="008C52D1" w:rsidRPr="006814C7">
        <w:rPr>
          <w:rFonts w:ascii="Palatino Linotype" w:eastAsia="Times New Roman" w:hAnsi="Palatino Linotype"/>
          <w:b/>
        </w:rPr>
        <w:t xml:space="preserve">What </w:t>
      </w:r>
      <w:r w:rsidR="007F0812" w:rsidRPr="006814C7">
        <w:rPr>
          <w:rFonts w:ascii="Palatino Linotype" w:eastAsia="Times New Roman" w:hAnsi="Palatino Linotype"/>
          <w:b/>
        </w:rPr>
        <w:t>D</w:t>
      </w:r>
      <w:r w:rsidR="008C52D1" w:rsidRPr="006814C7">
        <w:rPr>
          <w:rFonts w:ascii="Palatino Linotype" w:eastAsia="Times New Roman" w:hAnsi="Palatino Linotype"/>
          <w:b/>
        </w:rPr>
        <w:t xml:space="preserve">o </w:t>
      </w:r>
      <w:r w:rsidR="007F0812" w:rsidRPr="006814C7">
        <w:rPr>
          <w:rFonts w:ascii="Palatino Linotype" w:eastAsia="Times New Roman" w:hAnsi="Palatino Linotype"/>
          <w:b/>
        </w:rPr>
        <w:t xml:space="preserve">Spanish </w:t>
      </w:r>
      <w:r w:rsidR="008C52D1" w:rsidRPr="006814C7">
        <w:rPr>
          <w:rFonts w:ascii="Palatino Linotype" w:eastAsia="Times New Roman" w:hAnsi="Palatino Linotype"/>
          <w:b/>
        </w:rPr>
        <w:t xml:space="preserve">Lawyers Actually </w:t>
      </w:r>
      <w:r w:rsidR="007F0812" w:rsidRPr="006814C7">
        <w:rPr>
          <w:rFonts w:ascii="Palatino Linotype" w:eastAsia="Times New Roman" w:hAnsi="Palatino Linotype"/>
          <w:b/>
        </w:rPr>
        <w:t>D</w:t>
      </w:r>
      <w:r w:rsidR="008C52D1" w:rsidRPr="006814C7">
        <w:rPr>
          <w:rFonts w:ascii="Palatino Linotype" w:eastAsia="Times New Roman" w:hAnsi="Palatino Linotype"/>
          <w:b/>
        </w:rPr>
        <w:t xml:space="preserve">o? </w:t>
      </w:r>
    </w:p>
    <w:p w14:paraId="571BB86E" w14:textId="77777777" w:rsidR="00AD2620" w:rsidRPr="006814C7" w:rsidRDefault="00AD2620" w:rsidP="00215C97">
      <w:pPr>
        <w:jc w:val="both"/>
        <w:rPr>
          <w:rFonts w:ascii="Palatino Linotype" w:eastAsia="Times New Roman" w:hAnsi="Palatino Linotype"/>
        </w:rPr>
      </w:pPr>
    </w:p>
    <w:p w14:paraId="5286BBAC" w14:textId="2DF19A48" w:rsidR="004C2321" w:rsidRPr="006814C7" w:rsidRDefault="003E34B0" w:rsidP="00215C97">
      <w:pPr>
        <w:spacing w:line="480" w:lineRule="auto"/>
        <w:jc w:val="both"/>
        <w:rPr>
          <w:rFonts w:ascii="Palatino Linotype" w:eastAsia="Times New Roman" w:hAnsi="Palatino Linotype"/>
        </w:rPr>
      </w:pPr>
      <w:r w:rsidRPr="006814C7">
        <w:rPr>
          <w:rFonts w:ascii="Palatino Linotype" w:eastAsia="Times New Roman" w:hAnsi="Palatino Linotype"/>
        </w:rPr>
        <w:t xml:space="preserve">For the clinical legal education movement, the motivating question always has been: </w:t>
      </w:r>
      <w:r w:rsidR="00416C83" w:rsidRPr="006814C7">
        <w:rPr>
          <w:rFonts w:ascii="Palatino Linotype" w:eastAsia="Times New Roman" w:hAnsi="Palatino Linotype"/>
        </w:rPr>
        <w:t>w</w:t>
      </w:r>
      <w:r w:rsidR="000B0852" w:rsidRPr="006814C7">
        <w:rPr>
          <w:rFonts w:ascii="Palatino Linotype" w:eastAsia="Times New Roman" w:hAnsi="Palatino Linotype"/>
        </w:rPr>
        <w:t xml:space="preserve">hat are we preparing students </w:t>
      </w:r>
      <w:r w:rsidR="000B0852" w:rsidRPr="006814C7">
        <w:rPr>
          <w:rFonts w:ascii="Palatino Linotype" w:eastAsia="Times New Roman" w:hAnsi="Palatino Linotype"/>
          <w:i/>
        </w:rPr>
        <w:t>for</w:t>
      </w:r>
      <w:r w:rsidR="000B0852" w:rsidRPr="006814C7">
        <w:rPr>
          <w:rFonts w:ascii="Palatino Linotype" w:eastAsia="Times New Roman" w:hAnsi="Palatino Linotype"/>
        </w:rPr>
        <w:t>?</w:t>
      </w:r>
      <w:r w:rsidR="003F482C" w:rsidRPr="006814C7">
        <w:rPr>
          <w:rFonts w:ascii="Palatino Linotype" w:eastAsia="Times New Roman" w:hAnsi="Palatino Linotype"/>
        </w:rPr>
        <w:t xml:space="preserve">  </w:t>
      </w:r>
      <w:r w:rsidR="001F0060" w:rsidRPr="006814C7">
        <w:rPr>
          <w:rFonts w:ascii="Palatino Linotype" w:eastAsia="Times New Roman" w:hAnsi="Palatino Linotype"/>
        </w:rPr>
        <w:t>Th</w:t>
      </w:r>
      <w:r w:rsidR="00D040F2" w:rsidRPr="006814C7">
        <w:rPr>
          <w:rFonts w:ascii="Palatino Linotype" w:eastAsia="Times New Roman" w:hAnsi="Palatino Linotype"/>
        </w:rPr>
        <w:t xml:space="preserve">is </w:t>
      </w:r>
      <w:r w:rsidR="001F0060" w:rsidRPr="006814C7">
        <w:rPr>
          <w:rFonts w:ascii="Palatino Linotype" w:eastAsia="Times New Roman" w:hAnsi="Palatino Linotype"/>
        </w:rPr>
        <w:t>threshold question</w:t>
      </w:r>
      <w:r w:rsidR="00D040F2" w:rsidRPr="006814C7">
        <w:rPr>
          <w:rFonts w:ascii="Palatino Linotype" w:eastAsia="Times New Roman" w:hAnsi="Palatino Linotype"/>
        </w:rPr>
        <w:t xml:space="preserve"> ought to de</w:t>
      </w:r>
      <w:r w:rsidR="008F4967" w:rsidRPr="006814C7">
        <w:rPr>
          <w:rFonts w:ascii="Palatino Linotype" w:eastAsia="Times New Roman" w:hAnsi="Palatino Linotype"/>
        </w:rPr>
        <w:t>fine curricular content</w:t>
      </w:r>
      <w:r w:rsidR="003F482C" w:rsidRPr="006814C7">
        <w:rPr>
          <w:rFonts w:ascii="Palatino Linotype" w:eastAsia="Times New Roman" w:hAnsi="Palatino Linotype"/>
        </w:rPr>
        <w:t xml:space="preserve">—and is the reason we </w:t>
      </w:r>
      <w:r w:rsidRPr="006814C7">
        <w:rPr>
          <w:rFonts w:ascii="Palatino Linotype" w:eastAsia="Times New Roman" w:hAnsi="Palatino Linotype"/>
        </w:rPr>
        <w:t>are intent on reforming Spanish legal education</w:t>
      </w:r>
      <w:r w:rsidR="003F482C" w:rsidRPr="006814C7">
        <w:rPr>
          <w:rFonts w:ascii="Palatino Linotype" w:eastAsia="Times New Roman" w:hAnsi="Palatino Linotype"/>
        </w:rPr>
        <w:t>.</w:t>
      </w:r>
      <w:r w:rsidRPr="006814C7">
        <w:rPr>
          <w:rFonts w:ascii="Palatino Linotype" w:eastAsia="Times New Roman" w:hAnsi="Palatino Linotype"/>
        </w:rPr>
        <w:t xml:space="preserve">  </w:t>
      </w:r>
      <w:r w:rsidR="003F482C" w:rsidRPr="006814C7">
        <w:rPr>
          <w:rFonts w:ascii="Palatino Linotype" w:eastAsia="Times New Roman" w:hAnsi="Palatino Linotype"/>
        </w:rPr>
        <w:t>I</w:t>
      </w:r>
      <w:r w:rsidR="008F4967" w:rsidRPr="006814C7">
        <w:rPr>
          <w:rFonts w:ascii="Palatino Linotype" w:eastAsia="Times New Roman" w:hAnsi="Palatino Linotype"/>
        </w:rPr>
        <w:t xml:space="preserve">n Spain, as elsewhere, a </w:t>
      </w:r>
      <w:r w:rsidR="0020502F" w:rsidRPr="006814C7">
        <w:rPr>
          <w:rFonts w:ascii="Palatino Linotype" w:eastAsia="Times New Roman" w:hAnsi="Palatino Linotype"/>
        </w:rPr>
        <w:t>chasm</w:t>
      </w:r>
      <w:r w:rsidR="008F4967" w:rsidRPr="006814C7">
        <w:rPr>
          <w:rFonts w:ascii="Palatino Linotype" w:eastAsia="Times New Roman" w:hAnsi="Palatino Linotype"/>
        </w:rPr>
        <w:t xml:space="preserve"> </w:t>
      </w:r>
      <w:r w:rsidR="003F482C" w:rsidRPr="006814C7">
        <w:rPr>
          <w:rFonts w:ascii="Palatino Linotype" w:eastAsia="Times New Roman" w:hAnsi="Palatino Linotype"/>
        </w:rPr>
        <w:t xml:space="preserve">continues to exist </w:t>
      </w:r>
      <w:r w:rsidR="008F4967" w:rsidRPr="006814C7">
        <w:rPr>
          <w:rFonts w:ascii="Palatino Linotype" w:eastAsia="Times New Roman" w:hAnsi="Palatino Linotype"/>
        </w:rPr>
        <w:t xml:space="preserve">between what </w:t>
      </w:r>
      <w:r w:rsidR="003F482C" w:rsidRPr="006814C7">
        <w:rPr>
          <w:rFonts w:ascii="Palatino Linotype" w:eastAsia="Times New Roman" w:hAnsi="Palatino Linotype"/>
        </w:rPr>
        <w:t xml:space="preserve">and how </w:t>
      </w:r>
      <w:r w:rsidR="008F4967" w:rsidRPr="006814C7">
        <w:rPr>
          <w:rFonts w:ascii="Palatino Linotype" w:eastAsia="Times New Roman" w:hAnsi="Palatino Linotype"/>
        </w:rPr>
        <w:t>law students ar</w:t>
      </w:r>
      <w:r w:rsidR="003F482C" w:rsidRPr="006814C7">
        <w:rPr>
          <w:rFonts w:ascii="Palatino Linotype" w:eastAsia="Times New Roman" w:hAnsi="Palatino Linotype"/>
        </w:rPr>
        <w:t>e taught</w:t>
      </w:r>
      <w:r w:rsidR="008F4967" w:rsidRPr="006814C7">
        <w:rPr>
          <w:rFonts w:ascii="Palatino Linotype" w:eastAsia="Times New Roman" w:hAnsi="Palatino Linotype"/>
        </w:rPr>
        <w:t xml:space="preserve"> and </w:t>
      </w:r>
      <w:r w:rsidR="006E58E8" w:rsidRPr="006814C7">
        <w:rPr>
          <w:rFonts w:ascii="Palatino Linotype" w:eastAsia="Times New Roman" w:hAnsi="Palatino Linotype"/>
        </w:rPr>
        <w:t xml:space="preserve">what </w:t>
      </w:r>
      <w:r w:rsidR="003F482C" w:rsidRPr="006814C7">
        <w:rPr>
          <w:rFonts w:ascii="Palatino Linotype" w:eastAsia="Times New Roman" w:hAnsi="Palatino Linotype"/>
        </w:rPr>
        <w:t xml:space="preserve">and how </w:t>
      </w:r>
      <w:r w:rsidR="006E58E8" w:rsidRPr="006814C7">
        <w:rPr>
          <w:rFonts w:ascii="Palatino Linotype" w:eastAsia="Times New Roman" w:hAnsi="Palatino Linotype"/>
        </w:rPr>
        <w:t>they</w:t>
      </w:r>
      <w:r w:rsidR="00397553" w:rsidRPr="006814C7">
        <w:rPr>
          <w:rFonts w:ascii="Palatino Linotype" w:eastAsia="Times New Roman" w:hAnsi="Palatino Linotype"/>
        </w:rPr>
        <w:t xml:space="preserve"> are</w:t>
      </w:r>
      <w:r w:rsidR="006E58E8" w:rsidRPr="006814C7">
        <w:rPr>
          <w:rFonts w:ascii="Palatino Linotype" w:eastAsia="Times New Roman" w:hAnsi="Palatino Linotype"/>
        </w:rPr>
        <w:t xml:space="preserve"> expected to </w:t>
      </w:r>
      <w:r w:rsidR="00A271B5" w:rsidRPr="006814C7">
        <w:rPr>
          <w:rFonts w:ascii="Palatino Linotype" w:eastAsia="Times New Roman" w:hAnsi="Palatino Linotype"/>
        </w:rPr>
        <w:t xml:space="preserve">be able to </w:t>
      </w:r>
      <w:r w:rsidR="006E58E8" w:rsidRPr="006814C7">
        <w:rPr>
          <w:rFonts w:ascii="Palatino Linotype" w:eastAsia="Times New Roman" w:hAnsi="Palatino Linotype"/>
        </w:rPr>
        <w:t>do</w:t>
      </w:r>
      <w:r w:rsidR="00777276" w:rsidRPr="006814C7">
        <w:rPr>
          <w:rFonts w:ascii="Palatino Linotype" w:eastAsia="Times New Roman" w:hAnsi="Palatino Linotype"/>
        </w:rPr>
        <w:t xml:space="preserve"> upon graduation</w:t>
      </w:r>
      <w:r w:rsidR="006E58E8" w:rsidRPr="006814C7">
        <w:rPr>
          <w:rFonts w:ascii="Palatino Linotype" w:eastAsia="Times New Roman" w:hAnsi="Palatino Linotype"/>
        </w:rPr>
        <w:t>.</w:t>
      </w:r>
      <w:r w:rsidR="00A271B5" w:rsidRPr="006814C7">
        <w:rPr>
          <w:rFonts w:ascii="Palatino Linotype" w:eastAsia="Times New Roman" w:hAnsi="Palatino Linotype"/>
        </w:rPr>
        <w:t xml:space="preserve">  </w:t>
      </w:r>
      <w:r w:rsidR="003E4346" w:rsidRPr="006814C7">
        <w:rPr>
          <w:rFonts w:ascii="Palatino Linotype" w:eastAsia="Times New Roman" w:hAnsi="Palatino Linotype"/>
        </w:rPr>
        <w:t xml:space="preserve">Global as the clinical legal education movement has become, </w:t>
      </w:r>
      <w:r w:rsidR="00B74CEF" w:rsidRPr="006814C7">
        <w:rPr>
          <w:rFonts w:ascii="Palatino Linotype" w:eastAsia="Times New Roman" w:hAnsi="Palatino Linotype"/>
        </w:rPr>
        <w:t>the law school curriculum</w:t>
      </w:r>
      <w:r w:rsidR="00523E02" w:rsidRPr="006814C7">
        <w:rPr>
          <w:rFonts w:ascii="Palatino Linotype" w:eastAsia="Times New Roman" w:hAnsi="Palatino Linotype"/>
        </w:rPr>
        <w:t xml:space="preserve"> </w:t>
      </w:r>
      <w:r w:rsidR="00B74CEF" w:rsidRPr="006814C7">
        <w:rPr>
          <w:rFonts w:ascii="Palatino Linotype" w:eastAsia="Times New Roman" w:hAnsi="Palatino Linotype"/>
        </w:rPr>
        <w:t xml:space="preserve">remains </w:t>
      </w:r>
      <w:r w:rsidR="00AA5E6A" w:rsidRPr="006814C7">
        <w:rPr>
          <w:rFonts w:ascii="Palatino Linotype" w:eastAsia="Times New Roman" w:hAnsi="Palatino Linotype"/>
        </w:rPr>
        <w:t>mired</w:t>
      </w:r>
      <w:r w:rsidR="00416C83" w:rsidRPr="006814C7">
        <w:rPr>
          <w:rFonts w:ascii="Palatino Linotype" w:eastAsia="Times New Roman" w:hAnsi="Palatino Linotype"/>
        </w:rPr>
        <w:t xml:space="preserve"> internationally</w:t>
      </w:r>
      <w:r w:rsidR="00777276" w:rsidRPr="006814C7">
        <w:rPr>
          <w:rFonts w:ascii="Palatino Linotype" w:eastAsia="Times New Roman" w:hAnsi="Palatino Linotype"/>
        </w:rPr>
        <w:t xml:space="preserve"> in doctrinal instruction</w:t>
      </w:r>
      <w:r w:rsidR="00B74CEF" w:rsidRPr="006814C7">
        <w:rPr>
          <w:rFonts w:ascii="Palatino Linotype" w:eastAsia="Times New Roman" w:hAnsi="Palatino Linotype"/>
        </w:rPr>
        <w:t>.</w:t>
      </w:r>
      <w:r w:rsidR="00777276" w:rsidRPr="006814C7">
        <w:rPr>
          <w:rFonts w:ascii="Palatino Linotype" w:eastAsia="Times New Roman" w:hAnsi="Palatino Linotype"/>
        </w:rPr>
        <w:t xml:space="preserve">  In the U</w:t>
      </w:r>
      <w:r w:rsidR="003F482C" w:rsidRPr="006814C7">
        <w:rPr>
          <w:rFonts w:ascii="Palatino Linotype" w:eastAsia="Times New Roman" w:hAnsi="Palatino Linotype"/>
        </w:rPr>
        <w:t>.S.,</w:t>
      </w:r>
      <w:r w:rsidR="00777276" w:rsidRPr="006814C7">
        <w:rPr>
          <w:rFonts w:ascii="Palatino Linotype" w:eastAsia="Times New Roman" w:hAnsi="Palatino Linotype"/>
        </w:rPr>
        <w:t xml:space="preserve"> </w:t>
      </w:r>
      <w:r w:rsidR="00C7186F" w:rsidRPr="006814C7">
        <w:rPr>
          <w:rFonts w:ascii="Palatino Linotype" w:eastAsia="Times New Roman" w:hAnsi="Palatino Linotype"/>
        </w:rPr>
        <w:t>the case-dialogue method conducted in the large lecture class</w:t>
      </w:r>
      <w:r w:rsidR="00200C51" w:rsidRPr="006814C7">
        <w:rPr>
          <w:rFonts w:ascii="Palatino Linotype" w:eastAsia="Times New Roman" w:hAnsi="Palatino Linotype"/>
        </w:rPr>
        <w:t xml:space="preserve"> continue</w:t>
      </w:r>
      <w:r w:rsidR="00CD4B7C" w:rsidRPr="006814C7">
        <w:rPr>
          <w:rFonts w:ascii="Palatino Linotype" w:eastAsia="Times New Roman" w:hAnsi="Palatino Linotype"/>
        </w:rPr>
        <w:t>s</w:t>
      </w:r>
      <w:r w:rsidR="00200C51" w:rsidRPr="006814C7">
        <w:rPr>
          <w:rFonts w:ascii="Palatino Linotype" w:eastAsia="Times New Roman" w:hAnsi="Palatino Linotype"/>
        </w:rPr>
        <w:t xml:space="preserve"> to dominate the first</w:t>
      </w:r>
      <w:r w:rsidR="00C7186F" w:rsidRPr="006814C7">
        <w:rPr>
          <w:rFonts w:ascii="Palatino Linotype" w:eastAsia="Times New Roman" w:hAnsi="Palatino Linotype"/>
        </w:rPr>
        <w:t xml:space="preserve"> year </w:t>
      </w:r>
      <w:r w:rsidR="00200C51" w:rsidRPr="006814C7">
        <w:rPr>
          <w:rFonts w:ascii="Palatino Linotype" w:eastAsia="Times New Roman" w:hAnsi="Palatino Linotype"/>
        </w:rPr>
        <w:t>of law school</w:t>
      </w:r>
      <w:r w:rsidR="00C7186F" w:rsidRPr="006814C7">
        <w:rPr>
          <w:rFonts w:ascii="Palatino Linotype" w:eastAsia="Times New Roman" w:hAnsi="Palatino Linotype"/>
        </w:rPr>
        <w:t>.</w:t>
      </w:r>
      <w:r w:rsidR="00416C83" w:rsidRPr="006814C7">
        <w:rPr>
          <w:rFonts w:ascii="Palatino Linotype" w:eastAsia="Times New Roman" w:hAnsi="Palatino Linotype"/>
        </w:rPr>
        <w:t xml:space="preserve">  The same is true in Spain.</w:t>
      </w:r>
    </w:p>
    <w:p w14:paraId="1098007F" w14:textId="77777777" w:rsidR="00510357" w:rsidRPr="006814C7" w:rsidRDefault="00510357" w:rsidP="00215C97">
      <w:pPr>
        <w:spacing w:line="480" w:lineRule="auto"/>
        <w:jc w:val="both"/>
        <w:rPr>
          <w:rFonts w:ascii="Palatino Linotype" w:eastAsia="Times New Roman" w:hAnsi="Palatino Linotype"/>
        </w:rPr>
      </w:pPr>
    </w:p>
    <w:p w14:paraId="7E7D5D63" w14:textId="58109E5B" w:rsidR="00B1476C" w:rsidRPr="006814C7" w:rsidRDefault="006B21E4" w:rsidP="00215C97">
      <w:pPr>
        <w:spacing w:line="480" w:lineRule="auto"/>
        <w:jc w:val="both"/>
        <w:rPr>
          <w:rFonts w:ascii="Palatino Linotype" w:eastAsia="Times New Roman" w:hAnsi="Palatino Linotype"/>
        </w:rPr>
      </w:pPr>
      <w:r w:rsidRPr="006814C7">
        <w:rPr>
          <w:rFonts w:ascii="Palatino Linotype" w:eastAsia="Times New Roman" w:hAnsi="Palatino Linotype"/>
        </w:rPr>
        <w:t xml:space="preserve">In contrast, </w:t>
      </w:r>
      <w:r w:rsidR="0042330A" w:rsidRPr="006814C7">
        <w:rPr>
          <w:rFonts w:ascii="Palatino Linotype" w:eastAsia="Times New Roman" w:hAnsi="Palatino Linotype"/>
        </w:rPr>
        <w:t>actual lawyering and, in particular</w:t>
      </w:r>
      <w:r w:rsidR="002B4091" w:rsidRPr="006814C7">
        <w:rPr>
          <w:rFonts w:ascii="Palatino Linotype" w:eastAsia="Times New Roman" w:hAnsi="Palatino Linotype"/>
        </w:rPr>
        <w:t>,</w:t>
      </w:r>
      <w:r w:rsidR="0042330A" w:rsidRPr="006814C7">
        <w:rPr>
          <w:rFonts w:ascii="Palatino Linotype" w:eastAsia="Times New Roman" w:hAnsi="Palatino Linotype"/>
        </w:rPr>
        <w:t xml:space="preserve"> e</w:t>
      </w:r>
      <w:r w:rsidR="006067BB" w:rsidRPr="006814C7">
        <w:rPr>
          <w:rFonts w:ascii="Palatino Linotype" w:eastAsia="Times New Roman" w:hAnsi="Palatino Linotype"/>
        </w:rPr>
        <w:t xml:space="preserve">mpirical studies of </w:t>
      </w:r>
      <w:r w:rsidR="0042330A" w:rsidRPr="006814C7">
        <w:rPr>
          <w:rFonts w:ascii="Palatino Linotype" w:eastAsia="Times New Roman" w:hAnsi="Palatino Linotype"/>
        </w:rPr>
        <w:t xml:space="preserve">actual </w:t>
      </w:r>
      <w:r w:rsidR="00912258" w:rsidRPr="006814C7">
        <w:rPr>
          <w:rFonts w:ascii="Palatino Linotype" w:eastAsia="Times New Roman" w:hAnsi="Palatino Linotype"/>
        </w:rPr>
        <w:t>law</w:t>
      </w:r>
      <w:r w:rsidR="0042330A" w:rsidRPr="006814C7">
        <w:rPr>
          <w:rFonts w:ascii="Palatino Linotype" w:eastAsia="Times New Roman" w:hAnsi="Palatino Linotype"/>
        </w:rPr>
        <w:t xml:space="preserve"> practice,</w:t>
      </w:r>
      <w:r w:rsidR="00912258" w:rsidRPr="006814C7">
        <w:rPr>
          <w:rFonts w:ascii="Palatino Linotype" w:eastAsia="Times New Roman" w:hAnsi="Palatino Linotype"/>
        </w:rPr>
        <w:t xml:space="preserve"> repeatedly and consistently have </w:t>
      </w:r>
      <w:r w:rsidR="0042330A" w:rsidRPr="006814C7">
        <w:rPr>
          <w:rFonts w:ascii="Palatino Linotype" w:eastAsia="Times New Roman" w:hAnsi="Palatino Linotype"/>
        </w:rPr>
        <w:t xml:space="preserve">emphasized the need for </w:t>
      </w:r>
      <w:r w:rsidR="002B4091" w:rsidRPr="006814C7">
        <w:rPr>
          <w:rFonts w:ascii="Palatino Linotype" w:eastAsia="Times New Roman" w:hAnsi="Palatino Linotype"/>
        </w:rPr>
        <w:t xml:space="preserve">law students to develop </w:t>
      </w:r>
      <w:r w:rsidR="0042330A" w:rsidRPr="006814C7">
        <w:rPr>
          <w:rFonts w:ascii="Palatino Linotype" w:eastAsia="Times New Roman" w:hAnsi="Palatino Linotype"/>
        </w:rPr>
        <w:t>professional skills and values</w:t>
      </w:r>
      <w:r w:rsidR="00912258" w:rsidRPr="006814C7">
        <w:rPr>
          <w:rFonts w:ascii="Palatino Linotype" w:eastAsia="Times New Roman" w:hAnsi="Palatino Linotype"/>
        </w:rPr>
        <w:t xml:space="preserve">.  </w:t>
      </w:r>
      <w:r w:rsidR="00BF7134" w:rsidRPr="006814C7">
        <w:rPr>
          <w:rFonts w:ascii="Palatino Linotype" w:eastAsia="Times New Roman" w:hAnsi="Palatino Linotype"/>
        </w:rPr>
        <w:t>In the U</w:t>
      </w:r>
      <w:r w:rsidR="0079735D" w:rsidRPr="006814C7">
        <w:rPr>
          <w:rFonts w:ascii="Palatino Linotype" w:eastAsia="Times New Roman" w:hAnsi="Palatino Linotype"/>
        </w:rPr>
        <w:t>.S.</w:t>
      </w:r>
      <w:r w:rsidR="00BF7134" w:rsidRPr="006814C7">
        <w:rPr>
          <w:rFonts w:ascii="Palatino Linotype" w:eastAsia="Times New Roman" w:hAnsi="Palatino Linotype"/>
        </w:rPr>
        <w:t>, these studies date at least as far back as 1914, when the Carnegie Foundation published a study of the Socratic method.</w:t>
      </w:r>
      <w:r w:rsidR="00BF7134" w:rsidRPr="006814C7">
        <w:rPr>
          <w:rStyle w:val="FootnoteReference"/>
          <w:rFonts w:ascii="Palatino Linotype" w:eastAsia="Times New Roman" w:hAnsi="Palatino Linotype"/>
        </w:rPr>
        <w:footnoteReference w:id="17"/>
      </w:r>
      <w:r w:rsidR="00373B73" w:rsidRPr="006814C7">
        <w:rPr>
          <w:rFonts w:ascii="Palatino Linotype" w:eastAsia="Times New Roman" w:hAnsi="Palatino Linotype"/>
        </w:rPr>
        <w:t xml:space="preserve">  That study was followed by Alfred Reed’s seven-year examination of the legal curriculum, which </w:t>
      </w:r>
      <w:r w:rsidR="00373B73" w:rsidRPr="006814C7">
        <w:rPr>
          <w:rFonts w:ascii="Palatino Linotype" w:eastAsia="Times New Roman" w:hAnsi="Palatino Linotype"/>
        </w:rPr>
        <w:lastRenderedPageBreak/>
        <w:t>was published in 1921.</w:t>
      </w:r>
      <w:r w:rsidR="00373B73" w:rsidRPr="006814C7">
        <w:rPr>
          <w:rStyle w:val="FootnoteReference"/>
          <w:rFonts w:ascii="Palatino Linotype" w:eastAsia="Times New Roman" w:hAnsi="Palatino Linotype"/>
        </w:rPr>
        <w:footnoteReference w:id="18"/>
      </w:r>
      <w:r w:rsidR="00373B73" w:rsidRPr="006814C7">
        <w:rPr>
          <w:rFonts w:ascii="Palatino Linotype" w:eastAsia="Times New Roman" w:hAnsi="Palatino Linotype"/>
        </w:rPr>
        <w:t xml:space="preserve">  </w:t>
      </w:r>
      <w:r w:rsidR="00822530" w:rsidRPr="006814C7">
        <w:rPr>
          <w:rFonts w:ascii="Palatino Linotype" w:eastAsia="Times New Roman" w:hAnsi="Palatino Linotype"/>
        </w:rPr>
        <w:t>More recently and influentially</w:t>
      </w:r>
      <w:r w:rsidR="00B86C38" w:rsidRPr="006814C7">
        <w:rPr>
          <w:rFonts w:ascii="Palatino Linotype" w:eastAsia="Times New Roman" w:hAnsi="Palatino Linotype"/>
        </w:rPr>
        <w:t xml:space="preserve"> among these studies</w:t>
      </w:r>
      <w:r w:rsidR="00822530" w:rsidRPr="006814C7">
        <w:rPr>
          <w:rFonts w:ascii="Palatino Linotype" w:eastAsia="Times New Roman" w:hAnsi="Palatino Linotype"/>
        </w:rPr>
        <w:t xml:space="preserve"> are the 1992 </w:t>
      </w:r>
      <w:proofErr w:type="spellStart"/>
      <w:r w:rsidR="00822530" w:rsidRPr="006814C7">
        <w:rPr>
          <w:rFonts w:ascii="Palatino Linotype" w:eastAsia="Times New Roman" w:hAnsi="Palatino Linotype"/>
        </w:rPr>
        <w:t>MacCrate</w:t>
      </w:r>
      <w:proofErr w:type="spellEnd"/>
      <w:r w:rsidR="00822530" w:rsidRPr="006814C7">
        <w:rPr>
          <w:rFonts w:ascii="Palatino Linotype" w:eastAsia="Times New Roman" w:hAnsi="Palatino Linotype"/>
        </w:rPr>
        <w:t xml:space="preserve"> Report, the 2007 Carnegie Report, and </w:t>
      </w:r>
      <w:r w:rsidR="00B86C38" w:rsidRPr="006814C7">
        <w:rPr>
          <w:rFonts w:ascii="Palatino Linotype" w:eastAsia="Times New Roman" w:hAnsi="Palatino Linotype"/>
        </w:rPr>
        <w:t xml:space="preserve">Roy Stuckey’s </w:t>
      </w:r>
      <w:r w:rsidR="00822530" w:rsidRPr="006814C7">
        <w:rPr>
          <w:rFonts w:ascii="Palatino Linotype" w:eastAsia="Times New Roman" w:hAnsi="Palatino Linotype"/>
        </w:rPr>
        <w:t xml:space="preserve">2007 </w:t>
      </w:r>
      <w:r w:rsidR="00B86C38" w:rsidRPr="006814C7">
        <w:rPr>
          <w:rFonts w:ascii="Palatino Linotype" w:eastAsia="Times New Roman" w:hAnsi="Palatino Linotype"/>
        </w:rPr>
        <w:t>book on “</w:t>
      </w:r>
      <w:r w:rsidR="00822530" w:rsidRPr="006814C7">
        <w:rPr>
          <w:rFonts w:ascii="Palatino Linotype" w:eastAsia="Times New Roman" w:hAnsi="Palatino Linotype"/>
        </w:rPr>
        <w:t xml:space="preserve">Best Practices </w:t>
      </w:r>
      <w:r w:rsidR="00B86C38" w:rsidRPr="006814C7">
        <w:rPr>
          <w:rFonts w:ascii="Palatino Linotype" w:eastAsia="Times New Roman" w:hAnsi="Palatino Linotype"/>
        </w:rPr>
        <w:t>for Legal Education.”</w:t>
      </w:r>
      <w:r w:rsidR="00822530" w:rsidRPr="006814C7">
        <w:rPr>
          <w:rStyle w:val="FootnoteReference"/>
          <w:rFonts w:ascii="Palatino Linotype" w:eastAsia="Times New Roman" w:hAnsi="Palatino Linotype"/>
        </w:rPr>
        <w:footnoteReference w:id="19"/>
      </w:r>
    </w:p>
    <w:p w14:paraId="3EC611E4" w14:textId="77777777" w:rsidR="00510357" w:rsidRPr="006814C7" w:rsidRDefault="00510357" w:rsidP="00215C97">
      <w:pPr>
        <w:spacing w:line="480" w:lineRule="auto"/>
        <w:jc w:val="both"/>
        <w:rPr>
          <w:rFonts w:ascii="Palatino Linotype" w:eastAsia="Times New Roman" w:hAnsi="Palatino Linotype"/>
        </w:rPr>
      </w:pPr>
    </w:p>
    <w:p w14:paraId="75784ED1" w14:textId="54C5AE8C" w:rsidR="0028250B" w:rsidRPr="006814C7" w:rsidRDefault="00912258" w:rsidP="00215C97">
      <w:pPr>
        <w:spacing w:line="480" w:lineRule="auto"/>
        <w:jc w:val="both"/>
        <w:rPr>
          <w:rFonts w:ascii="Palatino Linotype" w:eastAsia="Times New Roman" w:hAnsi="Palatino Linotype"/>
        </w:rPr>
      </w:pPr>
      <w:r w:rsidRPr="006814C7">
        <w:rPr>
          <w:rFonts w:ascii="Palatino Linotype" w:eastAsia="Times New Roman" w:hAnsi="Palatino Linotype"/>
        </w:rPr>
        <w:t xml:space="preserve">Richard Wilson summarized four </w:t>
      </w:r>
      <w:r w:rsidR="001E0E01" w:rsidRPr="006814C7">
        <w:rPr>
          <w:rFonts w:ascii="Palatino Linotype" w:eastAsia="Times New Roman" w:hAnsi="Palatino Linotype"/>
        </w:rPr>
        <w:t>recent sets of supporting data</w:t>
      </w:r>
      <w:r w:rsidRPr="006814C7">
        <w:rPr>
          <w:rFonts w:ascii="Palatino Linotype" w:eastAsia="Times New Roman" w:hAnsi="Palatino Linotype"/>
        </w:rPr>
        <w:t xml:space="preserve"> in</w:t>
      </w:r>
      <w:r w:rsidR="00800AA5" w:rsidRPr="006814C7">
        <w:rPr>
          <w:rFonts w:ascii="Palatino Linotype" w:eastAsia="Times New Roman" w:hAnsi="Palatino Linotype"/>
        </w:rPr>
        <w:t xml:space="preserve"> </w:t>
      </w:r>
      <w:r w:rsidR="00505F95" w:rsidRPr="006814C7">
        <w:rPr>
          <w:rFonts w:ascii="Palatino Linotype" w:eastAsia="Times New Roman" w:hAnsi="Palatino Linotype"/>
        </w:rPr>
        <w:t>his</w:t>
      </w:r>
      <w:r w:rsidR="00800AA5" w:rsidRPr="006814C7">
        <w:rPr>
          <w:rFonts w:ascii="Palatino Linotype" w:eastAsia="Times New Roman" w:hAnsi="Palatino Linotype"/>
        </w:rPr>
        <w:t xml:space="preserve"> recent book on</w:t>
      </w:r>
      <w:r w:rsidR="00505F95" w:rsidRPr="006814C7">
        <w:rPr>
          <w:rFonts w:ascii="Palatino Linotype" w:eastAsia="Times New Roman" w:hAnsi="Palatino Linotype"/>
        </w:rPr>
        <w:t xml:space="preserve"> the</w:t>
      </w:r>
      <w:r w:rsidR="00800AA5" w:rsidRPr="006814C7">
        <w:rPr>
          <w:rFonts w:ascii="Palatino Linotype" w:eastAsia="Times New Roman" w:hAnsi="Palatino Linotype"/>
        </w:rPr>
        <w:t xml:space="preserve"> global clinical</w:t>
      </w:r>
      <w:r w:rsidR="00505F95" w:rsidRPr="006814C7">
        <w:rPr>
          <w:rFonts w:ascii="Palatino Linotype" w:eastAsia="Times New Roman" w:hAnsi="Palatino Linotype"/>
        </w:rPr>
        <w:t xml:space="preserve"> legal</w:t>
      </w:r>
      <w:r w:rsidR="00800AA5" w:rsidRPr="006814C7">
        <w:rPr>
          <w:rFonts w:ascii="Palatino Linotype" w:eastAsia="Times New Roman" w:hAnsi="Palatino Linotype"/>
        </w:rPr>
        <w:t xml:space="preserve"> education</w:t>
      </w:r>
      <w:r w:rsidR="00505F95" w:rsidRPr="006814C7">
        <w:rPr>
          <w:rFonts w:ascii="Palatino Linotype" w:eastAsia="Times New Roman" w:hAnsi="Palatino Linotype"/>
        </w:rPr>
        <w:t xml:space="preserve"> movement</w:t>
      </w:r>
      <w:r w:rsidR="003D3FE6" w:rsidRPr="006814C7">
        <w:rPr>
          <w:rFonts w:ascii="Palatino Linotype" w:eastAsia="Times New Roman" w:hAnsi="Palatino Linotype"/>
        </w:rPr>
        <w:t>:</w:t>
      </w:r>
      <w:r w:rsidR="00505F95" w:rsidRPr="006814C7">
        <w:rPr>
          <w:rStyle w:val="FootnoteReference"/>
          <w:rFonts w:ascii="Palatino Linotype" w:eastAsia="Times New Roman" w:hAnsi="Palatino Linotype"/>
        </w:rPr>
        <w:footnoteReference w:id="20"/>
      </w:r>
      <w:r w:rsidR="00505F95" w:rsidRPr="006814C7">
        <w:rPr>
          <w:rFonts w:ascii="Palatino Linotype" w:eastAsia="Times New Roman" w:hAnsi="Palatino Linotype"/>
        </w:rPr>
        <w:t xml:space="preserve"> </w:t>
      </w:r>
      <w:r w:rsidR="003D3FE6" w:rsidRPr="006814C7">
        <w:rPr>
          <w:rFonts w:ascii="Palatino Linotype" w:eastAsia="Times New Roman" w:hAnsi="Palatino Linotype"/>
        </w:rPr>
        <w:t>t</w:t>
      </w:r>
      <w:r w:rsidR="00505F95" w:rsidRPr="006814C7">
        <w:rPr>
          <w:rFonts w:ascii="Palatino Linotype" w:eastAsia="Times New Roman" w:hAnsi="Palatino Linotype"/>
        </w:rPr>
        <w:t xml:space="preserve">he </w:t>
      </w:r>
      <w:r w:rsidR="00BD2E2E" w:rsidRPr="006814C7">
        <w:rPr>
          <w:rFonts w:ascii="Palatino Linotype" w:eastAsia="Times New Roman" w:hAnsi="Palatino Linotype"/>
        </w:rPr>
        <w:t xml:space="preserve">2008 </w:t>
      </w:r>
      <w:r w:rsidR="00505F95" w:rsidRPr="006814C7">
        <w:rPr>
          <w:rFonts w:ascii="Palatino Linotype" w:eastAsia="Times New Roman" w:hAnsi="Palatino Linotype"/>
        </w:rPr>
        <w:t>Shultz-</w:t>
      </w:r>
      <w:proofErr w:type="spellStart"/>
      <w:r w:rsidR="00505F95" w:rsidRPr="006814C7">
        <w:rPr>
          <w:rFonts w:ascii="Palatino Linotype" w:eastAsia="Times New Roman" w:hAnsi="Palatino Linotype"/>
        </w:rPr>
        <w:t>Zedeck</w:t>
      </w:r>
      <w:proofErr w:type="spellEnd"/>
      <w:r w:rsidR="00505F95" w:rsidRPr="006814C7">
        <w:rPr>
          <w:rFonts w:ascii="Palatino Linotype" w:eastAsia="Times New Roman" w:hAnsi="Palatino Linotype"/>
        </w:rPr>
        <w:t xml:space="preserve"> study</w:t>
      </w:r>
      <w:r w:rsidR="003D3FE6" w:rsidRPr="006814C7">
        <w:rPr>
          <w:rFonts w:ascii="Palatino Linotype" w:eastAsia="Times New Roman" w:hAnsi="Palatino Linotype"/>
        </w:rPr>
        <w:t>, which interviewed</w:t>
      </w:r>
      <w:r w:rsidR="00066B12" w:rsidRPr="006814C7">
        <w:rPr>
          <w:rFonts w:ascii="Palatino Linotype" w:eastAsia="Times New Roman" w:hAnsi="Palatino Linotype"/>
        </w:rPr>
        <w:t xml:space="preserve"> hundreds of </w:t>
      </w:r>
      <w:r w:rsidR="00B423E3" w:rsidRPr="006814C7">
        <w:rPr>
          <w:rFonts w:ascii="Palatino Linotype" w:eastAsia="Times New Roman" w:hAnsi="Palatino Linotype"/>
        </w:rPr>
        <w:t>lawyers, law faculty, law students, judges and clients</w:t>
      </w:r>
      <w:r w:rsidR="003D3FE6" w:rsidRPr="006814C7">
        <w:rPr>
          <w:rFonts w:ascii="Palatino Linotype" w:eastAsia="Times New Roman" w:hAnsi="Palatino Linotype"/>
        </w:rPr>
        <w:t>;</w:t>
      </w:r>
      <w:r w:rsidR="00505F95" w:rsidRPr="006814C7">
        <w:rPr>
          <w:rStyle w:val="FootnoteReference"/>
          <w:rFonts w:ascii="Palatino Linotype" w:eastAsia="Times New Roman" w:hAnsi="Palatino Linotype"/>
        </w:rPr>
        <w:footnoteReference w:id="21"/>
      </w:r>
      <w:r w:rsidR="00505F95" w:rsidRPr="006814C7">
        <w:rPr>
          <w:rFonts w:ascii="Palatino Linotype" w:eastAsia="Times New Roman" w:hAnsi="Palatino Linotype"/>
        </w:rPr>
        <w:t xml:space="preserve"> </w:t>
      </w:r>
      <w:r w:rsidR="003D3FE6" w:rsidRPr="006814C7">
        <w:rPr>
          <w:rFonts w:ascii="Palatino Linotype" w:eastAsia="Times New Roman" w:hAnsi="Palatino Linotype"/>
        </w:rPr>
        <w:t>t</w:t>
      </w:r>
      <w:r w:rsidR="00505F95" w:rsidRPr="006814C7">
        <w:rPr>
          <w:rFonts w:ascii="Palatino Linotype" w:eastAsia="Times New Roman" w:hAnsi="Palatino Linotype"/>
        </w:rPr>
        <w:t xml:space="preserve">he </w:t>
      </w:r>
      <w:r w:rsidR="009977C6" w:rsidRPr="006814C7">
        <w:rPr>
          <w:rFonts w:ascii="Palatino Linotype" w:eastAsia="Times New Roman" w:hAnsi="Palatino Linotype"/>
        </w:rPr>
        <w:t xml:space="preserve">2012 </w:t>
      </w:r>
      <w:r w:rsidR="00505F95" w:rsidRPr="006814C7">
        <w:rPr>
          <w:rFonts w:ascii="Palatino Linotype" w:eastAsia="Times New Roman" w:hAnsi="Palatino Linotype"/>
        </w:rPr>
        <w:t xml:space="preserve">National Conference of Bar Examiners </w:t>
      </w:r>
      <w:r w:rsidR="003B4687" w:rsidRPr="006814C7">
        <w:rPr>
          <w:rFonts w:ascii="Palatino Linotype" w:eastAsia="Times New Roman" w:hAnsi="Palatino Linotype"/>
        </w:rPr>
        <w:t>study</w:t>
      </w:r>
      <w:r w:rsidR="003D3FE6" w:rsidRPr="006814C7">
        <w:rPr>
          <w:rFonts w:ascii="Palatino Linotype" w:eastAsia="Times New Roman" w:hAnsi="Palatino Linotype"/>
        </w:rPr>
        <w:t>, which</w:t>
      </w:r>
      <w:r w:rsidR="003B4687" w:rsidRPr="006814C7">
        <w:rPr>
          <w:rFonts w:ascii="Palatino Linotype" w:eastAsia="Times New Roman" w:hAnsi="Palatino Linotype"/>
        </w:rPr>
        <w:t xml:space="preserve"> </w:t>
      </w:r>
      <w:r w:rsidR="001E205E" w:rsidRPr="006814C7">
        <w:rPr>
          <w:rFonts w:ascii="Palatino Linotype" w:eastAsia="Times New Roman" w:hAnsi="Palatino Linotype"/>
        </w:rPr>
        <w:t xml:space="preserve">looked at the work </w:t>
      </w:r>
      <w:r w:rsidR="00397553" w:rsidRPr="006814C7">
        <w:rPr>
          <w:rFonts w:ascii="Palatino Linotype" w:eastAsia="Times New Roman" w:hAnsi="Palatino Linotype"/>
        </w:rPr>
        <w:t xml:space="preserve">of </w:t>
      </w:r>
      <w:r w:rsidR="001E205E" w:rsidRPr="006814C7">
        <w:rPr>
          <w:rFonts w:ascii="Palatino Linotype" w:eastAsia="Times New Roman" w:hAnsi="Palatino Linotype"/>
        </w:rPr>
        <w:t>more than 1,500 lawyers in practice from one to three years</w:t>
      </w:r>
      <w:r w:rsidR="003D3FE6" w:rsidRPr="006814C7">
        <w:rPr>
          <w:rFonts w:ascii="Palatino Linotype" w:eastAsia="Times New Roman" w:hAnsi="Palatino Linotype"/>
        </w:rPr>
        <w:t>;</w:t>
      </w:r>
      <w:r w:rsidR="001E205E" w:rsidRPr="006814C7">
        <w:rPr>
          <w:rStyle w:val="FootnoteReference"/>
          <w:rFonts w:ascii="Palatino Linotype" w:eastAsia="Times New Roman" w:hAnsi="Palatino Linotype"/>
        </w:rPr>
        <w:footnoteReference w:id="22"/>
      </w:r>
      <w:r w:rsidR="001E205E" w:rsidRPr="006814C7">
        <w:rPr>
          <w:rFonts w:ascii="Palatino Linotype" w:eastAsia="Times New Roman" w:hAnsi="Palatino Linotype"/>
        </w:rPr>
        <w:t xml:space="preserve"> </w:t>
      </w:r>
      <w:r w:rsidR="003D3FE6" w:rsidRPr="006814C7">
        <w:rPr>
          <w:rFonts w:ascii="Palatino Linotype" w:eastAsia="Times New Roman" w:hAnsi="Palatino Linotype"/>
        </w:rPr>
        <w:t>t</w:t>
      </w:r>
      <w:r w:rsidR="001E205E" w:rsidRPr="006814C7">
        <w:rPr>
          <w:rFonts w:ascii="Palatino Linotype" w:eastAsia="Times New Roman" w:hAnsi="Palatino Linotype"/>
        </w:rPr>
        <w:t>he</w:t>
      </w:r>
      <w:r w:rsidR="009977C6" w:rsidRPr="006814C7">
        <w:rPr>
          <w:rFonts w:ascii="Palatino Linotype" w:eastAsia="Times New Roman" w:hAnsi="Palatino Linotype"/>
        </w:rPr>
        <w:t xml:space="preserve"> 2016</w:t>
      </w:r>
      <w:r w:rsidR="001E205E" w:rsidRPr="006814C7">
        <w:rPr>
          <w:rFonts w:ascii="Palatino Linotype" w:eastAsia="Times New Roman" w:hAnsi="Palatino Linotype"/>
        </w:rPr>
        <w:t xml:space="preserve"> Institute for the Advancement of the</w:t>
      </w:r>
      <w:r w:rsidR="00E42A3B" w:rsidRPr="006814C7">
        <w:rPr>
          <w:rFonts w:ascii="Palatino Linotype" w:eastAsia="Times New Roman" w:hAnsi="Palatino Linotype"/>
        </w:rPr>
        <w:t xml:space="preserve"> American</w:t>
      </w:r>
      <w:r w:rsidR="001E205E" w:rsidRPr="006814C7">
        <w:rPr>
          <w:rFonts w:ascii="Palatino Linotype" w:eastAsia="Times New Roman" w:hAnsi="Palatino Linotype"/>
        </w:rPr>
        <w:t xml:space="preserve"> Legal System </w:t>
      </w:r>
      <w:r w:rsidR="00E42A3B" w:rsidRPr="006814C7">
        <w:rPr>
          <w:rFonts w:ascii="Palatino Linotype" w:eastAsia="Times New Roman" w:hAnsi="Palatino Linotype"/>
        </w:rPr>
        <w:t xml:space="preserve">(IAALS) </w:t>
      </w:r>
      <w:r w:rsidR="001E205E" w:rsidRPr="006814C7">
        <w:rPr>
          <w:rFonts w:ascii="Palatino Linotype" w:eastAsia="Times New Roman" w:hAnsi="Palatino Linotype"/>
        </w:rPr>
        <w:t>study</w:t>
      </w:r>
      <w:r w:rsidR="003D3FE6" w:rsidRPr="006814C7">
        <w:rPr>
          <w:rFonts w:ascii="Palatino Linotype" w:eastAsia="Times New Roman" w:hAnsi="Palatino Linotype"/>
        </w:rPr>
        <w:t>, which</w:t>
      </w:r>
      <w:r w:rsidR="001E205E" w:rsidRPr="006814C7">
        <w:rPr>
          <w:rFonts w:ascii="Palatino Linotype" w:eastAsia="Times New Roman" w:hAnsi="Palatino Linotype"/>
        </w:rPr>
        <w:t xml:space="preserve"> examined the work of 24,000 attorneys </w:t>
      </w:r>
      <w:r w:rsidR="002B4091" w:rsidRPr="006814C7">
        <w:rPr>
          <w:rFonts w:ascii="Palatino Linotype" w:eastAsia="Times New Roman" w:hAnsi="Palatino Linotype"/>
        </w:rPr>
        <w:t>representing</w:t>
      </w:r>
      <w:r w:rsidR="001E205E" w:rsidRPr="006814C7">
        <w:rPr>
          <w:rFonts w:ascii="Palatino Linotype" w:eastAsia="Times New Roman" w:hAnsi="Palatino Linotype"/>
        </w:rPr>
        <w:t xml:space="preserve"> all 50 states</w:t>
      </w:r>
      <w:r w:rsidR="003D3FE6" w:rsidRPr="006814C7">
        <w:rPr>
          <w:rFonts w:ascii="Palatino Linotype" w:eastAsia="Times New Roman" w:hAnsi="Palatino Linotype"/>
        </w:rPr>
        <w:t>;</w:t>
      </w:r>
      <w:r w:rsidR="001E205E" w:rsidRPr="006814C7">
        <w:rPr>
          <w:rStyle w:val="FootnoteReference"/>
          <w:rFonts w:ascii="Palatino Linotype" w:eastAsia="Times New Roman" w:hAnsi="Palatino Linotype"/>
        </w:rPr>
        <w:footnoteReference w:id="23"/>
      </w:r>
      <w:r w:rsidR="003D3FE6" w:rsidRPr="006814C7">
        <w:rPr>
          <w:rFonts w:ascii="Palatino Linotype" w:eastAsia="Times New Roman" w:hAnsi="Palatino Linotype"/>
        </w:rPr>
        <w:t xml:space="preserve"> a</w:t>
      </w:r>
      <w:r w:rsidR="001E205E" w:rsidRPr="006814C7">
        <w:rPr>
          <w:rFonts w:ascii="Palatino Linotype" w:eastAsia="Times New Roman" w:hAnsi="Palatino Linotype"/>
        </w:rPr>
        <w:t xml:space="preserve">nd </w:t>
      </w:r>
      <w:r w:rsidR="003D3FE6" w:rsidRPr="006814C7">
        <w:rPr>
          <w:rFonts w:ascii="Palatino Linotype" w:eastAsia="Times New Roman" w:hAnsi="Palatino Linotype"/>
        </w:rPr>
        <w:t>a</w:t>
      </w:r>
      <w:r w:rsidR="001E205E" w:rsidRPr="006814C7">
        <w:rPr>
          <w:rFonts w:ascii="Palatino Linotype" w:eastAsia="Times New Roman" w:hAnsi="Palatino Linotype"/>
        </w:rPr>
        <w:t xml:space="preserve"> </w:t>
      </w:r>
      <w:r w:rsidR="005D69A6" w:rsidRPr="006814C7">
        <w:rPr>
          <w:rFonts w:ascii="Palatino Linotype" w:eastAsia="Times New Roman" w:hAnsi="Palatino Linotype"/>
        </w:rPr>
        <w:t xml:space="preserve">2013 </w:t>
      </w:r>
      <w:r w:rsidR="001E205E" w:rsidRPr="006814C7">
        <w:rPr>
          <w:rFonts w:ascii="Palatino Linotype" w:eastAsia="Times New Roman" w:hAnsi="Palatino Linotype"/>
        </w:rPr>
        <w:t>University of Dayton law school study</w:t>
      </w:r>
      <w:r w:rsidR="003D3FE6" w:rsidRPr="006814C7">
        <w:rPr>
          <w:rFonts w:ascii="Palatino Linotype" w:eastAsia="Times New Roman" w:hAnsi="Palatino Linotype"/>
        </w:rPr>
        <w:t>, which</w:t>
      </w:r>
      <w:r w:rsidR="001E205E" w:rsidRPr="006814C7">
        <w:rPr>
          <w:rFonts w:ascii="Palatino Linotype" w:eastAsia="Times New Roman" w:hAnsi="Palatino Linotype"/>
        </w:rPr>
        <w:t xml:space="preserve"> analyzed a focus group of 19 Dayton-area practitioners.</w:t>
      </w:r>
      <w:r w:rsidR="001E205E" w:rsidRPr="006814C7">
        <w:rPr>
          <w:rStyle w:val="FootnoteReference"/>
          <w:rFonts w:ascii="Palatino Linotype" w:eastAsia="Times New Roman" w:hAnsi="Palatino Linotype"/>
        </w:rPr>
        <w:footnoteReference w:id="24"/>
      </w:r>
      <w:r w:rsidR="00E449BB" w:rsidRPr="006814C7">
        <w:rPr>
          <w:rFonts w:ascii="Palatino Linotype" w:eastAsia="Times New Roman" w:hAnsi="Palatino Linotype"/>
        </w:rPr>
        <w:t xml:space="preserve">  </w:t>
      </w:r>
      <w:r w:rsidR="004C2A53" w:rsidRPr="006814C7">
        <w:rPr>
          <w:rFonts w:ascii="Palatino Linotype" w:eastAsia="Times New Roman" w:hAnsi="Palatino Linotype"/>
        </w:rPr>
        <w:t>Like findings before them,</w:t>
      </w:r>
      <w:r w:rsidR="002F5618" w:rsidRPr="006814C7">
        <w:rPr>
          <w:rFonts w:ascii="Palatino Linotype" w:eastAsia="Times New Roman" w:hAnsi="Palatino Linotype"/>
        </w:rPr>
        <w:t xml:space="preserve"> </w:t>
      </w:r>
      <w:r w:rsidR="004C2A53" w:rsidRPr="006814C7">
        <w:rPr>
          <w:rFonts w:ascii="Palatino Linotype" w:eastAsia="Times New Roman" w:hAnsi="Palatino Linotype"/>
        </w:rPr>
        <w:t>these</w:t>
      </w:r>
      <w:r w:rsidR="00A71C2F" w:rsidRPr="006814C7">
        <w:rPr>
          <w:rFonts w:ascii="Palatino Linotype" w:eastAsia="Times New Roman" w:hAnsi="Palatino Linotype"/>
        </w:rPr>
        <w:t xml:space="preserve"> studies</w:t>
      </w:r>
      <w:r w:rsidR="006C076F" w:rsidRPr="006814C7">
        <w:rPr>
          <w:rFonts w:ascii="Palatino Linotype" w:eastAsia="Times New Roman" w:hAnsi="Palatino Linotype"/>
        </w:rPr>
        <w:t xml:space="preserve"> show that </w:t>
      </w:r>
      <w:r w:rsidR="00DD6390" w:rsidRPr="006814C7">
        <w:rPr>
          <w:rFonts w:ascii="Palatino Linotype" w:eastAsia="Times New Roman" w:hAnsi="Palatino Linotype"/>
        </w:rPr>
        <w:t xml:space="preserve">knowledge of legal doctrine or theory is only one among numerous other competencies required </w:t>
      </w:r>
      <w:r w:rsidR="00397553" w:rsidRPr="006814C7">
        <w:rPr>
          <w:rFonts w:ascii="Palatino Linotype" w:eastAsia="Times New Roman" w:hAnsi="Palatino Linotype"/>
        </w:rPr>
        <w:t xml:space="preserve">for </w:t>
      </w:r>
      <w:r w:rsidR="00B16055" w:rsidRPr="006814C7">
        <w:rPr>
          <w:rFonts w:ascii="Palatino Linotype" w:eastAsia="Times New Roman" w:hAnsi="Palatino Linotype"/>
        </w:rPr>
        <w:t>able</w:t>
      </w:r>
      <w:r w:rsidR="00397553" w:rsidRPr="006814C7">
        <w:rPr>
          <w:rFonts w:ascii="Palatino Linotype" w:eastAsia="Times New Roman" w:hAnsi="Palatino Linotype"/>
        </w:rPr>
        <w:t xml:space="preserve"> </w:t>
      </w:r>
      <w:r w:rsidR="00DD6390" w:rsidRPr="006814C7">
        <w:rPr>
          <w:rFonts w:ascii="Palatino Linotype" w:eastAsia="Times New Roman" w:hAnsi="Palatino Linotype"/>
        </w:rPr>
        <w:t>practice.  For example, the Shultz-</w:t>
      </w:r>
      <w:proofErr w:type="spellStart"/>
      <w:r w:rsidR="00DD6390" w:rsidRPr="006814C7">
        <w:rPr>
          <w:rFonts w:ascii="Palatino Linotype" w:eastAsia="Times New Roman" w:hAnsi="Palatino Linotype"/>
        </w:rPr>
        <w:t>Zedeck</w:t>
      </w:r>
      <w:proofErr w:type="spellEnd"/>
      <w:r w:rsidR="00DD6390" w:rsidRPr="006814C7">
        <w:rPr>
          <w:rFonts w:ascii="Palatino Linotype" w:eastAsia="Times New Roman" w:hAnsi="Palatino Linotype"/>
        </w:rPr>
        <w:t xml:space="preserve"> study </w:t>
      </w:r>
      <w:r w:rsidR="0094481E" w:rsidRPr="006814C7">
        <w:rPr>
          <w:rFonts w:ascii="Palatino Linotype" w:eastAsia="Times New Roman" w:hAnsi="Palatino Linotype"/>
        </w:rPr>
        <w:t xml:space="preserve">identified eight categories of “effectiveness factors” that, in addition to the </w:t>
      </w:r>
      <w:r w:rsidR="00806716" w:rsidRPr="006814C7">
        <w:rPr>
          <w:rFonts w:ascii="Palatino Linotype" w:eastAsia="Times New Roman" w:hAnsi="Palatino Linotype"/>
        </w:rPr>
        <w:lastRenderedPageBreak/>
        <w:t xml:space="preserve">doctrinal knowledge—which they grouped under </w:t>
      </w:r>
      <w:r w:rsidR="00CD4B7C" w:rsidRPr="006814C7">
        <w:rPr>
          <w:rFonts w:ascii="Palatino Linotype" w:eastAsia="Times New Roman" w:hAnsi="Palatino Linotype"/>
        </w:rPr>
        <w:t xml:space="preserve">the </w:t>
      </w:r>
      <w:r w:rsidR="0094481E" w:rsidRPr="006814C7">
        <w:rPr>
          <w:rFonts w:ascii="Palatino Linotype" w:eastAsia="Times New Roman" w:hAnsi="Palatino Linotype"/>
        </w:rPr>
        <w:t>“intellectual and cognitive”</w:t>
      </w:r>
      <w:r w:rsidR="00806716" w:rsidRPr="006814C7">
        <w:rPr>
          <w:rFonts w:ascii="Palatino Linotype" w:eastAsia="Times New Roman" w:hAnsi="Palatino Linotype"/>
        </w:rPr>
        <w:t>—</w:t>
      </w:r>
      <w:r w:rsidR="0094481E" w:rsidRPr="006814C7">
        <w:rPr>
          <w:rFonts w:ascii="Palatino Linotype" w:eastAsia="Times New Roman" w:hAnsi="Palatino Linotype"/>
        </w:rPr>
        <w:t>includes “research and information gathering,” “communications</w:t>
      </w:r>
      <w:r w:rsidR="00397553" w:rsidRPr="006814C7">
        <w:rPr>
          <w:rFonts w:ascii="Palatino Linotype" w:eastAsia="Times New Roman" w:hAnsi="Palatino Linotype"/>
        </w:rPr>
        <w:t>,</w:t>
      </w:r>
      <w:r w:rsidR="0094481E" w:rsidRPr="006814C7">
        <w:rPr>
          <w:rFonts w:ascii="Palatino Linotype" w:eastAsia="Times New Roman" w:hAnsi="Palatino Linotype"/>
        </w:rPr>
        <w:t>” “planning and organizing,” “conflict resolution,” “client and business relations,” “working with others,” and “character”.</w:t>
      </w:r>
      <w:r w:rsidR="00D36B3B" w:rsidRPr="006814C7">
        <w:rPr>
          <w:rStyle w:val="FootnoteReference"/>
          <w:rFonts w:ascii="Palatino Linotype" w:eastAsia="Times New Roman" w:hAnsi="Palatino Linotype"/>
        </w:rPr>
        <w:footnoteReference w:id="25"/>
      </w:r>
      <w:r w:rsidR="000F6810" w:rsidRPr="006814C7">
        <w:rPr>
          <w:rFonts w:ascii="Palatino Linotype" w:eastAsia="Times New Roman" w:hAnsi="Palatino Linotype"/>
        </w:rPr>
        <w:t xml:space="preserve">  </w:t>
      </w:r>
    </w:p>
    <w:p w14:paraId="337FE41F" w14:textId="77777777" w:rsidR="006814C7" w:rsidRDefault="006814C7" w:rsidP="00215C97">
      <w:pPr>
        <w:spacing w:line="480" w:lineRule="auto"/>
        <w:jc w:val="both"/>
        <w:rPr>
          <w:rFonts w:ascii="Palatino Linotype" w:eastAsia="Times New Roman" w:hAnsi="Palatino Linotype"/>
        </w:rPr>
      </w:pPr>
    </w:p>
    <w:p w14:paraId="29617C6C" w14:textId="1E7CC435" w:rsidR="006C076F" w:rsidRPr="006814C7" w:rsidRDefault="00653E18" w:rsidP="00215C97">
      <w:pPr>
        <w:spacing w:line="480" w:lineRule="auto"/>
        <w:jc w:val="both"/>
        <w:rPr>
          <w:rFonts w:ascii="Palatino Linotype" w:eastAsia="Times New Roman" w:hAnsi="Palatino Linotype"/>
        </w:rPr>
      </w:pPr>
      <w:r w:rsidRPr="006814C7">
        <w:rPr>
          <w:rFonts w:ascii="Palatino Linotype" w:eastAsia="Times New Roman" w:hAnsi="Palatino Linotype"/>
        </w:rPr>
        <w:t xml:space="preserve">These findings are </w:t>
      </w:r>
      <w:r w:rsidR="0028250B" w:rsidRPr="006814C7">
        <w:rPr>
          <w:rFonts w:ascii="Palatino Linotype" w:eastAsia="Times New Roman" w:hAnsi="Palatino Linotype"/>
        </w:rPr>
        <w:t>nearly identical</w:t>
      </w:r>
      <w:r w:rsidRPr="006814C7">
        <w:rPr>
          <w:rFonts w:ascii="Palatino Linotype" w:eastAsia="Times New Roman" w:hAnsi="Palatino Linotype"/>
        </w:rPr>
        <w:t xml:space="preserve"> </w:t>
      </w:r>
      <w:r w:rsidR="0028250B" w:rsidRPr="006814C7">
        <w:rPr>
          <w:rFonts w:ascii="Palatino Linotype" w:eastAsia="Times New Roman" w:hAnsi="Palatino Linotype"/>
        </w:rPr>
        <w:t>to</w:t>
      </w:r>
      <w:r w:rsidR="00076925" w:rsidRPr="006814C7">
        <w:rPr>
          <w:rFonts w:ascii="Palatino Linotype" w:eastAsia="Times New Roman" w:hAnsi="Palatino Linotype"/>
        </w:rPr>
        <w:t xml:space="preserve"> those of</w:t>
      </w:r>
      <w:r w:rsidRPr="006814C7">
        <w:rPr>
          <w:rFonts w:ascii="Palatino Linotype" w:eastAsia="Times New Roman" w:hAnsi="Palatino Linotype"/>
        </w:rPr>
        <w:t xml:space="preserve"> </w:t>
      </w:r>
      <w:r w:rsidR="000F6810" w:rsidRPr="006814C7">
        <w:rPr>
          <w:rFonts w:ascii="Palatino Linotype" w:eastAsia="Times New Roman" w:hAnsi="Palatino Linotype"/>
        </w:rPr>
        <w:t xml:space="preserve">a </w:t>
      </w:r>
      <w:r w:rsidR="003A7241" w:rsidRPr="006814C7">
        <w:rPr>
          <w:rFonts w:ascii="Palatino Linotype" w:eastAsia="Times New Roman" w:hAnsi="Palatino Linotype"/>
        </w:rPr>
        <w:t>similar studies</w:t>
      </w:r>
      <w:r w:rsidR="000F6810" w:rsidRPr="006814C7">
        <w:rPr>
          <w:rFonts w:ascii="Palatino Linotype" w:eastAsia="Times New Roman" w:hAnsi="Palatino Linotype"/>
        </w:rPr>
        <w:t xml:space="preserve"> </w:t>
      </w:r>
      <w:r w:rsidRPr="006814C7">
        <w:rPr>
          <w:rFonts w:ascii="Palatino Linotype" w:eastAsia="Times New Roman" w:hAnsi="Palatino Linotype"/>
        </w:rPr>
        <w:t xml:space="preserve">of lawyering in Europe.  </w:t>
      </w:r>
      <w:r w:rsidR="000F6810" w:rsidRPr="006814C7">
        <w:rPr>
          <w:rFonts w:ascii="Palatino Linotype" w:eastAsia="Times New Roman" w:hAnsi="Palatino Linotype"/>
        </w:rPr>
        <w:t>In 2005, for example, the Law Society of England and Wales developed a list of “core general characteristics and abilities that solicitors should have on day one in practice.”</w:t>
      </w:r>
      <w:r w:rsidR="000F6810" w:rsidRPr="006814C7">
        <w:rPr>
          <w:rStyle w:val="FootnoteReference"/>
          <w:rFonts w:ascii="Palatino Linotype" w:eastAsia="Times New Roman" w:hAnsi="Palatino Linotype"/>
        </w:rPr>
        <w:footnoteReference w:id="26"/>
      </w:r>
      <w:r w:rsidR="00265AF0" w:rsidRPr="006814C7">
        <w:rPr>
          <w:rFonts w:ascii="Palatino Linotype" w:eastAsia="Times New Roman" w:hAnsi="Palatino Linotype"/>
        </w:rPr>
        <w:t xml:space="preserve">  These characteristics include</w:t>
      </w:r>
      <w:r w:rsidR="00397553" w:rsidRPr="006814C7">
        <w:rPr>
          <w:rFonts w:ascii="Palatino Linotype" w:eastAsia="Times New Roman" w:hAnsi="Palatino Linotype"/>
        </w:rPr>
        <w:t xml:space="preserve"> the ability to:</w:t>
      </w:r>
      <w:r w:rsidR="00265AF0" w:rsidRPr="006814C7">
        <w:rPr>
          <w:rFonts w:ascii="Palatino Linotype" w:eastAsia="Times New Roman" w:hAnsi="Palatino Linotype"/>
        </w:rPr>
        <w:t xml:space="preserve"> “effectively use current technologies and strategies to store, retrieve and analyze information,” “apply techniques to communicate effectively with clients, colleagues and members of other professions,” “manage their personal workload and manage efficiently and concurrently a number of client matters,” “effectively approach problem-solving,” “recognize clients’ financial, commercial, and personal constraints and priorities,” “demonstrate the capacity to deal sensitively and effectively with clients, colleagues and others from a range of social, economic and ethnic </w:t>
      </w:r>
      <w:r w:rsidR="00265AF0" w:rsidRPr="006814C7">
        <w:rPr>
          <w:rFonts w:ascii="Palatino Linotype" w:eastAsia="Times New Roman" w:hAnsi="Palatino Linotype"/>
        </w:rPr>
        <w:lastRenderedPageBreak/>
        <w:t>backgrounds,” and “demonstrate appropriate behavior and integrity in a range of situations.”</w:t>
      </w:r>
      <w:r w:rsidR="004C2A53" w:rsidRPr="006814C7">
        <w:rPr>
          <w:rStyle w:val="FootnoteReference"/>
          <w:rFonts w:ascii="Palatino Linotype" w:eastAsia="Times New Roman" w:hAnsi="Palatino Linotype"/>
        </w:rPr>
        <w:footnoteReference w:id="27"/>
      </w:r>
    </w:p>
    <w:p w14:paraId="19A32EC1" w14:textId="77777777" w:rsidR="00510357" w:rsidRPr="006814C7" w:rsidRDefault="00510357" w:rsidP="00215C97">
      <w:pPr>
        <w:spacing w:line="480" w:lineRule="auto"/>
        <w:jc w:val="both"/>
        <w:rPr>
          <w:rFonts w:ascii="Palatino Linotype" w:eastAsia="Times New Roman" w:hAnsi="Palatino Linotype"/>
        </w:rPr>
      </w:pPr>
    </w:p>
    <w:p w14:paraId="7AA5ED8E" w14:textId="170E4614" w:rsidR="00DD6390" w:rsidRPr="006814C7" w:rsidRDefault="00815952" w:rsidP="00215C97">
      <w:pPr>
        <w:spacing w:line="480" w:lineRule="auto"/>
        <w:jc w:val="both"/>
        <w:rPr>
          <w:rFonts w:ascii="Palatino Linotype" w:eastAsia="Times New Roman" w:hAnsi="Palatino Linotype"/>
        </w:rPr>
      </w:pPr>
      <w:r w:rsidRPr="006814C7">
        <w:rPr>
          <w:rFonts w:ascii="Palatino Linotype" w:eastAsia="Times New Roman" w:hAnsi="Palatino Linotype"/>
        </w:rPr>
        <w:t>Most notable from this data is that</w:t>
      </w:r>
      <w:r w:rsidR="00DD6390" w:rsidRPr="006814C7">
        <w:rPr>
          <w:rFonts w:ascii="Palatino Linotype" w:eastAsia="Times New Roman" w:hAnsi="Palatino Linotype"/>
        </w:rPr>
        <w:t xml:space="preserve"> doctrinal knowledge </w:t>
      </w:r>
      <w:r w:rsidR="00811812" w:rsidRPr="006814C7">
        <w:rPr>
          <w:rFonts w:ascii="Palatino Linotype" w:eastAsia="Times New Roman" w:hAnsi="Palatino Linotype"/>
        </w:rPr>
        <w:t xml:space="preserve">ranks </w:t>
      </w:r>
      <w:r w:rsidR="00811812" w:rsidRPr="006814C7">
        <w:rPr>
          <w:rFonts w:ascii="Palatino Linotype" w:eastAsia="Times New Roman" w:hAnsi="Palatino Linotype"/>
          <w:i/>
        </w:rPr>
        <w:t xml:space="preserve">below </w:t>
      </w:r>
      <w:r w:rsidR="00811812" w:rsidRPr="006814C7">
        <w:rPr>
          <w:rFonts w:ascii="Palatino Linotype" w:eastAsia="Times New Roman" w:hAnsi="Palatino Linotype"/>
        </w:rPr>
        <w:t>the</w:t>
      </w:r>
      <w:r w:rsidR="00CD4B7C" w:rsidRPr="006814C7">
        <w:rPr>
          <w:rFonts w:ascii="Palatino Linotype" w:eastAsia="Times New Roman" w:hAnsi="Palatino Linotype"/>
        </w:rPr>
        <w:t xml:space="preserve"> other</w:t>
      </w:r>
      <w:r w:rsidR="00811812" w:rsidRPr="006814C7">
        <w:rPr>
          <w:rFonts w:ascii="Palatino Linotype" w:eastAsia="Times New Roman" w:hAnsi="Palatino Linotype"/>
        </w:rPr>
        <w:t xml:space="preserve"> competencies required of the new lawyer.  </w:t>
      </w:r>
      <w:r w:rsidRPr="006814C7">
        <w:rPr>
          <w:rFonts w:ascii="Palatino Linotype" w:eastAsia="Times New Roman" w:hAnsi="Palatino Linotype"/>
        </w:rPr>
        <w:t>For example, t</w:t>
      </w:r>
      <w:r w:rsidR="004B36D8" w:rsidRPr="006814C7">
        <w:rPr>
          <w:rFonts w:ascii="Palatino Linotype" w:eastAsia="Times New Roman" w:hAnsi="Palatino Linotype"/>
        </w:rPr>
        <w:t xml:space="preserve">he central question </w:t>
      </w:r>
      <w:r w:rsidR="00811812" w:rsidRPr="006814C7">
        <w:rPr>
          <w:rFonts w:ascii="Palatino Linotype" w:eastAsia="Times New Roman" w:hAnsi="Palatino Linotype"/>
        </w:rPr>
        <w:t>the IAALS study</w:t>
      </w:r>
      <w:r w:rsidR="004B36D8" w:rsidRPr="006814C7">
        <w:rPr>
          <w:rFonts w:ascii="Palatino Linotype" w:eastAsia="Times New Roman" w:hAnsi="Palatino Linotype"/>
        </w:rPr>
        <w:t xml:space="preserve"> asked was </w:t>
      </w:r>
      <w:r w:rsidR="00EB5B07" w:rsidRPr="006814C7">
        <w:rPr>
          <w:rFonts w:ascii="Palatino Linotype" w:eastAsia="Times New Roman" w:hAnsi="Palatino Linotype"/>
        </w:rPr>
        <w:t>“</w:t>
      </w:r>
      <w:r w:rsidR="004B36D8" w:rsidRPr="006814C7">
        <w:rPr>
          <w:rFonts w:ascii="Palatino Linotype" w:eastAsia="Times New Roman" w:hAnsi="Palatino Linotype"/>
        </w:rPr>
        <w:t>what do attorneys need right out of law school to succeed?</w:t>
      </w:r>
      <w:r w:rsidR="00EB5B07" w:rsidRPr="006814C7">
        <w:rPr>
          <w:rFonts w:ascii="Palatino Linotype" w:eastAsia="Times New Roman" w:hAnsi="Palatino Linotype"/>
        </w:rPr>
        <w:t>”</w:t>
      </w:r>
      <w:r w:rsidR="004B36D8" w:rsidRPr="006814C7">
        <w:rPr>
          <w:rStyle w:val="FootnoteReference"/>
          <w:rFonts w:ascii="Palatino Linotype" w:eastAsia="Times New Roman" w:hAnsi="Palatino Linotype"/>
        </w:rPr>
        <w:footnoteReference w:id="28"/>
      </w:r>
      <w:r w:rsidR="00EB5B07" w:rsidRPr="006814C7">
        <w:rPr>
          <w:rFonts w:ascii="Palatino Linotype" w:eastAsia="Times New Roman" w:hAnsi="Palatino Linotype"/>
        </w:rPr>
        <w:t xml:space="preserve">  </w:t>
      </w:r>
      <w:proofErr w:type="spellStart"/>
      <w:r w:rsidR="00EB5B07" w:rsidRPr="006814C7">
        <w:rPr>
          <w:rFonts w:ascii="Palatino Linotype" w:eastAsia="Times New Roman" w:hAnsi="Palatino Linotype"/>
        </w:rPr>
        <w:t>Alli</w:t>
      </w:r>
      <w:proofErr w:type="spellEnd"/>
      <w:r w:rsidR="00EB5B07" w:rsidRPr="006814C7">
        <w:rPr>
          <w:rFonts w:ascii="Palatino Linotype" w:eastAsia="Times New Roman" w:hAnsi="Palatino Linotype"/>
        </w:rPr>
        <w:t xml:space="preserve"> </w:t>
      </w:r>
      <w:proofErr w:type="spellStart"/>
      <w:r w:rsidR="00EB5B07" w:rsidRPr="006814C7">
        <w:rPr>
          <w:rFonts w:ascii="Palatino Linotype" w:eastAsia="Times New Roman" w:hAnsi="Palatino Linotype"/>
        </w:rPr>
        <w:t>Gerkman</w:t>
      </w:r>
      <w:proofErr w:type="spellEnd"/>
      <w:r w:rsidR="00EB5B07" w:rsidRPr="006814C7">
        <w:rPr>
          <w:rFonts w:ascii="Palatino Linotype" w:eastAsia="Times New Roman" w:hAnsi="Palatino Linotype"/>
        </w:rPr>
        <w:t xml:space="preserve"> and Zachariah </w:t>
      </w:r>
      <w:proofErr w:type="spellStart"/>
      <w:r w:rsidR="00EB5B07" w:rsidRPr="006814C7">
        <w:rPr>
          <w:rFonts w:ascii="Palatino Linotype" w:eastAsia="Times New Roman" w:hAnsi="Palatino Linotype"/>
        </w:rPr>
        <w:t>DeMeola</w:t>
      </w:r>
      <w:proofErr w:type="spellEnd"/>
      <w:r w:rsidR="00EB5B07" w:rsidRPr="006814C7">
        <w:rPr>
          <w:rFonts w:ascii="Palatino Linotype" w:eastAsia="Times New Roman" w:hAnsi="Palatino Linotype"/>
        </w:rPr>
        <w:t xml:space="preserve"> found that new lawyers needed three types of foundational skills, competencies, and characteristics: legal skills, cross-vocational professional competencies</w:t>
      </w:r>
      <w:r w:rsidR="00C5100B" w:rsidRPr="006814C7">
        <w:rPr>
          <w:rFonts w:ascii="Palatino Linotype" w:eastAsia="Times New Roman" w:hAnsi="Palatino Linotype"/>
        </w:rPr>
        <w:t>,</w:t>
      </w:r>
      <w:r w:rsidR="00EB5B07" w:rsidRPr="006814C7">
        <w:rPr>
          <w:rFonts w:ascii="Palatino Linotype" w:eastAsia="Times New Roman" w:hAnsi="Palatino Linotype"/>
        </w:rPr>
        <w:t xml:space="preserve"> and characteristics such as integrity and trustworthiness.</w:t>
      </w:r>
      <w:r w:rsidR="00EB5B07" w:rsidRPr="006814C7">
        <w:rPr>
          <w:rStyle w:val="FootnoteReference"/>
          <w:rFonts w:ascii="Palatino Linotype" w:eastAsia="Times New Roman" w:hAnsi="Palatino Linotype"/>
        </w:rPr>
        <w:footnoteReference w:id="29"/>
      </w:r>
      <w:r w:rsidR="00165853" w:rsidRPr="006814C7">
        <w:rPr>
          <w:rFonts w:ascii="Palatino Linotype" w:eastAsia="Times New Roman" w:hAnsi="Palatino Linotype"/>
        </w:rPr>
        <w:t xml:space="preserve">  </w:t>
      </w:r>
      <w:r w:rsidR="00DE3EB5" w:rsidRPr="006814C7">
        <w:rPr>
          <w:rFonts w:ascii="Palatino Linotype" w:eastAsia="Times New Roman" w:hAnsi="Palatino Linotype"/>
        </w:rPr>
        <w:t>It is worth quoting their findings with respect to doctrinal knowledge at length:</w:t>
      </w:r>
    </w:p>
    <w:p w14:paraId="38BF4AB5" w14:textId="52234473" w:rsidR="00DE3EB5" w:rsidRPr="006814C7" w:rsidRDefault="00DE3EB5" w:rsidP="00215C97">
      <w:pPr>
        <w:ind w:left="720" w:right="720" w:hanging="720"/>
        <w:jc w:val="both"/>
        <w:rPr>
          <w:rFonts w:ascii="Palatino Linotype" w:eastAsia="Times New Roman" w:hAnsi="Palatino Linotype"/>
        </w:rPr>
      </w:pPr>
      <w:r w:rsidRPr="006814C7">
        <w:rPr>
          <w:rFonts w:ascii="Palatino Linotype" w:eastAsia="Times New Roman" w:hAnsi="Palatino Linotype"/>
        </w:rPr>
        <w:tab/>
      </w:r>
      <w:r w:rsidR="007A143B" w:rsidRPr="006814C7">
        <w:rPr>
          <w:rFonts w:ascii="Palatino Linotype" w:eastAsia="Times New Roman" w:hAnsi="Palatino Linotype"/>
        </w:rPr>
        <w:t>[S]</w:t>
      </w:r>
      <w:proofErr w:type="spellStart"/>
      <w:r w:rsidRPr="006814C7">
        <w:rPr>
          <w:rFonts w:ascii="Palatino Linotype" w:eastAsia="Times New Roman" w:hAnsi="Palatino Linotype"/>
        </w:rPr>
        <w:t>urvey</w:t>
      </w:r>
      <w:proofErr w:type="spellEnd"/>
      <w:r w:rsidRPr="006814C7">
        <w:rPr>
          <w:rFonts w:ascii="Palatino Linotype" w:eastAsia="Times New Roman" w:hAnsi="Palatino Linotype"/>
        </w:rPr>
        <w:t xml:space="preserve"> results suggest that it is not the granular, practical knowledge or knowledge of substantive law that new lawyers need to have in hand immediately.  In fact, foundations that fell into the legal skills type made up only 16 of the 77 foundations identified as being necessary for practice right out of law school—by far the lowest among the three foundation types.  Moreover, of the legal skills that practitioners believed new lawyers need to be successful, maintaining core knowledge of substantive and procedural law in the relevant focus area(s) was low on the list.  Only 50.7% of respondents believed that maintaining core knowledge of the substantive and procedural law was necessary right out of law school.  Indeed, that foundation barely made the list of 77 foundations that are necessary out of law school.</w:t>
      </w:r>
      <w:r w:rsidRPr="006814C7">
        <w:rPr>
          <w:rStyle w:val="FootnoteReference"/>
          <w:rFonts w:ascii="Palatino Linotype" w:eastAsia="Times New Roman" w:hAnsi="Palatino Linotype"/>
        </w:rPr>
        <w:footnoteReference w:id="30"/>
      </w:r>
    </w:p>
    <w:p w14:paraId="34899F66" w14:textId="77777777" w:rsidR="00DE3EB5" w:rsidRPr="006814C7" w:rsidRDefault="00DE3EB5" w:rsidP="00215C97">
      <w:pPr>
        <w:jc w:val="both"/>
        <w:rPr>
          <w:rFonts w:ascii="Palatino Linotype" w:eastAsia="Times New Roman" w:hAnsi="Palatino Linotype"/>
        </w:rPr>
      </w:pPr>
    </w:p>
    <w:p w14:paraId="03EA4E29" w14:textId="77777777" w:rsidR="00510357" w:rsidRPr="006814C7" w:rsidRDefault="00DD6390" w:rsidP="00215C97">
      <w:pPr>
        <w:spacing w:line="480" w:lineRule="auto"/>
        <w:jc w:val="both"/>
        <w:rPr>
          <w:rFonts w:ascii="Palatino Linotype" w:eastAsia="Times New Roman" w:hAnsi="Palatino Linotype"/>
        </w:rPr>
      </w:pPr>
      <w:r w:rsidRPr="006814C7">
        <w:rPr>
          <w:rFonts w:ascii="Palatino Linotype" w:eastAsia="Times New Roman" w:hAnsi="Palatino Linotype"/>
        </w:rPr>
        <w:lastRenderedPageBreak/>
        <w:tab/>
      </w:r>
    </w:p>
    <w:p w14:paraId="1132BDFF" w14:textId="724CB5E0" w:rsidR="00D30B9E" w:rsidRPr="006814C7" w:rsidRDefault="00E930FE" w:rsidP="00215C97">
      <w:pPr>
        <w:spacing w:line="480" w:lineRule="auto"/>
        <w:jc w:val="both"/>
        <w:rPr>
          <w:rFonts w:ascii="Palatino Linotype" w:eastAsia="Times New Roman" w:hAnsi="Palatino Linotype"/>
        </w:rPr>
      </w:pPr>
      <w:r w:rsidRPr="006814C7">
        <w:rPr>
          <w:rFonts w:ascii="Palatino Linotype" w:eastAsia="Times New Roman" w:hAnsi="Palatino Linotype"/>
        </w:rPr>
        <w:t>S</w:t>
      </w:r>
      <w:r w:rsidR="00DD6390" w:rsidRPr="006814C7">
        <w:rPr>
          <w:rFonts w:ascii="Palatino Linotype" w:eastAsia="Times New Roman" w:hAnsi="Palatino Linotype"/>
        </w:rPr>
        <w:t>uch knowledge</w:t>
      </w:r>
      <w:r w:rsidR="0041108E" w:rsidRPr="006814C7">
        <w:rPr>
          <w:rFonts w:ascii="Palatino Linotype" w:eastAsia="Times New Roman" w:hAnsi="Palatino Linotype"/>
        </w:rPr>
        <w:t xml:space="preserve"> </w:t>
      </w:r>
      <w:r w:rsidRPr="006814C7">
        <w:rPr>
          <w:rFonts w:ascii="Palatino Linotype" w:eastAsia="Times New Roman" w:hAnsi="Palatino Linotype"/>
        </w:rPr>
        <w:t xml:space="preserve">becomes even less important when we consider how it </w:t>
      </w:r>
      <w:r w:rsidR="0041108E" w:rsidRPr="006814C7">
        <w:rPr>
          <w:rFonts w:ascii="Palatino Linotype" w:eastAsia="Times New Roman" w:hAnsi="Palatino Linotype"/>
        </w:rPr>
        <w:t xml:space="preserve">is taught—i.e., </w:t>
      </w:r>
      <w:r w:rsidRPr="006814C7">
        <w:rPr>
          <w:rFonts w:ascii="Palatino Linotype" w:eastAsia="Times New Roman" w:hAnsi="Palatino Linotype"/>
        </w:rPr>
        <w:t xml:space="preserve">impractically or </w:t>
      </w:r>
      <w:r w:rsidR="0041108E" w:rsidRPr="006814C7">
        <w:rPr>
          <w:rFonts w:ascii="Palatino Linotype" w:eastAsia="Times New Roman" w:hAnsi="Palatino Linotype"/>
        </w:rPr>
        <w:t>abstractly</w:t>
      </w:r>
      <w:r w:rsidRPr="006814C7">
        <w:rPr>
          <w:rFonts w:ascii="Palatino Linotype" w:eastAsia="Times New Roman" w:hAnsi="Palatino Linotype"/>
        </w:rPr>
        <w:t>,</w:t>
      </w:r>
      <w:r w:rsidR="0041108E" w:rsidRPr="006814C7">
        <w:rPr>
          <w:rFonts w:ascii="Palatino Linotype" w:eastAsia="Times New Roman" w:hAnsi="Palatino Linotype"/>
        </w:rPr>
        <w:t xml:space="preserve"> and passively, usually</w:t>
      </w:r>
      <w:r w:rsidR="003550A4" w:rsidRPr="006814C7">
        <w:rPr>
          <w:rFonts w:ascii="Palatino Linotype" w:eastAsia="Times New Roman" w:hAnsi="Palatino Linotype"/>
        </w:rPr>
        <w:t>, as mentioned,</w:t>
      </w:r>
      <w:r w:rsidR="0041108E" w:rsidRPr="006814C7">
        <w:rPr>
          <w:rFonts w:ascii="Palatino Linotype" w:eastAsia="Times New Roman" w:hAnsi="Palatino Linotype"/>
        </w:rPr>
        <w:t xml:space="preserve"> </w:t>
      </w:r>
      <w:r w:rsidR="00F85D4E" w:rsidRPr="006814C7">
        <w:rPr>
          <w:rFonts w:ascii="Palatino Linotype" w:eastAsia="Times New Roman" w:hAnsi="Palatino Linotype"/>
        </w:rPr>
        <w:t>through</w:t>
      </w:r>
      <w:r w:rsidR="0041108E" w:rsidRPr="006814C7">
        <w:rPr>
          <w:rFonts w:ascii="Palatino Linotype" w:eastAsia="Times New Roman" w:hAnsi="Palatino Linotype"/>
        </w:rPr>
        <w:t xml:space="preserve"> lectures in large classes</w:t>
      </w:r>
      <w:r w:rsidRPr="006814C7">
        <w:rPr>
          <w:rFonts w:ascii="Palatino Linotype" w:eastAsia="Times New Roman" w:hAnsi="Palatino Linotype"/>
        </w:rPr>
        <w:t xml:space="preserve">.  In other words, </w:t>
      </w:r>
      <w:r w:rsidR="00BD4359" w:rsidRPr="006814C7">
        <w:rPr>
          <w:rFonts w:ascii="Palatino Linotype" w:eastAsia="Times New Roman" w:hAnsi="Palatino Linotype"/>
        </w:rPr>
        <w:t>the data on actual practice make clear th</w:t>
      </w:r>
      <w:r w:rsidR="00B1476C" w:rsidRPr="006814C7">
        <w:rPr>
          <w:rFonts w:ascii="Palatino Linotype" w:eastAsia="Times New Roman" w:hAnsi="Palatino Linotype"/>
        </w:rPr>
        <w:t>e irrelevance of most legal instruction</w:t>
      </w:r>
      <w:r w:rsidR="003550A4" w:rsidRPr="006814C7">
        <w:rPr>
          <w:rFonts w:ascii="Palatino Linotype" w:eastAsia="Times New Roman" w:hAnsi="Palatino Linotype"/>
        </w:rPr>
        <w:t>—a finding stunning in its absurdity and consistency.</w:t>
      </w:r>
      <w:r w:rsidR="0041108E" w:rsidRPr="006814C7">
        <w:rPr>
          <w:rFonts w:ascii="Palatino Linotype" w:eastAsia="Times New Roman" w:hAnsi="Palatino Linotype"/>
        </w:rPr>
        <w:t xml:space="preserve"> </w:t>
      </w:r>
    </w:p>
    <w:p w14:paraId="5B507A4D" w14:textId="77777777" w:rsidR="00510357" w:rsidRPr="006814C7" w:rsidRDefault="00D30B9E" w:rsidP="00215C97">
      <w:pPr>
        <w:spacing w:line="480" w:lineRule="auto"/>
        <w:jc w:val="both"/>
        <w:rPr>
          <w:rFonts w:ascii="Palatino Linotype" w:eastAsia="Times New Roman" w:hAnsi="Palatino Linotype"/>
        </w:rPr>
      </w:pPr>
      <w:r w:rsidRPr="006814C7">
        <w:rPr>
          <w:rFonts w:ascii="Palatino Linotype" w:eastAsia="Times New Roman" w:hAnsi="Palatino Linotype"/>
        </w:rPr>
        <w:tab/>
      </w:r>
    </w:p>
    <w:p w14:paraId="5102F47B" w14:textId="166FD524" w:rsidR="00E068FE" w:rsidRPr="006814C7" w:rsidRDefault="0032678D" w:rsidP="00215C97">
      <w:pPr>
        <w:spacing w:line="480" w:lineRule="auto"/>
        <w:jc w:val="both"/>
        <w:rPr>
          <w:rFonts w:ascii="Palatino Linotype" w:eastAsia="Times New Roman" w:hAnsi="Palatino Linotype"/>
        </w:rPr>
      </w:pPr>
      <w:r w:rsidRPr="006814C7">
        <w:rPr>
          <w:rFonts w:ascii="Palatino Linotype" w:eastAsia="Times New Roman" w:hAnsi="Palatino Linotype"/>
        </w:rPr>
        <w:t xml:space="preserve">The empirical data </w:t>
      </w:r>
      <w:r w:rsidR="00C5100B" w:rsidRPr="006814C7">
        <w:rPr>
          <w:rFonts w:ascii="Palatino Linotype" w:eastAsia="Times New Roman" w:hAnsi="Palatino Linotype"/>
        </w:rPr>
        <w:t xml:space="preserve">also </w:t>
      </w:r>
      <w:r w:rsidRPr="006814C7">
        <w:rPr>
          <w:rFonts w:ascii="Palatino Linotype" w:eastAsia="Times New Roman" w:hAnsi="Palatino Linotype"/>
        </w:rPr>
        <w:t xml:space="preserve">call into question not just </w:t>
      </w:r>
      <w:r w:rsidRPr="00D44A31">
        <w:rPr>
          <w:rFonts w:ascii="Palatino Linotype" w:eastAsia="Times New Roman" w:hAnsi="Palatino Linotype"/>
        </w:rPr>
        <w:t>how</w:t>
      </w:r>
      <w:r w:rsidRPr="006814C7">
        <w:rPr>
          <w:rFonts w:ascii="Palatino Linotype" w:eastAsia="Times New Roman" w:hAnsi="Palatino Linotype"/>
          <w:i/>
        </w:rPr>
        <w:t xml:space="preserve"> </w:t>
      </w:r>
      <w:r w:rsidRPr="006814C7">
        <w:rPr>
          <w:rFonts w:ascii="Palatino Linotype" w:eastAsia="Times New Roman" w:hAnsi="Palatino Linotype"/>
        </w:rPr>
        <w:t xml:space="preserve">we teach but </w:t>
      </w:r>
      <w:r w:rsidRPr="00D44A31">
        <w:rPr>
          <w:rFonts w:ascii="Palatino Linotype" w:eastAsia="Times New Roman" w:hAnsi="Palatino Linotype"/>
        </w:rPr>
        <w:t>what</w:t>
      </w:r>
      <w:r w:rsidRPr="006814C7">
        <w:rPr>
          <w:rFonts w:ascii="Palatino Linotype" w:eastAsia="Times New Roman" w:hAnsi="Palatino Linotype"/>
          <w:i/>
        </w:rPr>
        <w:t xml:space="preserve"> </w:t>
      </w:r>
      <w:r w:rsidRPr="006814C7">
        <w:rPr>
          <w:rFonts w:ascii="Palatino Linotype" w:eastAsia="Times New Roman" w:hAnsi="Palatino Linotype"/>
        </w:rPr>
        <w:t xml:space="preserve">we teach.  </w:t>
      </w:r>
      <w:r w:rsidR="003119DA" w:rsidRPr="006814C7">
        <w:rPr>
          <w:rFonts w:ascii="Palatino Linotype" w:eastAsia="Times New Roman" w:hAnsi="Palatino Linotype"/>
        </w:rPr>
        <w:t xml:space="preserve">As </w:t>
      </w:r>
      <w:proofErr w:type="spellStart"/>
      <w:r w:rsidR="003119DA" w:rsidRPr="006814C7">
        <w:rPr>
          <w:rFonts w:ascii="Palatino Linotype" w:eastAsia="Times New Roman" w:hAnsi="Palatino Linotype"/>
        </w:rPr>
        <w:t>Alemanno</w:t>
      </w:r>
      <w:proofErr w:type="spellEnd"/>
      <w:r w:rsidR="003119DA" w:rsidRPr="006814C7">
        <w:rPr>
          <w:rFonts w:ascii="Palatino Linotype" w:eastAsia="Times New Roman" w:hAnsi="Palatino Linotype"/>
        </w:rPr>
        <w:t xml:space="preserve"> and </w:t>
      </w:r>
      <w:proofErr w:type="spellStart"/>
      <w:r w:rsidR="00301E6A" w:rsidRPr="006814C7">
        <w:rPr>
          <w:rFonts w:ascii="Palatino Linotype" w:eastAsia="Times New Roman" w:hAnsi="Palatino Linotype"/>
        </w:rPr>
        <w:t>Khadar</w:t>
      </w:r>
      <w:proofErr w:type="spellEnd"/>
      <w:r w:rsidR="00301E6A" w:rsidRPr="006814C7">
        <w:rPr>
          <w:rFonts w:ascii="Palatino Linotype" w:eastAsia="Times New Roman" w:hAnsi="Palatino Linotype"/>
        </w:rPr>
        <w:t xml:space="preserve"> observed, European </w:t>
      </w:r>
      <w:r w:rsidR="00E42A3B" w:rsidRPr="006814C7">
        <w:rPr>
          <w:rFonts w:ascii="Palatino Linotype" w:eastAsia="Times New Roman" w:hAnsi="Palatino Linotype"/>
        </w:rPr>
        <w:t xml:space="preserve">lawyering </w:t>
      </w:r>
      <w:r w:rsidR="00A34E76" w:rsidRPr="006814C7">
        <w:rPr>
          <w:rFonts w:ascii="Palatino Linotype" w:eastAsia="Times New Roman" w:hAnsi="Palatino Linotype"/>
        </w:rPr>
        <w:t>is undergoing</w:t>
      </w:r>
      <w:r w:rsidR="00301E6A" w:rsidRPr="006814C7">
        <w:rPr>
          <w:rFonts w:ascii="Palatino Linotype" w:eastAsia="Times New Roman" w:hAnsi="Palatino Linotype"/>
        </w:rPr>
        <w:t xml:space="preserve"> </w:t>
      </w:r>
      <w:r w:rsidR="00A34E76" w:rsidRPr="006814C7">
        <w:rPr>
          <w:rFonts w:ascii="Palatino Linotype" w:eastAsia="Times New Roman" w:hAnsi="Palatino Linotype"/>
        </w:rPr>
        <w:t>internationalization</w:t>
      </w:r>
      <w:r w:rsidR="00301E6A" w:rsidRPr="006814C7">
        <w:rPr>
          <w:rFonts w:ascii="Palatino Linotype" w:eastAsia="Times New Roman" w:hAnsi="Palatino Linotype"/>
        </w:rPr>
        <w:t xml:space="preserve"> and</w:t>
      </w:r>
      <w:r w:rsidR="00C5100B" w:rsidRPr="006814C7">
        <w:rPr>
          <w:rFonts w:ascii="Palatino Linotype" w:eastAsia="Times New Roman" w:hAnsi="Palatino Linotype"/>
        </w:rPr>
        <w:t xml:space="preserve"> </w:t>
      </w:r>
      <w:r w:rsidR="00301E6A" w:rsidRPr="006814C7">
        <w:rPr>
          <w:rFonts w:ascii="Palatino Linotype" w:eastAsia="Times New Roman" w:hAnsi="Palatino Linotype"/>
        </w:rPr>
        <w:t>Europeanization</w:t>
      </w:r>
      <w:r w:rsidR="00B16036" w:rsidRPr="006814C7">
        <w:rPr>
          <w:rFonts w:ascii="Palatino Linotype" w:eastAsia="Times New Roman" w:hAnsi="Palatino Linotype"/>
        </w:rPr>
        <w:t xml:space="preserve">.  No longer is practice defined by national boundaries.  </w:t>
      </w:r>
      <w:r w:rsidR="00E068FE" w:rsidRPr="006814C7">
        <w:rPr>
          <w:rFonts w:ascii="Palatino Linotype" w:eastAsia="Times New Roman" w:hAnsi="Palatino Linotype"/>
        </w:rPr>
        <w:t>Instead</w:t>
      </w:r>
      <w:r w:rsidR="001D2AF7" w:rsidRPr="006814C7">
        <w:rPr>
          <w:rFonts w:ascii="Palatino Linotype" w:eastAsia="Times New Roman" w:hAnsi="Palatino Linotype"/>
        </w:rPr>
        <w:t>:</w:t>
      </w:r>
    </w:p>
    <w:p w14:paraId="3EF3B3A1" w14:textId="32522347" w:rsidR="003A3AC3" w:rsidRPr="006814C7" w:rsidRDefault="00E068FE" w:rsidP="00215C97">
      <w:pPr>
        <w:ind w:left="720" w:right="720" w:hanging="720"/>
        <w:jc w:val="both"/>
        <w:rPr>
          <w:rFonts w:ascii="Palatino Linotype" w:eastAsia="Times New Roman" w:hAnsi="Palatino Linotype"/>
        </w:rPr>
      </w:pPr>
      <w:r w:rsidRPr="006814C7">
        <w:rPr>
          <w:rFonts w:ascii="Palatino Linotype" w:eastAsia="Times New Roman" w:hAnsi="Palatino Linotype"/>
        </w:rPr>
        <w:tab/>
        <w:t xml:space="preserve">any lawyer, regardless of the geographical scope of her practice, is increasingly expected to work and research across countries and regions with differing legal traditions … it is no longer possible to teach consumer law, tax law, or environmental law, to name just a few, without at least some basic notions of </w:t>
      </w:r>
      <w:r w:rsidR="008F2705" w:rsidRPr="006814C7">
        <w:rPr>
          <w:rFonts w:ascii="Palatino Linotype" w:eastAsia="Times New Roman" w:hAnsi="Palatino Linotype"/>
        </w:rPr>
        <w:t>international law.  Yet the progressive internationalization of law has not been followed up by a parallel internationalization of legal education.  In other words, the traditional legal curriculum has not been denationalized.</w:t>
      </w:r>
      <w:r w:rsidR="00AE58C9" w:rsidRPr="006814C7">
        <w:rPr>
          <w:rStyle w:val="FootnoteReference"/>
          <w:rFonts w:ascii="Palatino Linotype" w:eastAsia="Times New Roman" w:hAnsi="Palatino Linotype"/>
        </w:rPr>
        <w:footnoteReference w:id="31"/>
      </w:r>
    </w:p>
    <w:p w14:paraId="14202281" w14:textId="77777777" w:rsidR="001D2AF7" w:rsidRPr="006814C7" w:rsidRDefault="001D2AF7" w:rsidP="00215C97">
      <w:pPr>
        <w:ind w:left="720" w:right="720" w:hanging="720"/>
        <w:jc w:val="both"/>
        <w:rPr>
          <w:rFonts w:ascii="Palatino Linotype" w:eastAsia="Times New Roman" w:hAnsi="Palatino Linotype"/>
        </w:rPr>
      </w:pPr>
    </w:p>
    <w:p w14:paraId="740393AE" w14:textId="499420F5" w:rsidR="00F843CD" w:rsidRPr="006814C7" w:rsidRDefault="00F843CD" w:rsidP="00215C97">
      <w:pPr>
        <w:spacing w:line="480" w:lineRule="auto"/>
        <w:jc w:val="both"/>
        <w:rPr>
          <w:rFonts w:ascii="Palatino Linotype" w:eastAsia="Times New Roman" w:hAnsi="Palatino Linotype"/>
        </w:rPr>
      </w:pPr>
      <w:r w:rsidRPr="006814C7">
        <w:rPr>
          <w:rFonts w:ascii="Palatino Linotype" w:eastAsia="Times New Roman" w:hAnsi="Palatino Linotype"/>
        </w:rPr>
        <w:t xml:space="preserve">According to </w:t>
      </w:r>
      <w:proofErr w:type="spellStart"/>
      <w:r w:rsidRPr="006814C7">
        <w:rPr>
          <w:rFonts w:ascii="Palatino Linotype" w:eastAsia="Times New Roman" w:hAnsi="Palatino Linotype"/>
        </w:rPr>
        <w:t>Alemanno</w:t>
      </w:r>
      <w:proofErr w:type="spellEnd"/>
      <w:r w:rsidRPr="006814C7">
        <w:rPr>
          <w:rFonts w:ascii="Palatino Linotype" w:eastAsia="Times New Roman" w:hAnsi="Palatino Linotype"/>
        </w:rPr>
        <w:t xml:space="preserve"> and </w:t>
      </w:r>
      <w:proofErr w:type="spellStart"/>
      <w:r w:rsidRPr="006814C7">
        <w:rPr>
          <w:rFonts w:ascii="Palatino Linotype" w:eastAsia="Times New Roman" w:hAnsi="Palatino Linotype"/>
        </w:rPr>
        <w:t>Khadar</w:t>
      </w:r>
      <w:proofErr w:type="spellEnd"/>
      <w:r w:rsidRPr="006814C7">
        <w:rPr>
          <w:rFonts w:ascii="Palatino Linotype" w:eastAsia="Times New Roman" w:hAnsi="Palatino Linotype"/>
        </w:rPr>
        <w:t>, internationalization and Europeanization have come alongside the proliferation of other professional roles</w:t>
      </w:r>
      <w:r w:rsidRPr="006814C7">
        <w:rPr>
          <w:rStyle w:val="FootnoteReference"/>
          <w:rFonts w:ascii="Palatino Linotype" w:eastAsia="Times New Roman" w:hAnsi="Palatino Linotype"/>
        </w:rPr>
        <w:footnoteReference w:id="32"/>
      </w:r>
      <w:r w:rsidR="00A803B1" w:rsidRPr="006814C7">
        <w:rPr>
          <w:rFonts w:ascii="Palatino Linotype" w:eastAsia="Times New Roman" w:hAnsi="Palatino Linotype"/>
        </w:rPr>
        <w:t xml:space="preserve"> and the emergence of a European and global market for legal education.</w:t>
      </w:r>
      <w:r w:rsidR="00A803B1" w:rsidRPr="006814C7">
        <w:rPr>
          <w:rStyle w:val="FootnoteReference"/>
          <w:rFonts w:ascii="Palatino Linotype" w:eastAsia="Times New Roman" w:hAnsi="Palatino Linotype"/>
        </w:rPr>
        <w:footnoteReference w:id="33"/>
      </w:r>
      <w:r w:rsidR="007568B4" w:rsidRPr="006814C7">
        <w:rPr>
          <w:rFonts w:ascii="Palatino Linotype" w:eastAsia="Times New Roman" w:hAnsi="Palatino Linotype"/>
        </w:rPr>
        <w:t xml:space="preserve"> </w:t>
      </w:r>
    </w:p>
    <w:p w14:paraId="0FFA8F76" w14:textId="77777777" w:rsidR="00510357" w:rsidRPr="006814C7" w:rsidRDefault="003A3AC3" w:rsidP="00215C97">
      <w:pPr>
        <w:spacing w:line="480" w:lineRule="auto"/>
        <w:jc w:val="both"/>
        <w:rPr>
          <w:rFonts w:ascii="Palatino Linotype" w:eastAsia="Times New Roman" w:hAnsi="Palatino Linotype"/>
        </w:rPr>
      </w:pPr>
      <w:r w:rsidRPr="006814C7">
        <w:rPr>
          <w:rFonts w:ascii="Palatino Linotype" w:eastAsia="Times New Roman" w:hAnsi="Palatino Linotype"/>
        </w:rPr>
        <w:tab/>
      </w:r>
    </w:p>
    <w:p w14:paraId="263EFF88" w14:textId="6CBD27A2" w:rsidR="003A3AC3" w:rsidRPr="006814C7" w:rsidRDefault="00C5100B" w:rsidP="00215C97">
      <w:pPr>
        <w:spacing w:line="480" w:lineRule="auto"/>
        <w:jc w:val="both"/>
        <w:rPr>
          <w:rFonts w:ascii="Palatino Linotype" w:eastAsia="Times New Roman" w:hAnsi="Palatino Linotype"/>
        </w:rPr>
      </w:pPr>
      <w:r w:rsidRPr="006814C7">
        <w:rPr>
          <w:rFonts w:ascii="Palatino Linotype" w:eastAsia="Times New Roman" w:hAnsi="Palatino Linotype"/>
        </w:rPr>
        <w:lastRenderedPageBreak/>
        <w:t>A</w:t>
      </w:r>
      <w:r w:rsidR="00152B33" w:rsidRPr="006814C7">
        <w:rPr>
          <w:rFonts w:ascii="Palatino Linotype" w:eastAsia="Times New Roman" w:hAnsi="Palatino Linotype"/>
        </w:rPr>
        <w:t xml:space="preserve">ctual practice </w:t>
      </w:r>
      <w:r w:rsidR="001C1658" w:rsidRPr="006814C7">
        <w:rPr>
          <w:rFonts w:ascii="Palatino Linotype" w:eastAsia="Times New Roman" w:hAnsi="Palatino Linotype"/>
        </w:rPr>
        <w:t xml:space="preserve">demands training equal to </w:t>
      </w:r>
      <w:r w:rsidR="00C7187C" w:rsidRPr="006814C7">
        <w:rPr>
          <w:rFonts w:ascii="Palatino Linotype" w:eastAsia="Times New Roman" w:hAnsi="Palatino Linotype"/>
        </w:rPr>
        <w:t>these</w:t>
      </w:r>
      <w:r w:rsidR="001C1658" w:rsidRPr="006814C7">
        <w:rPr>
          <w:rFonts w:ascii="Palatino Linotype" w:eastAsia="Times New Roman" w:hAnsi="Palatino Linotype"/>
        </w:rPr>
        <w:t xml:space="preserve"> challenges.  Empirical data </w:t>
      </w:r>
      <w:r w:rsidRPr="006814C7">
        <w:rPr>
          <w:rFonts w:ascii="Palatino Linotype" w:eastAsia="Times New Roman" w:hAnsi="Palatino Linotype"/>
        </w:rPr>
        <w:t>must be</w:t>
      </w:r>
      <w:r w:rsidR="00D43C65" w:rsidRPr="006814C7">
        <w:rPr>
          <w:rFonts w:ascii="Palatino Linotype" w:eastAsia="Times New Roman" w:hAnsi="Palatino Linotype"/>
        </w:rPr>
        <w:t xml:space="preserve"> the bases upon which any reform of legal study ought to come.  </w:t>
      </w:r>
      <w:r w:rsidR="00CD4B7C" w:rsidRPr="006814C7">
        <w:rPr>
          <w:rFonts w:ascii="Palatino Linotype" w:eastAsia="Times New Roman" w:hAnsi="Palatino Linotype"/>
        </w:rPr>
        <w:t>Hence, t</w:t>
      </w:r>
      <w:r w:rsidR="00311185" w:rsidRPr="006814C7">
        <w:rPr>
          <w:rFonts w:ascii="Palatino Linotype" w:eastAsia="Times New Roman" w:hAnsi="Palatino Linotype"/>
        </w:rPr>
        <w:t xml:space="preserve">here are two lessons here: first the need to study the actual practice of Spanish lawyers and, second, to </w:t>
      </w:r>
      <w:r w:rsidR="00CD4B7C" w:rsidRPr="006814C7">
        <w:rPr>
          <w:rFonts w:ascii="Palatino Linotype" w:eastAsia="Times New Roman" w:hAnsi="Palatino Linotype"/>
        </w:rPr>
        <w:t xml:space="preserve">use such data to </w:t>
      </w:r>
      <w:r w:rsidR="00311185" w:rsidRPr="006814C7">
        <w:rPr>
          <w:rFonts w:ascii="Palatino Linotype" w:eastAsia="Times New Roman" w:hAnsi="Palatino Linotype"/>
        </w:rPr>
        <w:t>reform legal education—at least on the master’s level—to better prepare lawyers for such actual practice.</w:t>
      </w:r>
      <w:r w:rsidR="001C1658" w:rsidRPr="006814C7">
        <w:rPr>
          <w:rFonts w:ascii="Palatino Linotype" w:eastAsia="Times New Roman" w:hAnsi="Palatino Linotype"/>
        </w:rPr>
        <w:t xml:space="preserve">  </w:t>
      </w:r>
      <w:r w:rsidR="003A3AC3" w:rsidRPr="006814C7">
        <w:rPr>
          <w:rFonts w:ascii="Palatino Linotype" w:eastAsia="Times New Roman" w:hAnsi="Palatino Linotype"/>
        </w:rPr>
        <w:t>We need a concrete understanding of what modern law practice looks like in order to reform curricula accordingly.  What do lawyers actually do?  What substantive knowledge do they need?  What skills?  What values?  How should we equip them—particularly in light of the current historical</w:t>
      </w:r>
      <w:r w:rsidR="008F4435" w:rsidRPr="006814C7">
        <w:rPr>
          <w:rFonts w:ascii="Palatino Linotype" w:eastAsia="Times New Roman" w:hAnsi="Palatino Linotype"/>
        </w:rPr>
        <w:t xml:space="preserve"> </w:t>
      </w:r>
      <w:r w:rsidR="003A3AC3" w:rsidRPr="006814C7">
        <w:rPr>
          <w:rFonts w:ascii="Palatino Linotype" w:eastAsia="Times New Roman" w:hAnsi="Palatino Linotype"/>
        </w:rPr>
        <w:t>moment?</w:t>
      </w:r>
    </w:p>
    <w:p w14:paraId="2FA66E16" w14:textId="77777777" w:rsidR="00510357" w:rsidRPr="006814C7" w:rsidRDefault="00510357" w:rsidP="00215C97">
      <w:pPr>
        <w:spacing w:line="480" w:lineRule="auto"/>
        <w:jc w:val="both"/>
        <w:rPr>
          <w:rFonts w:ascii="Palatino Linotype" w:eastAsia="Times New Roman" w:hAnsi="Palatino Linotype"/>
        </w:rPr>
      </w:pPr>
    </w:p>
    <w:p w14:paraId="40A51ED2" w14:textId="6BD34F4D" w:rsidR="00DE6C5A" w:rsidRPr="006814C7" w:rsidRDefault="001B28E7" w:rsidP="00215C97">
      <w:pPr>
        <w:pStyle w:val="ListParagraph"/>
        <w:numPr>
          <w:ilvl w:val="0"/>
          <w:numId w:val="19"/>
        </w:numPr>
        <w:spacing w:line="480" w:lineRule="auto"/>
        <w:jc w:val="both"/>
        <w:rPr>
          <w:rFonts w:ascii="Palatino Linotype" w:eastAsia="Times New Roman" w:hAnsi="Palatino Linotype"/>
          <w:b/>
        </w:rPr>
      </w:pPr>
      <w:r w:rsidRPr="006814C7">
        <w:rPr>
          <w:rFonts w:ascii="Palatino Linotype" w:eastAsia="Times New Roman" w:hAnsi="Palatino Linotype"/>
          <w:b/>
        </w:rPr>
        <w:t>Pedagogical Theory</w:t>
      </w:r>
    </w:p>
    <w:p w14:paraId="756461E9" w14:textId="6DCA067A" w:rsidR="00DE6C5A" w:rsidRPr="006814C7" w:rsidRDefault="00EC5A1E" w:rsidP="00215C97">
      <w:pPr>
        <w:spacing w:line="480" w:lineRule="auto"/>
        <w:jc w:val="both"/>
        <w:rPr>
          <w:rFonts w:ascii="Palatino Linotype" w:eastAsia="Times New Roman" w:hAnsi="Palatino Linotype"/>
        </w:rPr>
      </w:pPr>
      <w:r w:rsidRPr="006814C7">
        <w:rPr>
          <w:rFonts w:ascii="Palatino Linotype" w:eastAsia="Times New Roman" w:hAnsi="Palatino Linotype"/>
        </w:rPr>
        <w:t>In the U</w:t>
      </w:r>
      <w:r w:rsidR="00C7187C" w:rsidRPr="006814C7">
        <w:rPr>
          <w:rFonts w:ascii="Palatino Linotype" w:eastAsia="Times New Roman" w:hAnsi="Palatino Linotype"/>
        </w:rPr>
        <w:t>.S.</w:t>
      </w:r>
      <w:r w:rsidRPr="006814C7">
        <w:rPr>
          <w:rFonts w:ascii="Palatino Linotype" w:eastAsia="Times New Roman" w:hAnsi="Palatino Linotype"/>
        </w:rPr>
        <w:t xml:space="preserve">, </w:t>
      </w:r>
      <w:r w:rsidR="00027964">
        <w:rPr>
          <w:rFonts w:ascii="Palatino Linotype" w:eastAsia="Times New Roman" w:hAnsi="Palatino Linotype"/>
        </w:rPr>
        <w:t>as mentioned, critics have long criticized</w:t>
      </w:r>
      <w:r w:rsidR="00DE6C5A" w:rsidRPr="006814C7">
        <w:rPr>
          <w:rFonts w:ascii="Palatino Linotype" w:eastAsia="Times New Roman" w:hAnsi="Palatino Linotype"/>
        </w:rPr>
        <w:t xml:space="preserve"> American law schools </w:t>
      </w:r>
      <w:r w:rsidR="00027964">
        <w:rPr>
          <w:rFonts w:ascii="Palatino Linotype" w:eastAsia="Times New Roman" w:hAnsi="Palatino Linotype"/>
        </w:rPr>
        <w:t>for</w:t>
      </w:r>
      <w:r w:rsidR="00DE6C5A" w:rsidRPr="006814C7">
        <w:rPr>
          <w:rFonts w:ascii="Palatino Linotype" w:eastAsia="Times New Roman" w:hAnsi="Palatino Linotype"/>
        </w:rPr>
        <w:t xml:space="preserve"> not sufficiently preparing students for the practice of law.  As </w:t>
      </w:r>
      <w:r w:rsidRPr="006814C7">
        <w:rPr>
          <w:rFonts w:ascii="Palatino Linotype" w:eastAsia="Times New Roman" w:hAnsi="Palatino Linotype"/>
        </w:rPr>
        <w:t>Roy Stuckey observed</w:t>
      </w:r>
      <w:r w:rsidR="00DE6C5A" w:rsidRPr="006814C7">
        <w:rPr>
          <w:rFonts w:ascii="Palatino Linotype" w:eastAsia="Times New Roman" w:hAnsi="Palatino Linotype"/>
        </w:rPr>
        <w:t>:</w:t>
      </w:r>
    </w:p>
    <w:p w14:paraId="141ACC5A" w14:textId="67BC71C5" w:rsidR="00EC5A1E" w:rsidRPr="006814C7" w:rsidRDefault="00DE6C5A" w:rsidP="00215C97">
      <w:pPr>
        <w:ind w:left="720" w:right="720"/>
        <w:jc w:val="both"/>
        <w:rPr>
          <w:rFonts w:ascii="Palatino Linotype" w:eastAsia="Times New Roman" w:hAnsi="Palatino Linotype"/>
        </w:rPr>
      </w:pPr>
      <w:r w:rsidRPr="006814C7">
        <w:rPr>
          <w:rFonts w:ascii="Palatino Linotype" w:eastAsia="Times New Roman" w:hAnsi="Palatino Linotype"/>
        </w:rPr>
        <w:t>Since the 1970’s, numerous groups of leaders of the legal profession and groups of distinguished lawyers, judges, and academics have studied [American] legal education and have universally concluded that most [United States] law school graduates lack the minimum competencies required to provide effective and responsible legal services.</w:t>
      </w:r>
      <w:r w:rsidR="00EC5A1E" w:rsidRPr="006814C7">
        <w:rPr>
          <w:rStyle w:val="FootnoteReference"/>
          <w:rFonts w:ascii="Palatino Linotype" w:eastAsia="Times New Roman" w:hAnsi="Palatino Linotype"/>
        </w:rPr>
        <w:footnoteReference w:id="34"/>
      </w:r>
      <w:r w:rsidRPr="006814C7">
        <w:rPr>
          <w:rFonts w:ascii="Palatino Linotype" w:eastAsia="Times New Roman" w:hAnsi="Palatino Linotype"/>
        </w:rPr>
        <w:t xml:space="preserve"> </w:t>
      </w:r>
    </w:p>
    <w:p w14:paraId="3C547D4F" w14:textId="77777777" w:rsidR="00DE6C5A" w:rsidRPr="006814C7" w:rsidRDefault="00DE6C5A" w:rsidP="00215C97">
      <w:pPr>
        <w:ind w:left="720" w:right="720"/>
        <w:jc w:val="both"/>
        <w:rPr>
          <w:rFonts w:ascii="Palatino Linotype" w:eastAsia="Times New Roman" w:hAnsi="Palatino Linotype"/>
        </w:rPr>
      </w:pPr>
    </w:p>
    <w:p w14:paraId="10581CC3" w14:textId="530F8468" w:rsidR="00DE6C5A" w:rsidRPr="006814C7" w:rsidRDefault="00DE6C5A" w:rsidP="00215C97">
      <w:pPr>
        <w:spacing w:line="480" w:lineRule="auto"/>
        <w:jc w:val="both"/>
        <w:rPr>
          <w:rFonts w:ascii="Palatino Linotype" w:eastAsia="Times New Roman" w:hAnsi="Palatino Linotype"/>
        </w:rPr>
      </w:pPr>
      <w:r w:rsidRPr="006814C7">
        <w:rPr>
          <w:rFonts w:ascii="Palatino Linotype" w:eastAsia="Times New Roman" w:hAnsi="Palatino Linotype"/>
        </w:rPr>
        <w:t>In addition, a consensus has emerged from these assessments</w:t>
      </w:r>
      <w:r w:rsidR="00EC5A1E" w:rsidRPr="006814C7">
        <w:rPr>
          <w:rFonts w:ascii="Palatino Linotype" w:eastAsia="Times New Roman" w:hAnsi="Palatino Linotype"/>
        </w:rPr>
        <w:t xml:space="preserve"> </w:t>
      </w:r>
      <w:r w:rsidRPr="006814C7">
        <w:rPr>
          <w:rFonts w:ascii="Palatino Linotype" w:eastAsia="Times New Roman" w:hAnsi="Palatino Linotype"/>
        </w:rPr>
        <w:t>that the best way to prepare U</w:t>
      </w:r>
      <w:r w:rsidR="00EC5A1E" w:rsidRPr="006814C7">
        <w:rPr>
          <w:rFonts w:ascii="Palatino Linotype" w:eastAsia="Times New Roman" w:hAnsi="Palatino Linotype"/>
        </w:rPr>
        <w:t>.</w:t>
      </w:r>
      <w:r w:rsidRPr="006814C7">
        <w:rPr>
          <w:rFonts w:ascii="Palatino Linotype" w:eastAsia="Times New Roman" w:hAnsi="Palatino Linotype"/>
        </w:rPr>
        <w:t>S</w:t>
      </w:r>
      <w:r w:rsidR="00EC5A1E" w:rsidRPr="006814C7">
        <w:rPr>
          <w:rFonts w:ascii="Palatino Linotype" w:eastAsia="Times New Roman" w:hAnsi="Palatino Linotype"/>
        </w:rPr>
        <w:t>.</w:t>
      </w:r>
      <w:r w:rsidRPr="006814C7">
        <w:rPr>
          <w:rFonts w:ascii="Palatino Linotype" w:eastAsia="Times New Roman" w:hAnsi="Palatino Linotype"/>
        </w:rPr>
        <w:t xml:space="preserve"> law students for practice is through experiential learning in clinics or field placements.</w:t>
      </w:r>
      <w:r w:rsidR="00EC5A1E" w:rsidRPr="006814C7">
        <w:rPr>
          <w:rStyle w:val="FootnoteReference"/>
          <w:rFonts w:ascii="Palatino Linotype" w:eastAsia="Times New Roman" w:hAnsi="Palatino Linotype"/>
        </w:rPr>
        <w:footnoteReference w:id="35"/>
      </w:r>
      <w:r w:rsidRPr="006814C7">
        <w:rPr>
          <w:rFonts w:ascii="Palatino Linotype" w:eastAsia="Times New Roman" w:hAnsi="Palatino Linotype"/>
        </w:rPr>
        <w:t xml:space="preserve">  Participation in experiential learning has been associated with many </w:t>
      </w:r>
      <w:r w:rsidRPr="006814C7">
        <w:rPr>
          <w:rFonts w:ascii="Palatino Linotype" w:eastAsia="Times New Roman" w:hAnsi="Palatino Linotype"/>
        </w:rPr>
        <w:lastRenderedPageBreak/>
        <w:t>positive educational outcomes</w:t>
      </w:r>
      <w:r w:rsidR="00EC5A1E" w:rsidRPr="006814C7">
        <w:rPr>
          <w:rFonts w:ascii="Palatino Linotype" w:eastAsia="Times New Roman" w:hAnsi="Palatino Linotype"/>
        </w:rPr>
        <w:t>.  For example,</w:t>
      </w:r>
      <w:r w:rsidRPr="006814C7">
        <w:rPr>
          <w:rFonts w:ascii="Palatino Linotype" w:eastAsia="Times New Roman" w:hAnsi="Palatino Linotype"/>
        </w:rPr>
        <w:t xml:space="preserve"> “</w:t>
      </w:r>
      <w:r w:rsidR="00EC5A1E" w:rsidRPr="006814C7">
        <w:rPr>
          <w:rFonts w:ascii="Palatino Linotype" w:eastAsia="Times New Roman" w:hAnsi="Palatino Linotype"/>
        </w:rPr>
        <w:t>[e]</w:t>
      </w:r>
      <w:proofErr w:type="spellStart"/>
      <w:r w:rsidRPr="006814C7">
        <w:rPr>
          <w:rFonts w:ascii="Palatino Linotype" w:eastAsia="Times New Roman" w:hAnsi="Palatino Linotype"/>
        </w:rPr>
        <w:t>xperiential</w:t>
      </w:r>
      <w:proofErr w:type="spellEnd"/>
      <w:r w:rsidRPr="006814C7">
        <w:rPr>
          <w:rFonts w:ascii="Palatino Linotype" w:eastAsia="Times New Roman" w:hAnsi="Palatino Linotype"/>
        </w:rPr>
        <w:t xml:space="preserve"> education gives students opportunities to be actively involved in their own education, and it has positive effects on their motivation, attitudes toward the course, willingness to participate in class, ability to ask insightful questions, and acquisition of knowledge and skills.”</w:t>
      </w:r>
      <w:r w:rsidR="00EC5A1E" w:rsidRPr="006814C7">
        <w:rPr>
          <w:rStyle w:val="FootnoteReference"/>
          <w:rFonts w:ascii="Palatino Linotype" w:eastAsia="Times New Roman" w:hAnsi="Palatino Linotype"/>
        </w:rPr>
        <w:footnoteReference w:id="36"/>
      </w:r>
      <w:r w:rsidRPr="006814C7">
        <w:rPr>
          <w:rFonts w:ascii="Palatino Linotype" w:eastAsia="Times New Roman" w:hAnsi="Palatino Linotype"/>
        </w:rPr>
        <w:t xml:space="preserve">  More importantly, clinical education has been identified as critical to “responsible professional training.”</w:t>
      </w:r>
      <w:r w:rsidR="00EC5A1E" w:rsidRPr="006814C7">
        <w:rPr>
          <w:rStyle w:val="FootnoteReference"/>
          <w:rFonts w:ascii="Palatino Linotype" w:eastAsia="Times New Roman" w:hAnsi="Palatino Linotype"/>
        </w:rPr>
        <w:footnoteReference w:id="37"/>
      </w:r>
      <w:r w:rsidRPr="006814C7">
        <w:rPr>
          <w:rFonts w:ascii="Palatino Linotype" w:eastAsia="Times New Roman" w:hAnsi="Palatino Linotype"/>
        </w:rPr>
        <w:t xml:space="preserve">  As the Carnegie Report </w:t>
      </w:r>
      <w:r w:rsidR="00EC5A1E" w:rsidRPr="006814C7">
        <w:rPr>
          <w:rFonts w:ascii="Palatino Linotype" w:eastAsia="Times New Roman" w:hAnsi="Palatino Linotype"/>
        </w:rPr>
        <w:t>noted</w:t>
      </w:r>
      <w:r w:rsidRPr="006814C7">
        <w:rPr>
          <w:rFonts w:ascii="Palatino Linotype" w:eastAsia="Times New Roman" w:hAnsi="Palatino Linotype"/>
        </w:rPr>
        <w:t>, experiential learning is “the law school’s primary means of teaching students how to connect the abstract thinking formed by legal categories and procedures with fuller human contexts.”</w:t>
      </w:r>
      <w:r w:rsidR="00EC5A1E" w:rsidRPr="006814C7">
        <w:rPr>
          <w:rStyle w:val="FootnoteReference"/>
          <w:rFonts w:ascii="Palatino Linotype" w:eastAsia="Times New Roman" w:hAnsi="Palatino Linotype"/>
        </w:rPr>
        <w:footnoteReference w:id="38"/>
      </w:r>
      <w:r w:rsidRPr="006814C7">
        <w:rPr>
          <w:rFonts w:ascii="Palatino Linotype" w:eastAsia="Times New Roman" w:hAnsi="Palatino Linotype"/>
        </w:rPr>
        <w:t xml:space="preserve"> </w:t>
      </w:r>
    </w:p>
    <w:p w14:paraId="01712CCD" w14:textId="77777777" w:rsidR="009621DD" w:rsidRPr="006814C7" w:rsidRDefault="009621DD" w:rsidP="00215C97">
      <w:pPr>
        <w:spacing w:line="480" w:lineRule="auto"/>
        <w:jc w:val="both"/>
        <w:rPr>
          <w:rFonts w:ascii="Palatino Linotype" w:eastAsia="Times New Roman" w:hAnsi="Palatino Linotype"/>
        </w:rPr>
      </w:pPr>
    </w:p>
    <w:p w14:paraId="1F542F3F" w14:textId="03F24C99" w:rsidR="00DE6C5A" w:rsidRPr="006814C7" w:rsidRDefault="00DE6C5A" w:rsidP="00215C97">
      <w:pPr>
        <w:spacing w:line="480" w:lineRule="auto"/>
        <w:jc w:val="both"/>
        <w:rPr>
          <w:rFonts w:ascii="Palatino Linotype" w:eastAsia="Times New Roman" w:hAnsi="Palatino Linotype"/>
        </w:rPr>
      </w:pPr>
      <w:r w:rsidRPr="006814C7">
        <w:rPr>
          <w:rFonts w:ascii="Palatino Linotype" w:eastAsia="Times New Roman" w:hAnsi="Palatino Linotype"/>
        </w:rPr>
        <w:t>In response to these insights, the American Bar Association—the body responsible for establishing U</w:t>
      </w:r>
      <w:r w:rsidR="004B63A2" w:rsidRPr="006814C7">
        <w:rPr>
          <w:rFonts w:ascii="Palatino Linotype" w:eastAsia="Times New Roman" w:hAnsi="Palatino Linotype"/>
        </w:rPr>
        <w:t>.</w:t>
      </w:r>
      <w:r w:rsidRPr="006814C7">
        <w:rPr>
          <w:rFonts w:ascii="Palatino Linotype" w:eastAsia="Times New Roman" w:hAnsi="Palatino Linotype"/>
        </w:rPr>
        <w:t>S</w:t>
      </w:r>
      <w:r w:rsidR="004B63A2" w:rsidRPr="006814C7">
        <w:rPr>
          <w:rFonts w:ascii="Palatino Linotype" w:eastAsia="Times New Roman" w:hAnsi="Palatino Linotype"/>
        </w:rPr>
        <w:t>.</w:t>
      </w:r>
      <w:r w:rsidRPr="006814C7">
        <w:rPr>
          <w:rFonts w:ascii="Palatino Linotype" w:eastAsia="Times New Roman" w:hAnsi="Palatino Linotype"/>
        </w:rPr>
        <w:t xml:space="preserve"> law school accreditation standards—has recently adopted a requirement that all U</w:t>
      </w:r>
      <w:r w:rsidR="004B63A2" w:rsidRPr="006814C7">
        <w:rPr>
          <w:rFonts w:ascii="Palatino Linotype" w:eastAsia="Times New Roman" w:hAnsi="Palatino Linotype"/>
        </w:rPr>
        <w:t>.</w:t>
      </w:r>
      <w:r w:rsidRPr="006814C7">
        <w:rPr>
          <w:rFonts w:ascii="Palatino Linotype" w:eastAsia="Times New Roman" w:hAnsi="Palatino Linotype"/>
        </w:rPr>
        <w:t>S</w:t>
      </w:r>
      <w:r w:rsidR="004B63A2" w:rsidRPr="006814C7">
        <w:rPr>
          <w:rFonts w:ascii="Palatino Linotype" w:eastAsia="Times New Roman" w:hAnsi="Palatino Linotype"/>
        </w:rPr>
        <w:t>.</w:t>
      </w:r>
      <w:r w:rsidRPr="006814C7">
        <w:rPr>
          <w:rFonts w:ascii="Palatino Linotype" w:eastAsia="Times New Roman" w:hAnsi="Palatino Linotype"/>
        </w:rPr>
        <w:t xml:space="preserve"> law students must receive some experiential learning and that law schools must provide “substantial opportunities” for students to participate in law clinics and field placements.</w:t>
      </w:r>
      <w:r w:rsidR="004B63A2" w:rsidRPr="006814C7">
        <w:rPr>
          <w:rStyle w:val="FootnoteReference"/>
          <w:rFonts w:ascii="Palatino Linotype" w:eastAsia="Times New Roman" w:hAnsi="Palatino Linotype"/>
        </w:rPr>
        <w:footnoteReference w:id="39"/>
      </w:r>
      <w:r w:rsidRPr="006814C7">
        <w:rPr>
          <w:rFonts w:ascii="Palatino Linotype" w:eastAsia="Times New Roman" w:hAnsi="Palatino Linotype"/>
        </w:rPr>
        <w:t xml:space="preserve"> </w:t>
      </w:r>
    </w:p>
    <w:p w14:paraId="70199447" w14:textId="77777777" w:rsidR="009621DD" w:rsidRPr="006814C7" w:rsidRDefault="009621DD" w:rsidP="00215C97">
      <w:pPr>
        <w:spacing w:line="480" w:lineRule="auto"/>
        <w:jc w:val="both"/>
        <w:rPr>
          <w:rFonts w:ascii="Palatino Linotype" w:eastAsia="Times New Roman" w:hAnsi="Palatino Linotype"/>
        </w:rPr>
      </w:pPr>
    </w:p>
    <w:p w14:paraId="7BA54585" w14:textId="359D56D9" w:rsidR="00DE6C5A" w:rsidRPr="006814C7" w:rsidRDefault="00DE6C5A" w:rsidP="00215C97">
      <w:pPr>
        <w:spacing w:line="480" w:lineRule="auto"/>
        <w:jc w:val="both"/>
        <w:rPr>
          <w:rFonts w:ascii="Palatino Linotype" w:eastAsia="Times New Roman" w:hAnsi="Palatino Linotype"/>
        </w:rPr>
      </w:pPr>
      <w:r w:rsidRPr="006814C7">
        <w:rPr>
          <w:rFonts w:ascii="Palatino Linotype" w:eastAsia="Times New Roman" w:hAnsi="Palatino Linotype"/>
        </w:rPr>
        <w:t xml:space="preserve">According to </w:t>
      </w:r>
      <w:r w:rsidR="00FB4A57" w:rsidRPr="006814C7">
        <w:rPr>
          <w:rFonts w:ascii="Palatino Linotype" w:eastAsia="Times New Roman" w:hAnsi="Palatino Linotype"/>
        </w:rPr>
        <w:t xml:space="preserve">the </w:t>
      </w:r>
      <w:r w:rsidRPr="006814C7">
        <w:rPr>
          <w:rFonts w:ascii="Palatino Linotype" w:eastAsia="Times New Roman" w:hAnsi="Palatino Linotype"/>
        </w:rPr>
        <w:t xml:space="preserve">ABA standards, to be considered a field placement or a clinic, a course must satisfy ten requirements.  The field placement course must (1) be “primarily </w:t>
      </w:r>
      <w:r w:rsidRPr="006814C7">
        <w:rPr>
          <w:rFonts w:ascii="Palatino Linotype" w:eastAsia="Times New Roman" w:hAnsi="Palatino Linotype"/>
        </w:rPr>
        <w:lastRenderedPageBreak/>
        <w:t>experiential;” (2) be integrated in teaching legal knowledge, skills, and values; (3) theorize skills instruction; (4) provide “substantial lawyering experience;” (5) provide “multiple opportunities” for student performance; (6) be directly supervised by a faculty member and placement staff attorney; (7) be accompanied by a seminar or tutorial; (8) have formative and summative assessment ; (9) include student self-reflection; and (10) be “sufficient[</w:t>
      </w:r>
      <w:proofErr w:type="spellStart"/>
      <w:r w:rsidRPr="006814C7">
        <w:rPr>
          <w:rFonts w:ascii="Palatino Linotype" w:eastAsia="Times New Roman" w:hAnsi="Palatino Linotype"/>
        </w:rPr>
        <w:t>ly</w:t>
      </w:r>
      <w:proofErr w:type="spellEnd"/>
      <w:r w:rsidRPr="006814C7">
        <w:rPr>
          <w:rFonts w:ascii="Palatino Linotype" w:eastAsia="Times New Roman" w:hAnsi="Palatino Linotype"/>
        </w:rPr>
        <w:t>] control[led]” to ensure quality.</w:t>
      </w:r>
      <w:r w:rsidR="004B63A2" w:rsidRPr="006814C7">
        <w:rPr>
          <w:rStyle w:val="FootnoteReference"/>
          <w:rFonts w:ascii="Palatino Linotype" w:eastAsia="Times New Roman" w:hAnsi="Palatino Linotype"/>
        </w:rPr>
        <w:footnoteReference w:id="40"/>
      </w:r>
      <w:r w:rsidRPr="006814C7">
        <w:rPr>
          <w:rFonts w:ascii="Palatino Linotype" w:eastAsia="Times New Roman" w:hAnsi="Palatino Linotype"/>
        </w:rPr>
        <w:t xml:space="preserve">  </w:t>
      </w:r>
    </w:p>
    <w:p w14:paraId="09F88109" w14:textId="77777777" w:rsidR="009621DD" w:rsidRPr="006814C7" w:rsidRDefault="009621DD" w:rsidP="00215C97">
      <w:pPr>
        <w:spacing w:line="480" w:lineRule="auto"/>
        <w:jc w:val="both"/>
        <w:rPr>
          <w:rFonts w:ascii="Palatino Linotype" w:eastAsia="Times New Roman" w:hAnsi="Palatino Linotype"/>
        </w:rPr>
      </w:pPr>
    </w:p>
    <w:p w14:paraId="0E690405" w14:textId="0C27B83B" w:rsidR="00DE6C5A" w:rsidRPr="006814C7" w:rsidRDefault="00DE6C5A" w:rsidP="00215C97">
      <w:pPr>
        <w:spacing w:line="480" w:lineRule="auto"/>
        <w:jc w:val="both"/>
        <w:rPr>
          <w:rFonts w:ascii="Palatino Linotype" w:eastAsia="Times New Roman" w:hAnsi="Palatino Linotype"/>
        </w:rPr>
      </w:pPr>
      <w:r w:rsidRPr="006814C7">
        <w:rPr>
          <w:rFonts w:ascii="Palatino Linotype" w:eastAsia="Times New Roman" w:hAnsi="Palatino Linotype"/>
        </w:rPr>
        <w:t xml:space="preserve">These requirements serve to distinguish clinical learning from classroom education and to emphasize that clinics </w:t>
      </w:r>
      <w:r w:rsidR="00FB4A57" w:rsidRPr="006814C7">
        <w:rPr>
          <w:rFonts w:ascii="Palatino Linotype" w:eastAsia="Times New Roman" w:hAnsi="Palatino Linotype"/>
        </w:rPr>
        <w:t>and field placements—or externships—</w:t>
      </w:r>
      <w:r w:rsidRPr="006814C7">
        <w:rPr>
          <w:rFonts w:ascii="Palatino Linotype" w:eastAsia="Times New Roman" w:hAnsi="Palatino Linotype"/>
        </w:rPr>
        <w:t xml:space="preserve">engage students in actual law practice under the supervision of a licensed practicing attorney and a faculty member.  Because students are engaged in the actual practice of law, </w:t>
      </w:r>
      <w:r w:rsidR="00FB4A57" w:rsidRPr="006814C7">
        <w:rPr>
          <w:rFonts w:ascii="Palatino Linotype" w:eastAsia="Times New Roman" w:hAnsi="Palatino Linotype"/>
        </w:rPr>
        <w:t>a</w:t>
      </w:r>
      <w:r w:rsidRPr="006814C7">
        <w:rPr>
          <w:rFonts w:ascii="Palatino Linotype" w:eastAsia="Times New Roman" w:hAnsi="Palatino Linotype"/>
        </w:rPr>
        <w:t xml:space="preserve"> clinic</w:t>
      </w:r>
      <w:r w:rsidR="00FB4A57" w:rsidRPr="006814C7">
        <w:rPr>
          <w:rFonts w:ascii="Palatino Linotype" w:eastAsia="Times New Roman" w:hAnsi="Palatino Linotype"/>
        </w:rPr>
        <w:t xml:space="preserve"> or externship</w:t>
      </w:r>
      <w:r w:rsidRPr="006814C7">
        <w:rPr>
          <w:rFonts w:ascii="Palatino Linotype" w:eastAsia="Times New Roman" w:hAnsi="Palatino Linotype"/>
        </w:rPr>
        <w:t xml:space="preserve"> </w:t>
      </w:r>
      <w:r w:rsidR="00FB4A57" w:rsidRPr="006814C7">
        <w:rPr>
          <w:rFonts w:ascii="Palatino Linotype" w:eastAsia="Times New Roman" w:hAnsi="Palatino Linotype"/>
        </w:rPr>
        <w:t>necessarily</w:t>
      </w:r>
      <w:r w:rsidRPr="006814C7">
        <w:rPr>
          <w:rFonts w:ascii="Palatino Linotype" w:eastAsia="Times New Roman" w:hAnsi="Palatino Linotype"/>
        </w:rPr>
        <w:t xml:space="preserve"> integrate</w:t>
      </w:r>
      <w:r w:rsidR="00FB4A57" w:rsidRPr="006814C7">
        <w:rPr>
          <w:rFonts w:ascii="Palatino Linotype" w:eastAsia="Times New Roman" w:hAnsi="Palatino Linotype"/>
        </w:rPr>
        <w:t>s</w:t>
      </w:r>
      <w:r w:rsidRPr="006814C7">
        <w:rPr>
          <w:rFonts w:ascii="Palatino Linotype" w:eastAsia="Times New Roman" w:hAnsi="Palatino Linotype"/>
        </w:rPr>
        <w:t xml:space="preserve"> the teaching of substantive knowledge (legal doctrine), professional skills, and professional </w:t>
      </w:r>
      <w:r w:rsidR="006A49A7" w:rsidRPr="006814C7">
        <w:rPr>
          <w:rFonts w:ascii="Palatino Linotype" w:eastAsia="Times New Roman" w:hAnsi="Palatino Linotype"/>
        </w:rPr>
        <w:t xml:space="preserve">identity, </w:t>
      </w:r>
      <w:r w:rsidRPr="006814C7">
        <w:rPr>
          <w:rFonts w:ascii="Palatino Linotype" w:eastAsia="Times New Roman" w:hAnsi="Palatino Linotype"/>
        </w:rPr>
        <w:t xml:space="preserve">values, </w:t>
      </w:r>
      <w:r w:rsidR="006A49A7" w:rsidRPr="006814C7">
        <w:rPr>
          <w:rFonts w:ascii="Palatino Linotype" w:eastAsia="Times New Roman" w:hAnsi="Palatino Linotype"/>
        </w:rPr>
        <w:t xml:space="preserve">and </w:t>
      </w:r>
      <w:r w:rsidRPr="006814C7">
        <w:rPr>
          <w:rFonts w:ascii="Palatino Linotype" w:eastAsia="Times New Roman" w:hAnsi="Palatino Linotype"/>
        </w:rPr>
        <w:t xml:space="preserve">ethics,.  </w:t>
      </w:r>
      <w:r w:rsidR="006A49A7" w:rsidRPr="006814C7">
        <w:rPr>
          <w:rFonts w:ascii="Palatino Linotype" w:eastAsia="Times New Roman" w:hAnsi="Palatino Linotype"/>
        </w:rPr>
        <w:t>A clinical</w:t>
      </w:r>
      <w:r w:rsidRPr="006814C7">
        <w:rPr>
          <w:rFonts w:ascii="Palatino Linotype" w:eastAsia="Times New Roman" w:hAnsi="Palatino Linotype"/>
        </w:rPr>
        <w:t xml:space="preserve"> course is not just</w:t>
      </w:r>
      <w:r w:rsidR="00027964">
        <w:rPr>
          <w:rFonts w:ascii="Palatino Linotype" w:eastAsia="Times New Roman" w:hAnsi="Palatino Linotype"/>
        </w:rPr>
        <w:t xml:space="preserve"> </w:t>
      </w:r>
      <w:r w:rsidRPr="006814C7">
        <w:rPr>
          <w:rFonts w:ascii="Palatino Linotype" w:eastAsia="Times New Roman" w:hAnsi="Palatino Linotype"/>
        </w:rPr>
        <w:t xml:space="preserve">about the law but </w:t>
      </w:r>
      <w:r w:rsidR="00027964">
        <w:rPr>
          <w:rFonts w:ascii="Palatino Linotype" w:eastAsia="Times New Roman" w:hAnsi="Palatino Linotype"/>
        </w:rPr>
        <w:t>also</w:t>
      </w:r>
      <w:r w:rsidRPr="006814C7">
        <w:rPr>
          <w:rFonts w:ascii="Palatino Linotype" w:eastAsia="Times New Roman" w:hAnsi="Palatino Linotype"/>
        </w:rPr>
        <w:t xml:space="preserve"> about lawyering, in particular, skills and ethics, and how these competencies interrelate in a practitioner’s day-to-day work.</w:t>
      </w:r>
    </w:p>
    <w:p w14:paraId="27CF3B79" w14:textId="77777777" w:rsidR="009621DD" w:rsidRPr="006814C7" w:rsidRDefault="009621DD" w:rsidP="00215C97">
      <w:pPr>
        <w:spacing w:line="480" w:lineRule="auto"/>
        <w:jc w:val="both"/>
        <w:rPr>
          <w:rFonts w:ascii="Palatino Linotype" w:eastAsia="Times New Roman" w:hAnsi="Palatino Linotype"/>
        </w:rPr>
      </w:pPr>
    </w:p>
    <w:p w14:paraId="24961C0F" w14:textId="6634E5F2" w:rsidR="00DE6C5A" w:rsidRPr="006814C7" w:rsidRDefault="00DE6C5A" w:rsidP="00215C97">
      <w:pPr>
        <w:spacing w:line="480" w:lineRule="auto"/>
        <w:jc w:val="both"/>
        <w:rPr>
          <w:rFonts w:ascii="Palatino Linotype" w:eastAsia="Times New Roman" w:hAnsi="Palatino Linotype"/>
        </w:rPr>
      </w:pPr>
      <w:r w:rsidRPr="006814C7">
        <w:rPr>
          <w:rFonts w:ascii="Palatino Linotype" w:eastAsia="Times New Roman" w:hAnsi="Palatino Linotype"/>
        </w:rPr>
        <w:t xml:space="preserve">As </w:t>
      </w:r>
      <w:r w:rsidR="00F464FA" w:rsidRPr="006814C7">
        <w:rPr>
          <w:rFonts w:ascii="Palatino Linotype" w:eastAsia="Times New Roman" w:hAnsi="Palatino Linotype"/>
        </w:rPr>
        <w:t xml:space="preserve">Stuckey </w:t>
      </w:r>
      <w:r w:rsidRPr="006814C7">
        <w:rPr>
          <w:rFonts w:ascii="Palatino Linotype" w:eastAsia="Times New Roman" w:hAnsi="Palatino Linotype"/>
        </w:rPr>
        <w:t xml:space="preserve">noted in Best Practices, the primary value of field placements and clinics is to assist students to “adjust to their roles as professionals, become better legal problem-solvers, develop interpersonal and professional skills, and learn how to learn from </w:t>
      </w:r>
      <w:r w:rsidRPr="006814C7">
        <w:rPr>
          <w:rFonts w:ascii="Palatino Linotype" w:eastAsia="Times New Roman" w:hAnsi="Palatino Linotype"/>
        </w:rPr>
        <w:lastRenderedPageBreak/>
        <w:t>experience.”</w:t>
      </w:r>
      <w:r w:rsidR="00F464FA" w:rsidRPr="006814C7">
        <w:rPr>
          <w:rStyle w:val="FootnoteReference"/>
          <w:rFonts w:ascii="Palatino Linotype" w:eastAsia="Times New Roman" w:hAnsi="Palatino Linotype"/>
        </w:rPr>
        <w:footnoteReference w:id="41"/>
      </w:r>
      <w:r w:rsidRPr="006814C7">
        <w:rPr>
          <w:rFonts w:ascii="Palatino Linotype" w:eastAsia="Times New Roman" w:hAnsi="Palatino Linotype"/>
        </w:rPr>
        <w:t xml:space="preserve">  These are the fundamental competencies needed to successfully practice law.  Clinics and field placements, therefore, help students obtain “minimum competencies required to provide effective and responsible legal services.”</w:t>
      </w:r>
      <w:r w:rsidR="00F464FA" w:rsidRPr="006814C7">
        <w:rPr>
          <w:rStyle w:val="FootnoteReference"/>
          <w:rFonts w:ascii="Palatino Linotype" w:eastAsia="Times New Roman" w:hAnsi="Palatino Linotype"/>
        </w:rPr>
        <w:footnoteReference w:id="42"/>
      </w:r>
    </w:p>
    <w:p w14:paraId="16665CD8" w14:textId="77777777" w:rsidR="00D27C3B" w:rsidRPr="006814C7" w:rsidRDefault="00D27C3B" w:rsidP="00215C97">
      <w:pPr>
        <w:spacing w:line="480" w:lineRule="auto"/>
        <w:jc w:val="both"/>
        <w:rPr>
          <w:rFonts w:ascii="Palatino Linotype" w:eastAsia="Times New Roman" w:hAnsi="Palatino Linotype"/>
        </w:rPr>
      </w:pPr>
    </w:p>
    <w:p w14:paraId="7F4620ED" w14:textId="0648F9C8" w:rsidR="00590E52" w:rsidRPr="006814C7" w:rsidRDefault="00590E52" w:rsidP="00215C97">
      <w:pPr>
        <w:pStyle w:val="ListParagraph"/>
        <w:numPr>
          <w:ilvl w:val="0"/>
          <w:numId w:val="19"/>
        </w:numPr>
        <w:spacing w:line="480" w:lineRule="auto"/>
        <w:jc w:val="both"/>
        <w:rPr>
          <w:rFonts w:ascii="Palatino Linotype" w:eastAsia="Times New Roman" w:hAnsi="Palatino Linotype"/>
          <w:b/>
        </w:rPr>
      </w:pPr>
      <w:r w:rsidRPr="006814C7">
        <w:rPr>
          <w:rFonts w:ascii="Palatino Linotype" w:eastAsia="Times New Roman" w:hAnsi="Palatino Linotype"/>
          <w:b/>
        </w:rPr>
        <w:t xml:space="preserve">Institutional Support  </w:t>
      </w:r>
    </w:p>
    <w:p w14:paraId="407958F2" w14:textId="38E71AB6" w:rsidR="00CA3EF4" w:rsidRPr="006814C7" w:rsidRDefault="00FB7D99" w:rsidP="00215C97">
      <w:pPr>
        <w:pStyle w:val="ListParagraph"/>
        <w:spacing w:line="480" w:lineRule="auto"/>
        <w:ind w:left="0"/>
        <w:jc w:val="both"/>
        <w:rPr>
          <w:rFonts w:ascii="Palatino Linotype" w:hAnsi="Palatino Linotype"/>
        </w:rPr>
      </w:pPr>
      <w:r w:rsidRPr="006814C7">
        <w:rPr>
          <w:rFonts w:ascii="Palatino Linotype" w:eastAsia="Times New Roman" w:hAnsi="Palatino Linotype"/>
        </w:rPr>
        <w:t>Today, first and foremost on the Spanish clinical legal education movement agenda is institutionalization.</w:t>
      </w:r>
      <w:r w:rsidRPr="006814C7">
        <w:rPr>
          <w:rStyle w:val="FootnoteReference"/>
          <w:rFonts w:ascii="Palatino Linotype" w:eastAsia="Times New Roman" w:hAnsi="Palatino Linotype"/>
        </w:rPr>
        <w:footnoteReference w:id="43"/>
      </w:r>
      <w:r w:rsidRPr="006814C7">
        <w:rPr>
          <w:rFonts w:ascii="Palatino Linotype" w:eastAsia="Times New Roman" w:hAnsi="Palatino Linotype"/>
        </w:rPr>
        <w:t xml:space="preserve">  </w:t>
      </w:r>
      <w:r w:rsidR="007752F7" w:rsidRPr="006814C7">
        <w:rPr>
          <w:rFonts w:ascii="Palatino Linotype" w:eastAsia="Times New Roman" w:hAnsi="Palatino Linotype"/>
        </w:rPr>
        <w:t>As our predecessors have found, p</w:t>
      </w:r>
      <w:r w:rsidR="0015343C" w:rsidRPr="006814C7">
        <w:rPr>
          <w:rFonts w:ascii="Palatino Linotype" w:eastAsia="Times New Roman" w:hAnsi="Palatino Linotype"/>
        </w:rPr>
        <w:t xml:space="preserve">ersonal commitment </w:t>
      </w:r>
      <w:r w:rsidR="007752F7" w:rsidRPr="006814C7">
        <w:rPr>
          <w:rFonts w:ascii="Palatino Linotype" w:eastAsia="Times New Roman" w:hAnsi="Palatino Linotype"/>
        </w:rPr>
        <w:t>is not enough to</w:t>
      </w:r>
      <w:r w:rsidR="0015343C" w:rsidRPr="006814C7">
        <w:rPr>
          <w:rFonts w:ascii="Palatino Linotype" w:eastAsia="Times New Roman" w:hAnsi="Palatino Linotype"/>
        </w:rPr>
        <w:t xml:space="preserve"> sustain a program of legal education.</w:t>
      </w:r>
      <w:r w:rsidR="0015343C" w:rsidRPr="006814C7">
        <w:rPr>
          <w:rStyle w:val="FootnoteReference"/>
          <w:rFonts w:ascii="Palatino Linotype" w:eastAsia="Times New Roman" w:hAnsi="Palatino Linotype"/>
        </w:rPr>
        <w:footnoteReference w:id="44"/>
      </w:r>
      <w:r w:rsidR="0015343C" w:rsidRPr="006814C7">
        <w:rPr>
          <w:rFonts w:ascii="Palatino Linotype" w:eastAsia="Times New Roman" w:hAnsi="Palatino Linotype"/>
        </w:rPr>
        <w:t xml:space="preserve">  </w:t>
      </w:r>
      <w:r w:rsidR="007752F7" w:rsidRPr="006814C7">
        <w:rPr>
          <w:rFonts w:ascii="Palatino Linotype" w:hAnsi="Palatino Linotype"/>
        </w:rPr>
        <w:t xml:space="preserve">Maria </w:t>
      </w:r>
      <w:r w:rsidR="0015343C" w:rsidRPr="006814C7">
        <w:rPr>
          <w:rFonts w:ascii="Palatino Linotype" w:hAnsi="Palatino Linotype"/>
        </w:rPr>
        <w:t>Marques-</w:t>
      </w:r>
      <w:proofErr w:type="spellStart"/>
      <w:r w:rsidR="0015343C" w:rsidRPr="006814C7">
        <w:rPr>
          <w:rFonts w:ascii="Palatino Linotype" w:hAnsi="Palatino Linotype"/>
        </w:rPr>
        <w:t>Banque</w:t>
      </w:r>
      <w:proofErr w:type="spellEnd"/>
      <w:r w:rsidR="007752F7" w:rsidRPr="006814C7">
        <w:rPr>
          <w:rFonts w:ascii="Palatino Linotype" w:hAnsi="Palatino Linotype"/>
        </w:rPr>
        <w:t xml:space="preserve"> has</w:t>
      </w:r>
      <w:r w:rsidR="0015343C" w:rsidRPr="006814C7">
        <w:rPr>
          <w:rFonts w:ascii="Palatino Linotype" w:hAnsi="Palatino Linotype"/>
        </w:rPr>
        <w:t xml:space="preserve"> observe</w:t>
      </w:r>
      <w:r w:rsidR="007752F7" w:rsidRPr="006814C7">
        <w:rPr>
          <w:rFonts w:ascii="Palatino Linotype" w:hAnsi="Palatino Linotype"/>
        </w:rPr>
        <w:t>d</w:t>
      </w:r>
      <w:r w:rsidRPr="006814C7">
        <w:rPr>
          <w:rFonts w:ascii="Palatino Linotype" w:hAnsi="Palatino Linotype"/>
        </w:rPr>
        <w:t xml:space="preserve"> that</w:t>
      </w:r>
      <w:r w:rsidR="0015343C" w:rsidRPr="006814C7">
        <w:rPr>
          <w:rFonts w:ascii="Palatino Linotype" w:hAnsi="Palatino Linotype"/>
        </w:rPr>
        <w:t xml:space="preserve"> “</w:t>
      </w:r>
      <w:r w:rsidRPr="006814C7">
        <w:rPr>
          <w:rFonts w:ascii="Palatino Linotype" w:hAnsi="Palatino Linotype"/>
        </w:rPr>
        <w:t>[a]</w:t>
      </w:r>
      <w:r w:rsidR="0015343C" w:rsidRPr="006814C7">
        <w:rPr>
          <w:rFonts w:ascii="Palatino Linotype" w:hAnsi="Palatino Linotype"/>
        </w:rPr>
        <w:t xml:space="preserve">t a time in which law teachers are compelled to focus on research and the resources available are scarce, the creation of legal clinics cannot rely on the initiative of those personally committed to the idea of educating lawyers for social justice.  Again, what is required is an institutional approach to expanding </w:t>
      </w:r>
      <w:r w:rsidR="002A2AE7" w:rsidRPr="006814C7">
        <w:rPr>
          <w:rFonts w:ascii="Palatino Linotype" w:hAnsi="Palatino Linotype"/>
        </w:rPr>
        <w:t>[clinical legal education]</w:t>
      </w:r>
      <w:r w:rsidR="0015343C" w:rsidRPr="006814C7">
        <w:rPr>
          <w:rFonts w:ascii="Palatino Linotype" w:hAnsi="Palatino Linotype"/>
        </w:rPr>
        <w:t>.”</w:t>
      </w:r>
      <w:r w:rsidR="0015343C" w:rsidRPr="006814C7">
        <w:rPr>
          <w:rStyle w:val="FootnoteReference"/>
          <w:rFonts w:ascii="Palatino Linotype" w:hAnsi="Palatino Linotype"/>
        </w:rPr>
        <w:footnoteReference w:id="45"/>
      </w:r>
      <w:r w:rsidR="0015343C" w:rsidRPr="006814C7">
        <w:rPr>
          <w:rFonts w:ascii="Palatino Linotype" w:hAnsi="Palatino Linotype"/>
        </w:rPr>
        <w:t xml:space="preserve">  </w:t>
      </w:r>
    </w:p>
    <w:p w14:paraId="45370198" w14:textId="77777777" w:rsidR="00D27C3B" w:rsidRPr="006814C7" w:rsidRDefault="00D27C3B" w:rsidP="00215C97">
      <w:pPr>
        <w:pStyle w:val="ListParagraph"/>
        <w:spacing w:line="480" w:lineRule="auto"/>
        <w:ind w:left="0"/>
        <w:jc w:val="both"/>
        <w:rPr>
          <w:rFonts w:ascii="Palatino Linotype" w:eastAsia="Times New Roman" w:hAnsi="Palatino Linotype"/>
        </w:rPr>
      </w:pPr>
    </w:p>
    <w:p w14:paraId="6E6334AE" w14:textId="38B78398" w:rsidR="00D65A33" w:rsidRPr="006814C7" w:rsidRDefault="00767493" w:rsidP="00215C97">
      <w:pPr>
        <w:pStyle w:val="ListParagraph"/>
        <w:spacing w:line="480" w:lineRule="auto"/>
        <w:ind w:left="0"/>
        <w:jc w:val="both"/>
        <w:rPr>
          <w:rFonts w:ascii="Palatino Linotype" w:hAnsi="Palatino Linotype"/>
        </w:rPr>
      </w:pPr>
      <w:r w:rsidRPr="006814C7">
        <w:rPr>
          <w:rFonts w:ascii="Palatino Linotype" w:eastAsia="Times New Roman" w:hAnsi="Palatino Linotype"/>
        </w:rPr>
        <w:t>Institutionalization has at least f</w:t>
      </w:r>
      <w:r w:rsidR="00A20FB8" w:rsidRPr="006814C7">
        <w:rPr>
          <w:rFonts w:ascii="Palatino Linotype" w:eastAsia="Times New Roman" w:hAnsi="Palatino Linotype"/>
        </w:rPr>
        <w:t>ive</w:t>
      </w:r>
      <w:r w:rsidRPr="006814C7">
        <w:rPr>
          <w:rFonts w:ascii="Palatino Linotype" w:eastAsia="Times New Roman" w:hAnsi="Palatino Linotype"/>
        </w:rPr>
        <w:t xml:space="preserve"> pillars.  First, As</w:t>
      </w:r>
      <w:r w:rsidR="00EF2057" w:rsidRPr="006814C7">
        <w:rPr>
          <w:rFonts w:ascii="Palatino Linotype" w:eastAsia="Times New Roman" w:hAnsi="Palatino Linotype"/>
        </w:rPr>
        <w:t xml:space="preserve"> </w:t>
      </w:r>
      <w:r w:rsidR="0015343C" w:rsidRPr="006814C7">
        <w:rPr>
          <w:rFonts w:ascii="Palatino Linotype" w:eastAsia="Times New Roman" w:hAnsi="Palatino Linotype"/>
        </w:rPr>
        <w:t>Marques-</w:t>
      </w:r>
      <w:proofErr w:type="spellStart"/>
      <w:r w:rsidR="0015343C" w:rsidRPr="006814C7">
        <w:rPr>
          <w:rFonts w:ascii="Palatino Linotype" w:eastAsia="Times New Roman" w:hAnsi="Palatino Linotype"/>
        </w:rPr>
        <w:t>Banque</w:t>
      </w:r>
      <w:proofErr w:type="spellEnd"/>
      <w:r w:rsidR="0015343C" w:rsidRPr="006814C7">
        <w:rPr>
          <w:rFonts w:ascii="Palatino Linotype" w:eastAsia="Times New Roman" w:hAnsi="Palatino Linotype"/>
        </w:rPr>
        <w:t xml:space="preserve"> and others suggest</w:t>
      </w:r>
      <w:r w:rsidRPr="006814C7">
        <w:rPr>
          <w:rFonts w:ascii="Palatino Linotype" w:eastAsia="Times New Roman" w:hAnsi="Palatino Linotype"/>
        </w:rPr>
        <w:t>,</w:t>
      </w:r>
      <w:r w:rsidR="0015343C" w:rsidRPr="006814C7">
        <w:rPr>
          <w:rFonts w:ascii="Palatino Linotype" w:eastAsia="Times New Roman" w:hAnsi="Palatino Linotype"/>
        </w:rPr>
        <w:t xml:space="preserve"> second-wave Spanish clinicians </w:t>
      </w:r>
      <w:r w:rsidRPr="006814C7">
        <w:rPr>
          <w:rFonts w:ascii="Palatino Linotype" w:eastAsia="Times New Roman" w:hAnsi="Palatino Linotype"/>
        </w:rPr>
        <w:t xml:space="preserve">should </w:t>
      </w:r>
      <w:r w:rsidR="0015343C" w:rsidRPr="006814C7">
        <w:rPr>
          <w:rFonts w:ascii="Palatino Linotype" w:eastAsia="Times New Roman" w:hAnsi="Palatino Linotype"/>
        </w:rPr>
        <w:t>tie their projects to their institutions’ missions</w:t>
      </w:r>
      <w:r w:rsidR="00EF2057" w:rsidRPr="006814C7">
        <w:rPr>
          <w:rFonts w:ascii="Palatino Linotype" w:eastAsia="Times New Roman" w:hAnsi="Palatino Linotype"/>
        </w:rPr>
        <w:t xml:space="preserve">: </w:t>
      </w:r>
      <w:r w:rsidR="00590E52" w:rsidRPr="006814C7">
        <w:rPr>
          <w:rFonts w:ascii="Palatino Linotype" w:eastAsia="Times New Roman" w:hAnsi="Palatino Linotype"/>
        </w:rPr>
        <w:t xml:space="preserve">How does clinical legal education fit into </w:t>
      </w:r>
      <w:r w:rsidR="00EF2057" w:rsidRPr="006814C7">
        <w:rPr>
          <w:rFonts w:ascii="Palatino Linotype" w:eastAsia="Times New Roman" w:hAnsi="Palatino Linotype"/>
        </w:rPr>
        <w:t>a</w:t>
      </w:r>
      <w:r w:rsidR="00590E52" w:rsidRPr="006814C7">
        <w:rPr>
          <w:rFonts w:ascii="Palatino Linotype" w:eastAsia="Times New Roman" w:hAnsi="Palatino Linotype"/>
        </w:rPr>
        <w:t xml:space="preserve"> school’s and University’s strategic plan and social responsibility mission</w:t>
      </w:r>
      <w:r w:rsidR="00C96580" w:rsidRPr="006814C7">
        <w:rPr>
          <w:rFonts w:ascii="Palatino Linotype" w:eastAsia="Times New Roman" w:hAnsi="Palatino Linotype"/>
        </w:rPr>
        <w:t>?</w:t>
      </w:r>
      <w:r w:rsidR="00590E52" w:rsidRPr="006814C7">
        <w:rPr>
          <w:rFonts w:ascii="Palatino Linotype" w:eastAsia="Times New Roman" w:hAnsi="Palatino Linotype"/>
        </w:rPr>
        <w:t xml:space="preserve">  The Bologna Process provided the impetus for this second </w:t>
      </w:r>
      <w:r w:rsidR="00590E52" w:rsidRPr="006814C7">
        <w:rPr>
          <w:rFonts w:ascii="Palatino Linotype" w:eastAsia="Times New Roman" w:hAnsi="Palatino Linotype"/>
        </w:rPr>
        <w:lastRenderedPageBreak/>
        <w:t>clinical wave.</w:t>
      </w:r>
      <w:r w:rsidR="00D13E9E" w:rsidRPr="006814C7">
        <w:rPr>
          <w:rStyle w:val="FootnoteReference"/>
          <w:rFonts w:ascii="Palatino Linotype" w:eastAsia="Times New Roman" w:hAnsi="Palatino Linotype"/>
        </w:rPr>
        <w:footnoteReference w:id="46"/>
      </w:r>
      <w:r w:rsidR="00590E52" w:rsidRPr="006814C7">
        <w:rPr>
          <w:rFonts w:ascii="Palatino Linotype" w:eastAsia="Times New Roman" w:hAnsi="Palatino Linotype"/>
        </w:rPr>
        <w:t xml:space="preserve">  How do we follow through with this agenda?</w:t>
      </w:r>
      <w:r w:rsidRPr="006814C7">
        <w:rPr>
          <w:rFonts w:ascii="Palatino Linotype" w:eastAsia="Times New Roman" w:hAnsi="Palatino Linotype"/>
        </w:rPr>
        <w:t xml:space="preserve">  Second, </w:t>
      </w:r>
      <w:r w:rsidR="00D13E9E" w:rsidRPr="006814C7">
        <w:rPr>
          <w:rFonts w:ascii="Palatino Linotype" w:eastAsia="Times New Roman" w:hAnsi="Palatino Linotype"/>
        </w:rPr>
        <w:t>faculty interest and support</w:t>
      </w:r>
      <w:r w:rsidRPr="006814C7">
        <w:rPr>
          <w:rFonts w:ascii="Palatino Linotype" w:eastAsia="Times New Roman" w:hAnsi="Palatino Linotype"/>
        </w:rPr>
        <w:t xml:space="preserve"> are key</w:t>
      </w:r>
      <w:r w:rsidR="00944148" w:rsidRPr="006814C7">
        <w:rPr>
          <w:rFonts w:ascii="Palatino Linotype" w:eastAsia="Times New Roman" w:hAnsi="Palatino Linotype"/>
        </w:rPr>
        <w:t>; without them, any program is doomed to failure.  Third, support</w:t>
      </w:r>
      <w:r w:rsidR="0071623A" w:rsidRPr="006814C7">
        <w:rPr>
          <w:rFonts w:ascii="Palatino Linotype" w:eastAsia="Times New Roman" w:hAnsi="Palatino Linotype"/>
        </w:rPr>
        <w:t xml:space="preserve"> from bar associations</w:t>
      </w:r>
      <w:r w:rsidR="00944148" w:rsidRPr="006814C7">
        <w:rPr>
          <w:rFonts w:ascii="Palatino Linotype" w:eastAsia="Times New Roman" w:hAnsi="Palatino Linotype"/>
        </w:rPr>
        <w:t xml:space="preserve">—as well as </w:t>
      </w:r>
      <w:r w:rsidR="0071623A" w:rsidRPr="006814C7">
        <w:rPr>
          <w:rFonts w:ascii="Palatino Linotype" w:eastAsia="Times New Roman" w:hAnsi="Palatino Linotype"/>
        </w:rPr>
        <w:t>from</w:t>
      </w:r>
      <w:r w:rsidR="00944148" w:rsidRPr="006814C7">
        <w:rPr>
          <w:rFonts w:ascii="Palatino Linotype" w:eastAsia="Times New Roman" w:hAnsi="Palatino Linotype"/>
        </w:rPr>
        <w:t xml:space="preserve"> intermediary organizations—</w:t>
      </w:r>
      <w:r w:rsidR="0071623A" w:rsidRPr="006814C7">
        <w:rPr>
          <w:rFonts w:ascii="Palatino Linotype" w:eastAsia="Times New Roman" w:hAnsi="Palatino Linotype"/>
        </w:rPr>
        <w:t>is</w:t>
      </w:r>
      <w:r w:rsidR="00944148" w:rsidRPr="006814C7">
        <w:rPr>
          <w:rFonts w:ascii="Palatino Linotype" w:eastAsia="Times New Roman" w:hAnsi="Palatino Linotype"/>
        </w:rPr>
        <w:t xml:space="preserve"> also key</w:t>
      </w:r>
      <w:r w:rsidR="00851114" w:rsidRPr="006814C7">
        <w:rPr>
          <w:rFonts w:ascii="Palatino Linotype" w:eastAsia="Times New Roman" w:hAnsi="Palatino Linotype"/>
        </w:rPr>
        <w:t>, hence the Network’s current effort on executing and implementing a framework agreement</w:t>
      </w:r>
      <w:r w:rsidR="00944148" w:rsidRPr="006814C7">
        <w:rPr>
          <w:rFonts w:ascii="Palatino Linotype" w:eastAsia="Times New Roman" w:hAnsi="Palatino Linotype"/>
        </w:rPr>
        <w:t>.</w:t>
      </w:r>
      <w:r w:rsidR="00875F77" w:rsidRPr="006814C7">
        <w:rPr>
          <w:rFonts w:ascii="Palatino Linotype" w:eastAsia="Times New Roman" w:hAnsi="Palatino Linotype"/>
        </w:rPr>
        <w:t xml:space="preserve">  The bar needs to be assured that clinics are not a market threat but rather </w:t>
      </w:r>
      <w:r w:rsidR="00A20FB8" w:rsidRPr="006814C7">
        <w:rPr>
          <w:rFonts w:ascii="Palatino Linotype" w:eastAsia="Times New Roman" w:hAnsi="Palatino Linotype"/>
        </w:rPr>
        <w:t>are</w:t>
      </w:r>
      <w:r w:rsidR="00875F77" w:rsidRPr="006814C7">
        <w:rPr>
          <w:rFonts w:ascii="Palatino Linotype" w:eastAsia="Times New Roman" w:hAnsi="Palatino Linotype"/>
        </w:rPr>
        <w:t xml:space="preserve"> a means of supplementing </w:t>
      </w:r>
      <w:r w:rsidR="00011E4D" w:rsidRPr="006814C7">
        <w:rPr>
          <w:rFonts w:ascii="Palatino Linotype" w:eastAsia="Times New Roman" w:hAnsi="Palatino Linotype"/>
        </w:rPr>
        <w:t>services</w:t>
      </w:r>
      <w:r w:rsidR="00C563E0" w:rsidRPr="006814C7">
        <w:rPr>
          <w:rFonts w:ascii="Palatino Linotype" w:eastAsia="Times New Roman" w:hAnsi="Palatino Linotype"/>
        </w:rPr>
        <w:t xml:space="preserve">, promoting </w:t>
      </w:r>
      <w:r w:rsidR="00C563E0" w:rsidRPr="006814C7">
        <w:rPr>
          <w:rFonts w:ascii="Palatino Linotype" w:eastAsia="Times New Roman" w:hAnsi="Palatino Linotype"/>
          <w:i/>
        </w:rPr>
        <w:t xml:space="preserve">pro bono </w:t>
      </w:r>
      <w:proofErr w:type="spellStart"/>
      <w:r w:rsidR="00C563E0" w:rsidRPr="006814C7">
        <w:rPr>
          <w:rFonts w:ascii="Palatino Linotype" w:eastAsia="Times New Roman" w:hAnsi="Palatino Linotype"/>
          <w:i/>
        </w:rPr>
        <w:t>publico</w:t>
      </w:r>
      <w:proofErr w:type="spellEnd"/>
      <w:r w:rsidR="00C563E0" w:rsidRPr="006814C7">
        <w:rPr>
          <w:rFonts w:ascii="Palatino Linotype" w:eastAsia="Times New Roman" w:hAnsi="Palatino Linotype"/>
          <w:i/>
        </w:rPr>
        <w:t xml:space="preserve"> </w:t>
      </w:r>
      <w:r w:rsidR="00C563E0" w:rsidRPr="006814C7">
        <w:rPr>
          <w:rFonts w:ascii="Palatino Linotype" w:eastAsia="Times New Roman" w:hAnsi="Palatino Linotype"/>
        </w:rPr>
        <w:t>service,</w:t>
      </w:r>
      <w:r w:rsidR="00011E4D" w:rsidRPr="006814C7">
        <w:rPr>
          <w:rFonts w:ascii="Palatino Linotype" w:eastAsia="Times New Roman" w:hAnsi="Palatino Linotype"/>
        </w:rPr>
        <w:t xml:space="preserve"> and ensuring graduates better able to practice.</w:t>
      </w:r>
      <w:r w:rsidR="00F70C50" w:rsidRPr="006814C7">
        <w:rPr>
          <w:rFonts w:ascii="Palatino Linotype" w:eastAsia="Times New Roman" w:hAnsi="Palatino Linotype"/>
        </w:rPr>
        <w:t xml:space="preserve">  Fourth,</w:t>
      </w:r>
      <w:r w:rsidR="00A20FB8" w:rsidRPr="006814C7">
        <w:rPr>
          <w:rFonts w:ascii="Palatino Linotype" w:eastAsia="Times New Roman" w:hAnsi="Palatino Linotype"/>
        </w:rPr>
        <w:t xml:space="preserve"> these self-same lawyers and organizations are sources of both external clinic placements and co-instructors. </w:t>
      </w:r>
      <w:r w:rsidR="00F70C50" w:rsidRPr="006814C7">
        <w:rPr>
          <w:rFonts w:ascii="Palatino Linotype" w:eastAsia="Times New Roman" w:hAnsi="Palatino Linotype"/>
        </w:rPr>
        <w:t xml:space="preserve"> </w:t>
      </w:r>
      <w:r w:rsidR="00363B4A" w:rsidRPr="006814C7">
        <w:rPr>
          <w:rFonts w:ascii="Palatino Linotype" w:eastAsia="Times New Roman" w:hAnsi="Palatino Linotype"/>
        </w:rPr>
        <w:t>As externship clinicians long have found, broad and deep relationships with lawyers and offices in the community are mutually beneficial: they enrich students’ education</w:t>
      </w:r>
      <w:r w:rsidR="00920B97" w:rsidRPr="006814C7">
        <w:rPr>
          <w:rFonts w:ascii="Palatino Linotype" w:eastAsia="Times New Roman" w:hAnsi="Palatino Linotype"/>
        </w:rPr>
        <w:t>,</w:t>
      </w:r>
      <w:r w:rsidR="00363B4A" w:rsidRPr="006814C7">
        <w:rPr>
          <w:rFonts w:ascii="Palatino Linotype" w:eastAsia="Times New Roman" w:hAnsi="Palatino Linotype"/>
        </w:rPr>
        <w:t xml:space="preserve"> address gaps in legal assistance</w:t>
      </w:r>
      <w:r w:rsidR="00920B97" w:rsidRPr="006814C7">
        <w:rPr>
          <w:rFonts w:ascii="Palatino Linotype" w:eastAsia="Times New Roman" w:hAnsi="Palatino Linotype"/>
        </w:rPr>
        <w:t>, and forge a closer relationship between law schools and the bar</w:t>
      </w:r>
      <w:r w:rsidR="00363B4A" w:rsidRPr="006814C7">
        <w:rPr>
          <w:rFonts w:ascii="Palatino Linotype" w:eastAsia="Times New Roman" w:hAnsi="Palatino Linotype"/>
        </w:rPr>
        <w:t xml:space="preserve">.  Fifth and finally, </w:t>
      </w:r>
      <w:r w:rsidR="00F70C50" w:rsidRPr="006814C7">
        <w:rPr>
          <w:rFonts w:ascii="Palatino Linotype" w:eastAsia="Times New Roman" w:hAnsi="Palatino Linotype"/>
        </w:rPr>
        <w:t>the services provided</w:t>
      </w:r>
      <w:r w:rsidR="0060298E" w:rsidRPr="006814C7">
        <w:rPr>
          <w:rFonts w:ascii="Palatino Linotype" w:eastAsia="Times New Roman" w:hAnsi="Palatino Linotype"/>
        </w:rPr>
        <w:t xml:space="preserve"> by the clinic</w:t>
      </w:r>
      <w:r w:rsidR="00F70C50" w:rsidRPr="006814C7">
        <w:rPr>
          <w:rFonts w:ascii="Palatino Linotype" w:eastAsia="Times New Roman" w:hAnsi="Palatino Linotype"/>
        </w:rPr>
        <w:t xml:space="preserve"> ought to be </w:t>
      </w:r>
      <w:r w:rsidR="00D65A33" w:rsidRPr="006814C7">
        <w:rPr>
          <w:rFonts w:ascii="Palatino Linotype" w:hAnsi="Palatino Linotype"/>
        </w:rPr>
        <w:t>based on community need</w:t>
      </w:r>
      <w:r w:rsidR="00F70C50" w:rsidRPr="006814C7">
        <w:rPr>
          <w:rFonts w:ascii="Palatino Linotype" w:hAnsi="Palatino Linotype"/>
        </w:rPr>
        <w:t>.</w:t>
      </w:r>
      <w:r w:rsidR="004577F6" w:rsidRPr="006814C7">
        <w:rPr>
          <w:rFonts w:ascii="Palatino Linotype" w:hAnsi="Palatino Linotype"/>
        </w:rPr>
        <w:t xml:space="preserve">  Addressing community need reinforces all the other pillars of institutionalization: it discharges the school’s and university’s social responsibility mission, </w:t>
      </w:r>
      <w:r w:rsidR="00E35323" w:rsidRPr="006814C7">
        <w:rPr>
          <w:rFonts w:ascii="Palatino Linotype" w:hAnsi="Palatino Linotype"/>
        </w:rPr>
        <w:t xml:space="preserve">orients faculty to important social issues, </w:t>
      </w:r>
      <w:r w:rsidR="004577F6" w:rsidRPr="006814C7">
        <w:rPr>
          <w:rFonts w:ascii="Palatino Linotype" w:hAnsi="Palatino Linotype"/>
        </w:rPr>
        <w:t xml:space="preserve">serves those marginalized by the legal market, </w:t>
      </w:r>
      <w:r w:rsidR="00E35323" w:rsidRPr="006814C7">
        <w:rPr>
          <w:rFonts w:ascii="Palatino Linotype" w:hAnsi="Palatino Linotype"/>
        </w:rPr>
        <w:t xml:space="preserve">and fuses the university with </w:t>
      </w:r>
      <w:r w:rsidR="00710737" w:rsidRPr="006814C7">
        <w:rPr>
          <w:rFonts w:ascii="Palatino Linotype" w:hAnsi="Palatino Linotype"/>
        </w:rPr>
        <w:t>the broader</w:t>
      </w:r>
      <w:r w:rsidR="00E35323" w:rsidRPr="006814C7">
        <w:rPr>
          <w:rFonts w:ascii="Palatino Linotype" w:hAnsi="Palatino Linotype"/>
        </w:rPr>
        <w:t xml:space="preserve"> community.</w:t>
      </w:r>
    </w:p>
    <w:p w14:paraId="73401FDA" w14:textId="0077A22C" w:rsidR="00D27C3B" w:rsidRDefault="00D27C3B" w:rsidP="00215C97">
      <w:pPr>
        <w:pStyle w:val="ListParagraph"/>
        <w:spacing w:line="480" w:lineRule="auto"/>
        <w:ind w:left="0"/>
        <w:jc w:val="both"/>
        <w:rPr>
          <w:rFonts w:ascii="Palatino Linotype" w:eastAsia="Times New Roman" w:hAnsi="Palatino Linotype"/>
        </w:rPr>
      </w:pPr>
    </w:p>
    <w:p w14:paraId="08952311" w14:textId="77777777" w:rsidR="00C00BAB" w:rsidRPr="006814C7" w:rsidRDefault="00C00BAB" w:rsidP="00215C97">
      <w:pPr>
        <w:pStyle w:val="ListParagraph"/>
        <w:spacing w:line="480" w:lineRule="auto"/>
        <w:ind w:left="0"/>
        <w:jc w:val="both"/>
        <w:rPr>
          <w:rFonts w:ascii="Palatino Linotype" w:eastAsia="Times New Roman" w:hAnsi="Palatino Linotype"/>
        </w:rPr>
      </w:pPr>
    </w:p>
    <w:p w14:paraId="0C435D04" w14:textId="6DCB1276" w:rsidR="00D961C7" w:rsidRPr="006814C7" w:rsidRDefault="00A20FB8" w:rsidP="00215C97">
      <w:pPr>
        <w:pStyle w:val="ListParagraph"/>
        <w:numPr>
          <w:ilvl w:val="0"/>
          <w:numId w:val="14"/>
        </w:numPr>
        <w:spacing w:line="480" w:lineRule="auto"/>
        <w:ind w:left="720" w:hanging="360"/>
        <w:jc w:val="both"/>
        <w:rPr>
          <w:rFonts w:ascii="Palatino Linotype" w:hAnsi="Palatino Linotype"/>
          <w:b/>
          <w:lang w:val="es-ES"/>
        </w:rPr>
      </w:pPr>
      <w:r w:rsidRPr="006814C7">
        <w:rPr>
          <w:rFonts w:ascii="Palatino Linotype" w:eastAsia="Times New Roman" w:hAnsi="Palatino Linotype"/>
        </w:rPr>
        <w:lastRenderedPageBreak/>
        <w:t xml:space="preserve"> </w:t>
      </w:r>
      <w:r w:rsidR="00FB5C56" w:rsidRPr="006814C7">
        <w:rPr>
          <w:rFonts w:ascii="Palatino Linotype" w:eastAsia="Times New Roman" w:hAnsi="Palatino Linotype"/>
          <w:b/>
          <w:lang w:val="es-ES"/>
        </w:rPr>
        <w:t>‘Proceso Administrativo’</w:t>
      </w:r>
      <w:r w:rsidR="008313A9" w:rsidRPr="006814C7">
        <w:rPr>
          <w:rFonts w:ascii="Palatino Linotype" w:eastAsia="Times New Roman" w:hAnsi="Palatino Linotype"/>
          <w:b/>
          <w:lang w:val="es-ES"/>
        </w:rPr>
        <w:t xml:space="preserve"> at Universidad de Granada</w:t>
      </w:r>
    </w:p>
    <w:p w14:paraId="0F88DA13" w14:textId="77777777" w:rsidR="00C00BAB" w:rsidRDefault="00C00BAB" w:rsidP="00215C97">
      <w:pPr>
        <w:spacing w:line="480" w:lineRule="auto"/>
        <w:jc w:val="both"/>
        <w:rPr>
          <w:rFonts w:ascii="Palatino Linotype" w:hAnsi="Palatino Linotype"/>
        </w:rPr>
      </w:pPr>
    </w:p>
    <w:p w14:paraId="0F540872" w14:textId="59EA609A" w:rsidR="00D961C7" w:rsidRPr="006814C7" w:rsidRDefault="008313A9" w:rsidP="00215C97">
      <w:pPr>
        <w:spacing w:line="480" w:lineRule="auto"/>
        <w:jc w:val="both"/>
        <w:rPr>
          <w:rFonts w:ascii="Palatino Linotype" w:hAnsi="Palatino Linotype"/>
        </w:rPr>
      </w:pPr>
      <w:r w:rsidRPr="006814C7">
        <w:rPr>
          <w:rFonts w:ascii="Palatino Linotype" w:hAnsi="Palatino Linotype"/>
        </w:rPr>
        <w:t>Again, as others have observed, “</w:t>
      </w:r>
      <w:r w:rsidR="00D961C7" w:rsidRPr="006814C7">
        <w:rPr>
          <w:rFonts w:ascii="Palatino Linotype" w:hAnsi="Palatino Linotype"/>
        </w:rPr>
        <w:t>European lawyering is undergoing</w:t>
      </w:r>
      <w:r w:rsidR="00CA3A46" w:rsidRPr="006814C7">
        <w:rPr>
          <w:rFonts w:ascii="Palatino Linotype" w:hAnsi="Palatino Linotype"/>
        </w:rPr>
        <w:t xml:space="preserve"> </w:t>
      </w:r>
      <w:r w:rsidR="00D961C7" w:rsidRPr="006814C7">
        <w:rPr>
          <w:rFonts w:ascii="Palatino Linotype" w:hAnsi="Palatino Linotype"/>
        </w:rPr>
        <w:t>internationalization</w:t>
      </w:r>
      <w:r w:rsidR="00CA3A46" w:rsidRPr="006814C7">
        <w:rPr>
          <w:rFonts w:ascii="Palatino Linotype" w:hAnsi="Palatino Linotype"/>
        </w:rPr>
        <w:t xml:space="preserve"> </w:t>
      </w:r>
      <w:r w:rsidR="00D961C7" w:rsidRPr="006814C7">
        <w:rPr>
          <w:rFonts w:ascii="Palatino Linotype" w:hAnsi="Palatino Linotype"/>
        </w:rPr>
        <w:t>… yet the progressive internationalization of law has not been followed up by a parallel internationalization of legal education.</w:t>
      </w:r>
      <w:r w:rsidRPr="006814C7">
        <w:rPr>
          <w:rFonts w:ascii="Palatino Linotype" w:hAnsi="Palatino Linotype"/>
        </w:rPr>
        <w:t>”</w:t>
      </w:r>
      <w:r w:rsidRPr="006814C7">
        <w:rPr>
          <w:rStyle w:val="FootnoteReference"/>
          <w:rFonts w:ascii="Palatino Linotype" w:hAnsi="Palatino Linotype"/>
        </w:rPr>
        <w:footnoteReference w:id="47"/>
      </w:r>
      <w:r w:rsidR="00D961C7" w:rsidRPr="006814C7">
        <w:rPr>
          <w:rFonts w:ascii="Palatino Linotype" w:hAnsi="Palatino Linotype"/>
        </w:rPr>
        <w:t xml:space="preserve"> </w:t>
      </w:r>
      <w:r w:rsidRPr="006814C7">
        <w:rPr>
          <w:rFonts w:ascii="Palatino Linotype" w:hAnsi="Palatino Linotype"/>
        </w:rPr>
        <w:t xml:space="preserve"> </w:t>
      </w:r>
      <w:r w:rsidR="00D961C7" w:rsidRPr="006814C7">
        <w:rPr>
          <w:rFonts w:ascii="Palatino Linotype" w:hAnsi="Palatino Linotype"/>
        </w:rPr>
        <w:t>Aware of th</w:t>
      </w:r>
      <w:r w:rsidRPr="006814C7">
        <w:rPr>
          <w:rFonts w:ascii="Palatino Linotype" w:hAnsi="Palatino Linotype"/>
        </w:rPr>
        <w:t>is</w:t>
      </w:r>
      <w:r w:rsidR="00D961C7" w:rsidRPr="006814C7">
        <w:rPr>
          <w:rFonts w:ascii="Palatino Linotype" w:hAnsi="Palatino Linotype"/>
        </w:rPr>
        <w:t xml:space="preserve"> deficien</w:t>
      </w:r>
      <w:r w:rsidRPr="006814C7">
        <w:rPr>
          <w:rFonts w:ascii="Palatino Linotype" w:hAnsi="Palatino Linotype"/>
        </w:rPr>
        <w:t>cy</w:t>
      </w:r>
      <w:r w:rsidR="00D961C7" w:rsidRPr="006814C7">
        <w:rPr>
          <w:rFonts w:ascii="Palatino Linotype" w:hAnsi="Palatino Linotype"/>
        </w:rPr>
        <w:t xml:space="preserve"> </w:t>
      </w:r>
      <w:r w:rsidRPr="006814C7">
        <w:rPr>
          <w:rFonts w:ascii="Palatino Linotype" w:hAnsi="Palatino Linotype"/>
        </w:rPr>
        <w:t>at</w:t>
      </w:r>
      <w:r w:rsidR="00D961C7" w:rsidRPr="006814C7">
        <w:rPr>
          <w:rFonts w:ascii="Palatino Linotype" w:hAnsi="Palatino Linotype"/>
        </w:rPr>
        <w:t xml:space="preserve"> the University of Granada, the dean asked a few years ago for faculty</w:t>
      </w:r>
      <w:r w:rsidRPr="006814C7">
        <w:rPr>
          <w:rFonts w:ascii="Palatino Linotype" w:hAnsi="Palatino Linotype"/>
        </w:rPr>
        <w:t xml:space="preserve"> to collaborate</w:t>
      </w:r>
      <w:r w:rsidR="00D961C7" w:rsidRPr="006814C7">
        <w:rPr>
          <w:rFonts w:ascii="Palatino Linotype" w:hAnsi="Palatino Linotype"/>
        </w:rPr>
        <w:t xml:space="preserve"> </w:t>
      </w:r>
      <w:r w:rsidRPr="006814C7">
        <w:rPr>
          <w:rFonts w:ascii="Palatino Linotype" w:hAnsi="Palatino Linotype"/>
        </w:rPr>
        <w:t>on</w:t>
      </w:r>
      <w:r w:rsidR="00D961C7" w:rsidRPr="006814C7">
        <w:rPr>
          <w:rFonts w:ascii="Palatino Linotype" w:hAnsi="Palatino Linotype"/>
        </w:rPr>
        <w:t xml:space="preserve"> introduc</w:t>
      </w:r>
      <w:r w:rsidRPr="006814C7">
        <w:rPr>
          <w:rFonts w:ascii="Palatino Linotype" w:hAnsi="Palatino Linotype"/>
        </w:rPr>
        <w:t>ing</w:t>
      </w:r>
      <w:r w:rsidR="00D961C7" w:rsidRPr="006814C7">
        <w:rPr>
          <w:rFonts w:ascii="Palatino Linotype" w:hAnsi="Palatino Linotype"/>
        </w:rPr>
        <w:t xml:space="preserve"> English as the working language in a number of courses. </w:t>
      </w:r>
      <w:r w:rsidR="0008676E" w:rsidRPr="006814C7">
        <w:rPr>
          <w:rFonts w:ascii="Palatino Linotype" w:hAnsi="Palatino Linotype"/>
        </w:rPr>
        <w:t xml:space="preserve"> </w:t>
      </w:r>
      <w:r w:rsidR="00D961C7" w:rsidRPr="006814C7">
        <w:rPr>
          <w:rFonts w:ascii="Palatino Linotype" w:hAnsi="Palatino Linotype"/>
        </w:rPr>
        <w:t xml:space="preserve">As a member of the dean’s team at that time, and vice-dean for international relations, </w:t>
      </w:r>
      <w:r w:rsidR="0008676E" w:rsidRPr="006814C7">
        <w:rPr>
          <w:rFonts w:ascii="Palatino Linotype" w:hAnsi="Palatino Linotype"/>
        </w:rPr>
        <w:t xml:space="preserve">Professor Lopez </w:t>
      </w:r>
      <w:proofErr w:type="spellStart"/>
      <w:r w:rsidR="0008676E" w:rsidRPr="006814C7">
        <w:rPr>
          <w:rFonts w:ascii="Palatino Linotype" w:hAnsi="Palatino Linotype"/>
        </w:rPr>
        <w:t>Sako</w:t>
      </w:r>
      <w:proofErr w:type="spellEnd"/>
      <w:r w:rsidR="00D961C7" w:rsidRPr="006814C7">
        <w:rPr>
          <w:rFonts w:ascii="Palatino Linotype" w:hAnsi="Palatino Linotype"/>
        </w:rPr>
        <w:t xml:space="preserve"> obliged. As a result, </w:t>
      </w:r>
      <w:r w:rsidR="0008676E" w:rsidRPr="006814C7">
        <w:rPr>
          <w:rFonts w:ascii="Palatino Linotype" w:hAnsi="Palatino Linotype"/>
        </w:rPr>
        <w:t>he</w:t>
      </w:r>
      <w:r w:rsidR="00D961C7" w:rsidRPr="006814C7">
        <w:rPr>
          <w:rFonts w:ascii="Palatino Linotype" w:hAnsi="Palatino Linotype"/>
        </w:rPr>
        <w:t xml:space="preserve"> began teaching a course in English in the academic year 2015-2016. </w:t>
      </w:r>
      <w:r w:rsidR="00020859" w:rsidRPr="006814C7">
        <w:rPr>
          <w:rFonts w:ascii="Palatino Linotype" w:hAnsi="Palatino Linotype"/>
        </w:rPr>
        <w:t xml:space="preserve"> </w:t>
      </w:r>
      <w:r w:rsidR="00D961C7" w:rsidRPr="006814C7">
        <w:rPr>
          <w:rFonts w:ascii="Palatino Linotype" w:hAnsi="Palatino Linotype"/>
        </w:rPr>
        <w:t xml:space="preserve">Only one other professor would be willing to do likewise. </w:t>
      </w:r>
      <w:r w:rsidR="0008676E" w:rsidRPr="006814C7">
        <w:rPr>
          <w:rFonts w:ascii="Palatino Linotype" w:hAnsi="Palatino Linotype"/>
        </w:rPr>
        <w:t xml:space="preserve"> </w:t>
      </w:r>
      <w:r w:rsidR="00D961C7" w:rsidRPr="006814C7">
        <w:rPr>
          <w:rFonts w:ascii="Palatino Linotype" w:hAnsi="Palatino Linotype"/>
        </w:rPr>
        <w:t xml:space="preserve">As a result, there are just two English taught courses in the Faculty of Law at the moment. </w:t>
      </w:r>
      <w:r w:rsidR="006C7EC2" w:rsidRPr="006814C7">
        <w:rPr>
          <w:rFonts w:ascii="Palatino Linotype" w:hAnsi="Palatino Linotype"/>
        </w:rPr>
        <w:t xml:space="preserve"> </w:t>
      </w:r>
      <w:r w:rsidR="00D961C7" w:rsidRPr="006814C7">
        <w:rPr>
          <w:rFonts w:ascii="Palatino Linotype" w:hAnsi="Palatino Linotype"/>
        </w:rPr>
        <w:t xml:space="preserve">The course our project is </w:t>
      </w:r>
      <w:r w:rsidR="0008676E" w:rsidRPr="006814C7">
        <w:rPr>
          <w:rFonts w:ascii="Palatino Linotype" w:hAnsi="Palatino Linotype"/>
        </w:rPr>
        <w:t>“</w:t>
      </w:r>
      <w:proofErr w:type="spellStart"/>
      <w:r w:rsidR="0008676E" w:rsidRPr="006814C7">
        <w:rPr>
          <w:rFonts w:ascii="Palatino Linotype" w:hAnsi="Palatino Linotype"/>
        </w:rPr>
        <w:t>clinicaliz</w:t>
      </w:r>
      <w:r w:rsidR="00027964">
        <w:rPr>
          <w:rFonts w:ascii="Palatino Linotype" w:hAnsi="Palatino Linotype"/>
        </w:rPr>
        <w:t>ing</w:t>
      </w:r>
      <w:proofErr w:type="spellEnd"/>
      <w:r w:rsidR="0008676E" w:rsidRPr="006814C7">
        <w:rPr>
          <w:rFonts w:ascii="Palatino Linotype" w:hAnsi="Palatino Linotype"/>
        </w:rPr>
        <w:t>”</w:t>
      </w:r>
      <w:r w:rsidR="00D961C7" w:rsidRPr="006814C7">
        <w:rPr>
          <w:rFonts w:ascii="Palatino Linotype" w:hAnsi="Palatino Linotype"/>
        </w:rPr>
        <w:t xml:space="preserve"> is one of them. </w:t>
      </w:r>
      <w:r w:rsidR="006C7EC2" w:rsidRPr="006814C7">
        <w:rPr>
          <w:rFonts w:ascii="Palatino Linotype" w:hAnsi="Palatino Linotype"/>
        </w:rPr>
        <w:t xml:space="preserve"> </w:t>
      </w:r>
      <w:r w:rsidR="00D961C7" w:rsidRPr="006814C7">
        <w:rPr>
          <w:rFonts w:ascii="Palatino Linotype" w:hAnsi="Palatino Linotype"/>
        </w:rPr>
        <w:t xml:space="preserve">Thus, to the novelty of using English as a vehicular language we are going to add another challenge that will hopefully contribute to </w:t>
      </w:r>
      <w:r w:rsidR="003A66DF" w:rsidRPr="006814C7">
        <w:rPr>
          <w:rFonts w:ascii="Palatino Linotype" w:hAnsi="Palatino Linotype"/>
        </w:rPr>
        <w:t>addressing the</w:t>
      </w:r>
      <w:r w:rsidR="00D961C7" w:rsidRPr="006814C7">
        <w:rPr>
          <w:rFonts w:ascii="Palatino Linotype" w:hAnsi="Palatino Linotype"/>
        </w:rPr>
        <w:t xml:space="preserve"> internationalization of legal education.</w:t>
      </w:r>
    </w:p>
    <w:p w14:paraId="2F03A488" w14:textId="77777777" w:rsidR="00D27C3B" w:rsidRPr="006814C7" w:rsidRDefault="00D27C3B" w:rsidP="00215C97">
      <w:pPr>
        <w:spacing w:line="480" w:lineRule="auto"/>
        <w:jc w:val="both"/>
        <w:rPr>
          <w:rFonts w:ascii="Palatino Linotype" w:hAnsi="Palatino Linotype"/>
        </w:rPr>
      </w:pPr>
    </w:p>
    <w:p w14:paraId="5C94D5C5" w14:textId="6D07E3BD" w:rsidR="00D961C7" w:rsidRPr="006814C7" w:rsidRDefault="006D311C" w:rsidP="00215C97">
      <w:pPr>
        <w:spacing w:line="480" w:lineRule="auto"/>
        <w:jc w:val="both"/>
        <w:rPr>
          <w:rFonts w:ascii="Palatino Linotype" w:hAnsi="Palatino Linotype"/>
        </w:rPr>
      </w:pPr>
      <w:r w:rsidRPr="006814C7">
        <w:rPr>
          <w:rFonts w:ascii="Palatino Linotype" w:hAnsi="Palatino Linotype"/>
        </w:rPr>
        <w:t>A</w:t>
      </w:r>
      <w:r w:rsidR="00D961C7" w:rsidRPr="006814C7">
        <w:rPr>
          <w:rFonts w:ascii="Palatino Linotype" w:hAnsi="Palatino Linotype"/>
        </w:rPr>
        <w:t>long with internationalization</w:t>
      </w:r>
      <w:r w:rsidR="006C7EC2" w:rsidRPr="006814C7">
        <w:rPr>
          <w:rFonts w:ascii="Palatino Linotype" w:hAnsi="Palatino Linotype"/>
        </w:rPr>
        <w:t xml:space="preserve">, we also plan to add </w:t>
      </w:r>
      <w:r w:rsidR="00D961C7" w:rsidRPr="006814C7">
        <w:rPr>
          <w:rFonts w:ascii="Palatino Linotype" w:hAnsi="Palatino Linotype"/>
        </w:rPr>
        <w:t xml:space="preserve">another aspect of legal training that </w:t>
      </w:r>
      <w:r w:rsidR="006C7EC2" w:rsidRPr="006814C7">
        <w:rPr>
          <w:rFonts w:ascii="Palatino Linotype" w:hAnsi="Palatino Linotype"/>
        </w:rPr>
        <w:t>the Bologna Process addresses</w:t>
      </w:r>
      <w:r w:rsidR="00D961C7" w:rsidRPr="006814C7">
        <w:rPr>
          <w:rFonts w:ascii="Palatino Linotype" w:hAnsi="Palatino Linotype"/>
        </w:rPr>
        <w:t xml:space="preserve">: socialization. </w:t>
      </w:r>
      <w:r w:rsidR="006C7EC2" w:rsidRPr="006814C7">
        <w:rPr>
          <w:rFonts w:ascii="Palatino Linotype" w:hAnsi="Palatino Linotype"/>
        </w:rPr>
        <w:t xml:space="preserve"> </w:t>
      </w:r>
      <w:r w:rsidR="00D961C7" w:rsidRPr="006814C7">
        <w:rPr>
          <w:rFonts w:ascii="Palatino Linotype" w:hAnsi="Palatino Linotype"/>
        </w:rPr>
        <w:t xml:space="preserve">Public university students in Spain have an </w:t>
      </w:r>
      <w:r w:rsidR="003835DD" w:rsidRPr="006814C7">
        <w:rPr>
          <w:rFonts w:ascii="Palatino Linotype" w:hAnsi="Palatino Linotype"/>
        </w:rPr>
        <w:t xml:space="preserve">added </w:t>
      </w:r>
      <w:r w:rsidR="00D961C7" w:rsidRPr="006814C7">
        <w:rPr>
          <w:rFonts w:ascii="Palatino Linotype" w:hAnsi="Palatino Linotype"/>
        </w:rPr>
        <w:t xml:space="preserve">obligation or duty to return to society something in exchange </w:t>
      </w:r>
      <w:r w:rsidR="0008676E" w:rsidRPr="006814C7">
        <w:rPr>
          <w:rFonts w:ascii="Palatino Linotype" w:hAnsi="Palatino Linotype"/>
        </w:rPr>
        <w:t>for</w:t>
      </w:r>
      <w:r w:rsidR="00D961C7" w:rsidRPr="006814C7">
        <w:rPr>
          <w:rFonts w:ascii="Palatino Linotype" w:hAnsi="Palatino Linotype"/>
        </w:rPr>
        <w:t xml:space="preserve"> what they have gotten almost free compared to other countries</w:t>
      </w:r>
      <w:r w:rsidR="0008676E" w:rsidRPr="006814C7">
        <w:rPr>
          <w:rFonts w:ascii="Palatino Linotype" w:hAnsi="Palatino Linotype"/>
        </w:rPr>
        <w:t xml:space="preserve"> (</w:t>
      </w:r>
      <w:r w:rsidR="00D961C7" w:rsidRPr="006814C7">
        <w:rPr>
          <w:rFonts w:ascii="Palatino Linotype" w:hAnsi="Palatino Linotype"/>
        </w:rPr>
        <w:t xml:space="preserve">the tuition fee for one year </w:t>
      </w:r>
      <w:r w:rsidR="00B3488D" w:rsidRPr="006814C7">
        <w:rPr>
          <w:rFonts w:ascii="Palatino Linotype" w:hAnsi="Palatino Linotype"/>
        </w:rPr>
        <w:t xml:space="preserve">of </w:t>
      </w:r>
      <w:r w:rsidR="00D961C7" w:rsidRPr="006814C7">
        <w:rPr>
          <w:rFonts w:ascii="Palatino Linotype" w:hAnsi="Palatino Linotype"/>
        </w:rPr>
        <w:t xml:space="preserve">study at </w:t>
      </w:r>
      <w:r w:rsidR="00D961C7" w:rsidRPr="006814C7">
        <w:rPr>
          <w:rFonts w:ascii="Palatino Linotype" w:hAnsi="Palatino Linotype"/>
        </w:rPr>
        <w:lastRenderedPageBreak/>
        <w:t xml:space="preserve">the </w:t>
      </w:r>
      <w:r w:rsidR="0049170A" w:rsidRPr="006814C7">
        <w:rPr>
          <w:rFonts w:ascii="Palatino Linotype" w:hAnsi="Palatino Linotype"/>
        </w:rPr>
        <w:t>F</w:t>
      </w:r>
      <w:r w:rsidR="00D961C7" w:rsidRPr="006814C7">
        <w:rPr>
          <w:rFonts w:ascii="Palatino Linotype" w:hAnsi="Palatino Linotype"/>
        </w:rPr>
        <w:t xml:space="preserve">aculty of </w:t>
      </w:r>
      <w:r w:rsidR="0049170A" w:rsidRPr="006814C7">
        <w:rPr>
          <w:rFonts w:ascii="Palatino Linotype" w:hAnsi="Palatino Linotype"/>
        </w:rPr>
        <w:t>L</w:t>
      </w:r>
      <w:r w:rsidR="00D961C7" w:rsidRPr="006814C7">
        <w:rPr>
          <w:rFonts w:ascii="Palatino Linotype" w:hAnsi="Palatino Linotype"/>
        </w:rPr>
        <w:t>aw is less t</w:t>
      </w:r>
      <w:r w:rsidR="0071623A" w:rsidRPr="006814C7">
        <w:rPr>
          <w:rFonts w:ascii="Palatino Linotype" w:hAnsi="Palatino Linotype"/>
        </w:rPr>
        <w:t>h</w:t>
      </w:r>
      <w:r w:rsidR="00D961C7" w:rsidRPr="006814C7">
        <w:rPr>
          <w:rFonts w:ascii="Palatino Linotype" w:hAnsi="Palatino Linotype"/>
        </w:rPr>
        <w:t>an 1,000 euros</w:t>
      </w:r>
      <w:r w:rsidR="0008676E" w:rsidRPr="006814C7">
        <w:rPr>
          <w:rFonts w:ascii="Palatino Linotype" w:hAnsi="Palatino Linotype"/>
        </w:rPr>
        <w:t>)</w:t>
      </w:r>
      <w:r w:rsidR="00D961C7" w:rsidRPr="006814C7">
        <w:rPr>
          <w:rFonts w:ascii="Palatino Linotype" w:hAnsi="Palatino Linotype"/>
        </w:rPr>
        <w:t xml:space="preserve">. </w:t>
      </w:r>
      <w:r w:rsidR="003835DD" w:rsidRPr="006814C7">
        <w:rPr>
          <w:rFonts w:ascii="Palatino Linotype" w:hAnsi="Palatino Linotype"/>
        </w:rPr>
        <w:t xml:space="preserve"> </w:t>
      </w:r>
      <w:r w:rsidR="00D961C7" w:rsidRPr="006814C7">
        <w:rPr>
          <w:rFonts w:ascii="Palatino Linotype" w:hAnsi="Palatino Linotype"/>
        </w:rPr>
        <w:t xml:space="preserve">In this context, turning a course into a clinical one or introducing at least some clinical component into a course </w:t>
      </w:r>
      <w:r w:rsidR="0008676E" w:rsidRPr="006814C7">
        <w:rPr>
          <w:rFonts w:ascii="Palatino Linotype" w:hAnsi="Palatino Linotype"/>
        </w:rPr>
        <w:t>allows</w:t>
      </w:r>
      <w:r w:rsidR="00D961C7" w:rsidRPr="006814C7">
        <w:rPr>
          <w:rFonts w:ascii="Palatino Linotype" w:hAnsi="Palatino Linotype"/>
        </w:rPr>
        <w:t xml:space="preserve"> students </w:t>
      </w:r>
      <w:r w:rsidR="0008676E" w:rsidRPr="006814C7">
        <w:rPr>
          <w:rFonts w:ascii="Palatino Linotype" w:hAnsi="Palatino Linotype"/>
        </w:rPr>
        <w:t xml:space="preserve">to </w:t>
      </w:r>
      <w:r w:rsidR="00D961C7" w:rsidRPr="006814C7">
        <w:rPr>
          <w:rFonts w:ascii="Palatino Linotype" w:hAnsi="Palatino Linotype"/>
        </w:rPr>
        <w:t xml:space="preserve">give something back to society, </w:t>
      </w:r>
      <w:r w:rsidR="0008676E" w:rsidRPr="006814C7">
        <w:rPr>
          <w:rFonts w:ascii="Palatino Linotype" w:hAnsi="Palatino Linotype"/>
        </w:rPr>
        <w:t>which promotes</w:t>
      </w:r>
      <w:r w:rsidR="00D961C7" w:rsidRPr="006814C7">
        <w:rPr>
          <w:rFonts w:ascii="Palatino Linotype" w:hAnsi="Palatino Linotype"/>
        </w:rPr>
        <w:t xml:space="preserve"> justice.</w:t>
      </w:r>
      <w:r w:rsidR="00B3488D" w:rsidRPr="006814C7">
        <w:rPr>
          <w:rFonts w:ascii="Palatino Linotype" w:hAnsi="Palatino Linotype"/>
        </w:rPr>
        <w:t xml:space="preserve">  As well, increasing the practical side of legal training has been a </w:t>
      </w:r>
      <w:r w:rsidR="006814C7" w:rsidRPr="006814C7">
        <w:rPr>
          <w:rFonts w:ascii="Palatino Linotype" w:hAnsi="Palatino Linotype"/>
        </w:rPr>
        <w:t>long</w:t>
      </w:r>
      <w:r w:rsidR="00027964">
        <w:rPr>
          <w:rFonts w:ascii="Palatino Linotype" w:hAnsi="Palatino Linotype"/>
        </w:rPr>
        <w:t>-</w:t>
      </w:r>
      <w:r w:rsidR="006814C7" w:rsidRPr="006814C7">
        <w:rPr>
          <w:rFonts w:ascii="Palatino Linotype" w:hAnsi="Palatino Linotype"/>
        </w:rPr>
        <w:t>asked</w:t>
      </w:r>
      <w:r w:rsidR="00027964">
        <w:rPr>
          <w:rFonts w:ascii="Palatino Linotype" w:hAnsi="Palatino Linotype"/>
        </w:rPr>
        <w:t>-</w:t>
      </w:r>
      <w:r w:rsidR="00B3488D" w:rsidRPr="006814C7">
        <w:rPr>
          <w:rFonts w:ascii="Palatino Linotype" w:hAnsi="Palatino Linotype"/>
        </w:rPr>
        <w:t>for request or desire from the majority of our undergraduate law students, as the current study load consisting of practical activities in the undergraduate degree is embarrassingly low.</w:t>
      </w:r>
    </w:p>
    <w:p w14:paraId="71B75187" w14:textId="77777777" w:rsidR="00D27C3B" w:rsidRPr="006814C7" w:rsidRDefault="00D27C3B" w:rsidP="00215C97">
      <w:pPr>
        <w:spacing w:line="480" w:lineRule="auto"/>
        <w:jc w:val="both"/>
        <w:rPr>
          <w:rFonts w:ascii="Palatino Linotype" w:hAnsi="Palatino Linotype"/>
        </w:rPr>
      </w:pPr>
    </w:p>
    <w:p w14:paraId="7A959BA3" w14:textId="41082D1C" w:rsidR="00D961C7" w:rsidRPr="006814C7" w:rsidRDefault="00702D79" w:rsidP="00215C97">
      <w:pPr>
        <w:spacing w:line="480" w:lineRule="auto"/>
        <w:jc w:val="both"/>
        <w:rPr>
          <w:rFonts w:ascii="Palatino Linotype" w:hAnsi="Palatino Linotype"/>
        </w:rPr>
      </w:pPr>
      <w:r w:rsidRPr="006814C7">
        <w:rPr>
          <w:rFonts w:ascii="Palatino Linotype" w:hAnsi="Palatino Linotype"/>
        </w:rPr>
        <w:t>“</w:t>
      </w:r>
      <w:proofErr w:type="spellStart"/>
      <w:r w:rsidRPr="006814C7">
        <w:rPr>
          <w:rFonts w:ascii="Palatino Linotype" w:hAnsi="Palatino Linotype"/>
        </w:rPr>
        <w:t>Proceso</w:t>
      </w:r>
      <w:proofErr w:type="spellEnd"/>
      <w:r w:rsidRPr="006814C7">
        <w:rPr>
          <w:rFonts w:ascii="Palatino Linotype" w:hAnsi="Palatino Linotype"/>
        </w:rPr>
        <w:t xml:space="preserve"> </w:t>
      </w:r>
      <w:proofErr w:type="spellStart"/>
      <w:r w:rsidRPr="006814C7">
        <w:rPr>
          <w:rFonts w:ascii="Palatino Linotype" w:hAnsi="Palatino Linotype"/>
        </w:rPr>
        <w:t>Administrativo</w:t>
      </w:r>
      <w:proofErr w:type="spellEnd"/>
      <w:r w:rsidRPr="006814C7">
        <w:rPr>
          <w:rFonts w:ascii="Palatino Linotype" w:hAnsi="Palatino Linotype"/>
        </w:rPr>
        <w:t xml:space="preserve">” may be </w:t>
      </w:r>
      <w:r w:rsidR="00D961C7" w:rsidRPr="006814C7">
        <w:rPr>
          <w:rFonts w:ascii="Palatino Linotype" w:hAnsi="Palatino Linotype"/>
        </w:rPr>
        <w:t>translate</w:t>
      </w:r>
      <w:r w:rsidRPr="006814C7">
        <w:rPr>
          <w:rFonts w:ascii="Palatino Linotype" w:hAnsi="Palatino Linotype"/>
        </w:rPr>
        <w:t>d into</w:t>
      </w:r>
      <w:r w:rsidR="00D961C7" w:rsidRPr="006814C7">
        <w:rPr>
          <w:rFonts w:ascii="Palatino Linotype" w:hAnsi="Palatino Linotype"/>
        </w:rPr>
        <w:t xml:space="preserve">  </w:t>
      </w:r>
      <w:r w:rsidRPr="006814C7">
        <w:rPr>
          <w:rFonts w:ascii="Palatino Linotype" w:hAnsi="Palatino Linotype"/>
        </w:rPr>
        <w:t>“</w:t>
      </w:r>
      <w:r w:rsidR="00D961C7" w:rsidRPr="006814C7">
        <w:rPr>
          <w:rFonts w:ascii="Palatino Linotype" w:hAnsi="Palatino Linotype"/>
        </w:rPr>
        <w:t>Administrative Court Procedure</w:t>
      </w:r>
      <w:r w:rsidRPr="006814C7">
        <w:rPr>
          <w:rFonts w:ascii="Palatino Linotype" w:hAnsi="Palatino Linotype"/>
        </w:rPr>
        <w:t>”</w:t>
      </w:r>
      <w:r w:rsidR="00D961C7" w:rsidRPr="006814C7">
        <w:rPr>
          <w:rFonts w:ascii="Palatino Linotype" w:hAnsi="Palatino Linotype"/>
        </w:rPr>
        <w:t xml:space="preserve"> or </w:t>
      </w:r>
      <w:r w:rsidRPr="006814C7">
        <w:rPr>
          <w:rFonts w:ascii="Palatino Linotype" w:hAnsi="Palatino Linotype"/>
        </w:rPr>
        <w:t>“</w:t>
      </w:r>
      <w:r w:rsidR="00D961C7" w:rsidRPr="006814C7">
        <w:rPr>
          <w:rFonts w:ascii="Palatino Linotype" w:hAnsi="Palatino Linotype"/>
        </w:rPr>
        <w:t>Judicial Review Procedure</w:t>
      </w:r>
      <w:r w:rsidR="0071623A" w:rsidRPr="006814C7">
        <w:rPr>
          <w:rFonts w:ascii="Palatino Linotype" w:hAnsi="Palatino Linotype"/>
        </w:rPr>
        <w:t>.</w:t>
      </w:r>
      <w:r w:rsidRPr="006814C7">
        <w:rPr>
          <w:rFonts w:ascii="Palatino Linotype" w:hAnsi="Palatino Linotype"/>
        </w:rPr>
        <w:t>”</w:t>
      </w:r>
      <w:r w:rsidR="00D961C7" w:rsidRPr="006814C7">
        <w:rPr>
          <w:rFonts w:ascii="Palatino Linotype" w:hAnsi="Palatino Linotype"/>
        </w:rPr>
        <w:t xml:space="preserve"> As the object of study is Spanish national law (</w:t>
      </w:r>
      <w:r w:rsidR="007B4204" w:rsidRPr="006814C7">
        <w:rPr>
          <w:rFonts w:ascii="Palatino Linotype" w:hAnsi="Palatino Linotype"/>
        </w:rPr>
        <w:t>c</w:t>
      </w:r>
      <w:r w:rsidR="00D961C7" w:rsidRPr="006814C7">
        <w:rPr>
          <w:rFonts w:ascii="Palatino Linotype" w:hAnsi="Palatino Linotype"/>
        </w:rPr>
        <w:t>ivil law system), it</w:t>
      </w:r>
      <w:r w:rsidR="0071623A" w:rsidRPr="006814C7">
        <w:rPr>
          <w:rFonts w:ascii="Palatino Linotype" w:hAnsi="Palatino Linotype"/>
        </w:rPr>
        <w:t xml:space="preserve"> is</w:t>
      </w:r>
      <w:r w:rsidR="00D961C7" w:rsidRPr="006814C7">
        <w:rPr>
          <w:rFonts w:ascii="Palatino Linotype" w:hAnsi="Palatino Linotype"/>
        </w:rPr>
        <w:t xml:space="preserve"> sometimes difficult to produce a reliable translation into English (</w:t>
      </w:r>
      <w:r w:rsidR="007B4204" w:rsidRPr="006814C7">
        <w:rPr>
          <w:rFonts w:ascii="Palatino Linotype" w:hAnsi="Palatino Linotype"/>
        </w:rPr>
        <w:t>c</w:t>
      </w:r>
      <w:r w:rsidR="00D961C7" w:rsidRPr="006814C7">
        <w:rPr>
          <w:rFonts w:ascii="Palatino Linotype" w:hAnsi="Palatino Linotype"/>
        </w:rPr>
        <w:t>ommon law system)</w:t>
      </w:r>
      <w:r w:rsidR="007B4204" w:rsidRPr="006814C7">
        <w:rPr>
          <w:rFonts w:ascii="Palatino Linotype" w:hAnsi="Palatino Linotype"/>
        </w:rPr>
        <w:t xml:space="preserve">.  </w:t>
      </w:r>
      <w:r w:rsidR="008243C3" w:rsidRPr="006814C7">
        <w:rPr>
          <w:rFonts w:ascii="Palatino Linotype" w:hAnsi="Palatino Linotype"/>
        </w:rPr>
        <w:t>Nonetheless, t</w:t>
      </w:r>
      <w:r w:rsidR="00D961C7" w:rsidRPr="006814C7">
        <w:rPr>
          <w:rFonts w:ascii="Palatino Linotype" w:hAnsi="Palatino Linotype"/>
        </w:rPr>
        <w:t>he course</w:t>
      </w:r>
      <w:r w:rsidR="007B4204" w:rsidRPr="006814C7">
        <w:rPr>
          <w:rFonts w:ascii="Palatino Linotype" w:hAnsi="Palatino Linotype"/>
        </w:rPr>
        <w:t>, which is offered in the spring, contemplates a study of four months.  Its current</w:t>
      </w:r>
      <w:r w:rsidR="00D961C7" w:rsidRPr="006814C7">
        <w:rPr>
          <w:rFonts w:ascii="Palatino Linotype" w:hAnsi="Palatino Linotype"/>
        </w:rPr>
        <w:t xml:space="preserve"> syllabus</w:t>
      </w:r>
      <w:r w:rsidR="007B4204" w:rsidRPr="006814C7">
        <w:rPr>
          <w:rFonts w:ascii="Palatino Linotype" w:hAnsi="Palatino Linotype"/>
        </w:rPr>
        <w:t xml:space="preserve"> is as follows:</w:t>
      </w:r>
    </w:p>
    <w:p w14:paraId="5880BE37" w14:textId="3977A25B" w:rsidR="00D961C7" w:rsidRPr="006814C7" w:rsidRDefault="00D961C7" w:rsidP="006814C7">
      <w:pPr>
        <w:ind w:left="60"/>
        <w:jc w:val="both"/>
        <w:rPr>
          <w:rFonts w:ascii="Palatino Linotype" w:hAnsi="Palatino Linotype"/>
        </w:rPr>
      </w:pPr>
      <w:r w:rsidRPr="006814C7">
        <w:rPr>
          <w:rFonts w:ascii="Palatino Linotype" w:hAnsi="Palatino Linotype"/>
        </w:rPr>
        <w:t>• LESSON I: THE ‘CONTENTIOUS-ADMINISTRATIVE’ JURISDICTION (JURISDICTION FOR JUDICIAL REVIEW).</w:t>
      </w:r>
    </w:p>
    <w:p w14:paraId="5E0E2383" w14:textId="62B8BCF9" w:rsidR="00D961C7" w:rsidRPr="006814C7" w:rsidRDefault="00D961C7" w:rsidP="00215C97">
      <w:pPr>
        <w:ind w:left="709" w:hanging="283"/>
        <w:jc w:val="both"/>
        <w:rPr>
          <w:rFonts w:ascii="Palatino Linotype" w:hAnsi="Palatino Linotype"/>
        </w:rPr>
      </w:pPr>
      <w:r w:rsidRPr="006814C7">
        <w:rPr>
          <w:rFonts w:ascii="Palatino Linotype" w:hAnsi="Palatino Linotype"/>
        </w:rPr>
        <w:t xml:space="preserve">1) </w:t>
      </w:r>
      <w:r w:rsidRPr="006814C7">
        <w:rPr>
          <w:rFonts w:ascii="Palatino Linotype" w:hAnsi="Palatino Linotype"/>
        </w:rPr>
        <w:tab/>
        <w:t xml:space="preserve">Historical evolution. The system in Spain and other European countries. The legal reform of 1998. </w:t>
      </w:r>
    </w:p>
    <w:p w14:paraId="5F754921" w14:textId="77777777" w:rsidR="00D961C7" w:rsidRPr="006814C7" w:rsidRDefault="00D961C7" w:rsidP="00215C97">
      <w:pPr>
        <w:ind w:left="709" w:hanging="283"/>
        <w:jc w:val="both"/>
        <w:rPr>
          <w:rFonts w:ascii="Palatino Linotype" w:hAnsi="Palatino Linotype"/>
        </w:rPr>
      </w:pPr>
      <w:r w:rsidRPr="006814C7">
        <w:rPr>
          <w:rFonts w:ascii="Palatino Linotype" w:hAnsi="Palatino Linotype"/>
        </w:rPr>
        <w:t xml:space="preserve">2) </w:t>
      </w:r>
      <w:r w:rsidRPr="006814C7">
        <w:rPr>
          <w:rFonts w:ascii="Palatino Linotype" w:hAnsi="Palatino Linotype"/>
        </w:rPr>
        <w:tab/>
        <w:t xml:space="preserve">The judicial review of the activity of public Administration. </w:t>
      </w:r>
    </w:p>
    <w:p w14:paraId="31837073" w14:textId="77777777" w:rsidR="00D961C7" w:rsidRPr="006814C7" w:rsidRDefault="00D961C7" w:rsidP="00215C97">
      <w:pPr>
        <w:ind w:left="709" w:hanging="283"/>
        <w:jc w:val="both"/>
        <w:rPr>
          <w:rFonts w:ascii="Palatino Linotype" w:hAnsi="Palatino Linotype"/>
        </w:rPr>
      </w:pPr>
      <w:r w:rsidRPr="006814C7">
        <w:rPr>
          <w:rFonts w:ascii="Palatino Linotype" w:hAnsi="Palatino Linotype"/>
        </w:rPr>
        <w:t xml:space="preserve">3) </w:t>
      </w:r>
      <w:r w:rsidRPr="006814C7">
        <w:rPr>
          <w:rFonts w:ascii="Palatino Linotype" w:hAnsi="Palatino Linotype"/>
        </w:rPr>
        <w:tab/>
        <w:t xml:space="preserve">The scope of judicial review. </w:t>
      </w:r>
    </w:p>
    <w:p w14:paraId="1A7DB01D" w14:textId="77777777" w:rsidR="00D961C7" w:rsidRPr="006814C7" w:rsidRDefault="00D961C7" w:rsidP="00215C97">
      <w:pPr>
        <w:ind w:left="709" w:hanging="283"/>
        <w:jc w:val="both"/>
        <w:rPr>
          <w:rFonts w:ascii="Palatino Linotype" w:hAnsi="Palatino Linotype"/>
        </w:rPr>
      </w:pPr>
      <w:r w:rsidRPr="006814C7">
        <w:rPr>
          <w:rFonts w:ascii="Palatino Linotype" w:hAnsi="Palatino Linotype"/>
        </w:rPr>
        <w:t xml:space="preserve">4) </w:t>
      </w:r>
      <w:r w:rsidRPr="006814C7">
        <w:rPr>
          <w:rFonts w:ascii="Palatino Linotype" w:hAnsi="Palatino Linotype"/>
        </w:rPr>
        <w:tab/>
        <w:t>The judicial bodies in the Administrative jurisdiction.</w:t>
      </w:r>
    </w:p>
    <w:p w14:paraId="62DA152F" w14:textId="77777777" w:rsidR="00D961C7" w:rsidRPr="006814C7" w:rsidRDefault="00D961C7" w:rsidP="00215C97">
      <w:pPr>
        <w:jc w:val="both"/>
        <w:rPr>
          <w:rFonts w:ascii="Palatino Linotype" w:hAnsi="Palatino Linotype"/>
        </w:rPr>
      </w:pPr>
      <w:r w:rsidRPr="006814C7">
        <w:rPr>
          <w:rFonts w:ascii="Palatino Linotype" w:hAnsi="Palatino Linotype"/>
        </w:rPr>
        <w:t xml:space="preserve">• LESSON II: THE APPEAL FOR JUDICIAL REVIEW. </w:t>
      </w:r>
    </w:p>
    <w:p w14:paraId="636BA54E" w14:textId="77777777" w:rsidR="00D961C7" w:rsidRPr="006814C7" w:rsidRDefault="00D961C7" w:rsidP="00215C97">
      <w:pPr>
        <w:ind w:left="709" w:hanging="283"/>
        <w:jc w:val="both"/>
        <w:rPr>
          <w:rFonts w:ascii="Palatino Linotype" w:hAnsi="Palatino Linotype"/>
        </w:rPr>
      </w:pPr>
      <w:r w:rsidRPr="006814C7">
        <w:rPr>
          <w:rFonts w:ascii="Palatino Linotype" w:hAnsi="Palatino Linotype"/>
        </w:rPr>
        <w:t xml:space="preserve">1) </w:t>
      </w:r>
      <w:r w:rsidRPr="006814C7">
        <w:rPr>
          <w:rFonts w:ascii="Palatino Linotype" w:hAnsi="Palatino Linotype"/>
        </w:rPr>
        <w:tab/>
        <w:t xml:space="preserve">Introduction. </w:t>
      </w:r>
    </w:p>
    <w:p w14:paraId="33B19D7E" w14:textId="77777777" w:rsidR="00D961C7" w:rsidRPr="006814C7" w:rsidRDefault="00D961C7" w:rsidP="00215C97">
      <w:pPr>
        <w:ind w:left="709" w:hanging="283"/>
        <w:jc w:val="both"/>
        <w:rPr>
          <w:rFonts w:ascii="Palatino Linotype" w:hAnsi="Palatino Linotype"/>
        </w:rPr>
      </w:pPr>
      <w:r w:rsidRPr="006814C7">
        <w:rPr>
          <w:rFonts w:ascii="Palatino Linotype" w:hAnsi="Palatino Linotype"/>
        </w:rPr>
        <w:t xml:space="preserve">2) </w:t>
      </w:r>
      <w:r w:rsidRPr="006814C7">
        <w:rPr>
          <w:rFonts w:ascii="Palatino Linotype" w:hAnsi="Palatino Linotype"/>
        </w:rPr>
        <w:tab/>
        <w:t xml:space="preserve">The parties to the court proceedings. </w:t>
      </w:r>
    </w:p>
    <w:p w14:paraId="3FF3C3CA" w14:textId="77777777" w:rsidR="00D961C7" w:rsidRPr="006814C7" w:rsidRDefault="00D961C7" w:rsidP="00215C97">
      <w:pPr>
        <w:ind w:left="709" w:hanging="283"/>
        <w:jc w:val="both"/>
        <w:rPr>
          <w:rFonts w:ascii="Palatino Linotype" w:hAnsi="Palatino Linotype"/>
        </w:rPr>
      </w:pPr>
      <w:r w:rsidRPr="006814C7">
        <w:rPr>
          <w:rFonts w:ascii="Palatino Linotype" w:hAnsi="Palatino Linotype"/>
        </w:rPr>
        <w:t xml:space="preserve">3) </w:t>
      </w:r>
      <w:r w:rsidRPr="006814C7">
        <w:rPr>
          <w:rFonts w:ascii="Palatino Linotype" w:hAnsi="Palatino Linotype"/>
        </w:rPr>
        <w:tab/>
        <w:t>The object of the appeal.</w:t>
      </w:r>
    </w:p>
    <w:p w14:paraId="05AAEE22" w14:textId="77777777" w:rsidR="00D961C7" w:rsidRPr="006814C7" w:rsidRDefault="00D961C7" w:rsidP="00215C97">
      <w:pPr>
        <w:jc w:val="both"/>
        <w:rPr>
          <w:rFonts w:ascii="Palatino Linotype" w:hAnsi="Palatino Linotype"/>
        </w:rPr>
      </w:pPr>
      <w:r w:rsidRPr="006814C7">
        <w:rPr>
          <w:rFonts w:ascii="Palatino Linotype" w:hAnsi="Palatino Linotype"/>
        </w:rPr>
        <w:t>• LESSON III: THE JUDICIAL REVIEW PROCEDURE.</w:t>
      </w:r>
    </w:p>
    <w:p w14:paraId="097E485A" w14:textId="77777777" w:rsidR="00D961C7" w:rsidRPr="006814C7" w:rsidRDefault="00D961C7" w:rsidP="00215C97">
      <w:pPr>
        <w:ind w:left="709" w:hanging="283"/>
        <w:jc w:val="both"/>
        <w:rPr>
          <w:rFonts w:ascii="Palatino Linotype" w:hAnsi="Palatino Linotype"/>
        </w:rPr>
      </w:pPr>
      <w:r w:rsidRPr="006814C7">
        <w:rPr>
          <w:rFonts w:ascii="Palatino Linotype" w:hAnsi="Palatino Linotype"/>
        </w:rPr>
        <w:t xml:space="preserve">1) </w:t>
      </w:r>
      <w:r w:rsidRPr="006814C7">
        <w:rPr>
          <w:rFonts w:ascii="Palatino Linotype" w:hAnsi="Palatino Linotype"/>
        </w:rPr>
        <w:tab/>
        <w:t xml:space="preserve">The ordinary procedure. </w:t>
      </w:r>
    </w:p>
    <w:p w14:paraId="4CAA4870" w14:textId="77777777" w:rsidR="00D961C7" w:rsidRPr="006814C7" w:rsidRDefault="00D961C7" w:rsidP="00215C97">
      <w:pPr>
        <w:ind w:left="709" w:hanging="283"/>
        <w:jc w:val="both"/>
        <w:rPr>
          <w:rFonts w:ascii="Palatino Linotype" w:hAnsi="Palatino Linotype"/>
        </w:rPr>
      </w:pPr>
      <w:r w:rsidRPr="006814C7">
        <w:rPr>
          <w:rFonts w:ascii="Palatino Linotype" w:hAnsi="Palatino Linotype"/>
        </w:rPr>
        <w:t xml:space="preserve">2) </w:t>
      </w:r>
      <w:r w:rsidRPr="006814C7">
        <w:rPr>
          <w:rFonts w:ascii="Palatino Linotype" w:hAnsi="Palatino Linotype"/>
        </w:rPr>
        <w:tab/>
        <w:t>The short procedure.</w:t>
      </w:r>
    </w:p>
    <w:p w14:paraId="3BA9BCD1" w14:textId="77777777" w:rsidR="00D961C7" w:rsidRPr="006814C7" w:rsidRDefault="00D961C7" w:rsidP="00215C97">
      <w:pPr>
        <w:jc w:val="both"/>
        <w:rPr>
          <w:rFonts w:ascii="Palatino Linotype" w:hAnsi="Palatino Linotype"/>
        </w:rPr>
      </w:pPr>
      <w:r w:rsidRPr="006814C7">
        <w:rPr>
          <w:rFonts w:ascii="Palatino Linotype" w:hAnsi="Palatino Linotype"/>
        </w:rPr>
        <w:t>• LESSON IV: THE SPECIAL PROCEDURES.</w:t>
      </w:r>
    </w:p>
    <w:p w14:paraId="79BD6661" w14:textId="77777777" w:rsidR="00D961C7" w:rsidRPr="006814C7" w:rsidRDefault="00D961C7" w:rsidP="00215C97">
      <w:pPr>
        <w:ind w:left="709" w:hanging="283"/>
        <w:jc w:val="both"/>
        <w:rPr>
          <w:rFonts w:ascii="Palatino Linotype" w:hAnsi="Palatino Linotype"/>
        </w:rPr>
      </w:pPr>
      <w:r w:rsidRPr="006814C7">
        <w:rPr>
          <w:rFonts w:ascii="Palatino Linotype" w:hAnsi="Palatino Linotype"/>
        </w:rPr>
        <w:t xml:space="preserve">1) </w:t>
      </w:r>
      <w:r w:rsidRPr="006814C7">
        <w:rPr>
          <w:rFonts w:ascii="Palatino Linotype" w:hAnsi="Palatino Linotype"/>
        </w:rPr>
        <w:tab/>
        <w:t xml:space="preserve">Procedure for the protection of fundamental personal rights. </w:t>
      </w:r>
    </w:p>
    <w:p w14:paraId="720D89E0" w14:textId="77777777" w:rsidR="00D961C7" w:rsidRPr="006814C7" w:rsidRDefault="00D961C7" w:rsidP="00215C97">
      <w:pPr>
        <w:ind w:left="709" w:hanging="283"/>
        <w:jc w:val="both"/>
        <w:rPr>
          <w:rFonts w:ascii="Palatino Linotype" w:hAnsi="Palatino Linotype"/>
        </w:rPr>
      </w:pPr>
      <w:r w:rsidRPr="006814C7">
        <w:rPr>
          <w:rFonts w:ascii="Palatino Linotype" w:hAnsi="Palatino Linotype"/>
        </w:rPr>
        <w:lastRenderedPageBreak/>
        <w:t xml:space="preserve">2) Questions of illegality. </w:t>
      </w:r>
    </w:p>
    <w:p w14:paraId="0C6F5349" w14:textId="77777777" w:rsidR="00D961C7" w:rsidRPr="006814C7" w:rsidRDefault="00D961C7" w:rsidP="00215C97">
      <w:pPr>
        <w:ind w:left="709" w:hanging="283"/>
        <w:jc w:val="both"/>
        <w:rPr>
          <w:rFonts w:ascii="Palatino Linotype" w:hAnsi="Palatino Linotype"/>
        </w:rPr>
      </w:pPr>
      <w:r w:rsidRPr="006814C7">
        <w:rPr>
          <w:rFonts w:ascii="Palatino Linotype" w:hAnsi="Palatino Linotype"/>
        </w:rPr>
        <w:t xml:space="preserve">3) Procedure in cases of prior administrative suspension of resolutions. </w:t>
      </w:r>
    </w:p>
    <w:p w14:paraId="25DAC334" w14:textId="77777777" w:rsidR="00D961C7" w:rsidRPr="006814C7" w:rsidRDefault="00D961C7" w:rsidP="00215C97">
      <w:pPr>
        <w:ind w:left="709" w:hanging="283"/>
        <w:jc w:val="both"/>
        <w:rPr>
          <w:rFonts w:ascii="Palatino Linotype" w:hAnsi="Palatino Linotype"/>
        </w:rPr>
      </w:pPr>
      <w:r w:rsidRPr="006814C7">
        <w:rPr>
          <w:rFonts w:ascii="Palatino Linotype" w:hAnsi="Palatino Linotype"/>
        </w:rPr>
        <w:t xml:space="preserve">4) Procedure to ensure market unity. </w:t>
      </w:r>
    </w:p>
    <w:p w14:paraId="547F77C2" w14:textId="77777777" w:rsidR="00D961C7" w:rsidRPr="006814C7" w:rsidRDefault="00D961C7" w:rsidP="00215C97">
      <w:pPr>
        <w:ind w:left="709" w:hanging="283"/>
        <w:jc w:val="both"/>
        <w:rPr>
          <w:rFonts w:ascii="Palatino Linotype" w:hAnsi="Palatino Linotype"/>
        </w:rPr>
      </w:pPr>
      <w:r w:rsidRPr="006814C7">
        <w:rPr>
          <w:rFonts w:ascii="Palatino Linotype" w:hAnsi="Palatino Linotype"/>
        </w:rPr>
        <w:t>5) Procedure for a court order extinguishing a political party.</w:t>
      </w:r>
    </w:p>
    <w:p w14:paraId="39222D76" w14:textId="77777777" w:rsidR="00D961C7" w:rsidRPr="006814C7" w:rsidRDefault="00D961C7" w:rsidP="00215C97">
      <w:pPr>
        <w:jc w:val="both"/>
        <w:rPr>
          <w:rFonts w:ascii="Palatino Linotype" w:hAnsi="Palatino Linotype"/>
        </w:rPr>
      </w:pPr>
      <w:r w:rsidRPr="006814C7">
        <w:rPr>
          <w:rFonts w:ascii="Palatino Linotype" w:hAnsi="Palatino Linotype"/>
        </w:rPr>
        <w:t>• LESSON V: THE APPEALS AGAINST PROCEDURAL DECISIONS.</w:t>
      </w:r>
    </w:p>
    <w:p w14:paraId="6F36D57E" w14:textId="77777777" w:rsidR="00D961C7" w:rsidRPr="006814C7" w:rsidRDefault="00D961C7" w:rsidP="00215C97">
      <w:pPr>
        <w:ind w:left="709" w:hanging="283"/>
        <w:jc w:val="both"/>
        <w:rPr>
          <w:rFonts w:ascii="Palatino Linotype" w:hAnsi="Palatino Linotype"/>
        </w:rPr>
      </w:pPr>
      <w:r w:rsidRPr="006814C7">
        <w:rPr>
          <w:rFonts w:ascii="Palatino Linotype" w:hAnsi="Palatino Linotype"/>
        </w:rPr>
        <w:t xml:space="preserve">1) </w:t>
      </w:r>
      <w:r w:rsidRPr="006814C7">
        <w:rPr>
          <w:rFonts w:ascii="Palatino Linotype" w:hAnsi="Palatino Linotype"/>
        </w:rPr>
        <w:tab/>
        <w:t xml:space="preserve">Appeals against writs and orders. </w:t>
      </w:r>
    </w:p>
    <w:p w14:paraId="25A92382" w14:textId="77777777" w:rsidR="00D961C7" w:rsidRPr="006814C7" w:rsidRDefault="00D961C7" w:rsidP="00215C97">
      <w:pPr>
        <w:ind w:left="709" w:hanging="283"/>
        <w:jc w:val="both"/>
        <w:rPr>
          <w:rFonts w:ascii="Palatino Linotype" w:hAnsi="Palatino Linotype"/>
        </w:rPr>
      </w:pPr>
      <w:r w:rsidRPr="006814C7">
        <w:rPr>
          <w:rFonts w:ascii="Palatino Linotype" w:hAnsi="Palatino Linotype"/>
        </w:rPr>
        <w:t xml:space="preserve">2) </w:t>
      </w:r>
      <w:r w:rsidRPr="006814C7">
        <w:rPr>
          <w:rFonts w:ascii="Palatino Linotype" w:hAnsi="Palatino Linotype"/>
        </w:rPr>
        <w:tab/>
        <w:t xml:space="preserve">Ordinary appeals to the next higher court. </w:t>
      </w:r>
    </w:p>
    <w:p w14:paraId="64C3F8E2" w14:textId="77777777" w:rsidR="00D961C7" w:rsidRPr="006814C7" w:rsidRDefault="00D961C7" w:rsidP="00215C97">
      <w:pPr>
        <w:ind w:left="709" w:hanging="283"/>
        <w:jc w:val="both"/>
        <w:rPr>
          <w:rFonts w:ascii="Palatino Linotype" w:hAnsi="Palatino Linotype"/>
        </w:rPr>
      </w:pPr>
      <w:r w:rsidRPr="006814C7">
        <w:rPr>
          <w:rFonts w:ascii="Palatino Linotype" w:hAnsi="Palatino Linotype"/>
        </w:rPr>
        <w:t xml:space="preserve">3) </w:t>
      </w:r>
      <w:r w:rsidRPr="006814C7">
        <w:rPr>
          <w:rFonts w:ascii="Palatino Linotype" w:hAnsi="Palatino Linotype"/>
        </w:rPr>
        <w:tab/>
        <w:t xml:space="preserve">Appeals to the Supreme Court. </w:t>
      </w:r>
    </w:p>
    <w:p w14:paraId="4D2FDAF4" w14:textId="77777777" w:rsidR="00D961C7" w:rsidRPr="006814C7" w:rsidRDefault="00D961C7" w:rsidP="00215C97">
      <w:pPr>
        <w:ind w:left="709" w:hanging="283"/>
        <w:jc w:val="both"/>
        <w:rPr>
          <w:rFonts w:ascii="Palatino Linotype" w:hAnsi="Palatino Linotype"/>
        </w:rPr>
      </w:pPr>
      <w:r w:rsidRPr="006814C7">
        <w:rPr>
          <w:rFonts w:ascii="Palatino Linotype" w:hAnsi="Palatino Linotype"/>
        </w:rPr>
        <w:t xml:space="preserve">4) </w:t>
      </w:r>
      <w:r w:rsidRPr="006814C7">
        <w:rPr>
          <w:rFonts w:ascii="Palatino Linotype" w:hAnsi="Palatino Linotype"/>
        </w:rPr>
        <w:tab/>
        <w:t xml:space="preserve">Review of a final judgment. </w:t>
      </w:r>
    </w:p>
    <w:p w14:paraId="3FEFAF36" w14:textId="77777777" w:rsidR="00D961C7" w:rsidRPr="006814C7" w:rsidRDefault="00D961C7" w:rsidP="00215C97">
      <w:pPr>
        <w:ind w:left="709" w:hanging="283"/>
        <w:jc w:val="both"/>
        <w:rPr>
          <w:rFonts w:ascii="Palatino Linotype" w:hAnsi="Palatino Linotype"/>
        </w:rPr>
      </w:pPr>
      <w:r w:rsidRPr="006814C7">
        <w:rPr>
          <w:rFonts w:ascii="Palatino Linotype" w:hAnsi="Palatino Linotype"/>
        </w:rPr>
        <w:t xml:space="preserve">5) </w:t>
      </w:r>
      <w:r w:rsidRPr="006814C7">
        <w:rPr>
          <w:rFonts w:ascii="Palatino Linotype" w:hAnsi="Palatino Linotype"/>
        </w:rPr>
        <w:tab/>
        <w:t>Appeals against decisions issued by the court clerk.</w:t>
      </w:r>
    </w:p>
    <w:p w14:paraId="69218C06" w14:textId="77777777" w:rsidR="00D961C7" w:rsidRPr="006814C7" w:rsidRDefault="00D961C7" w:rsidP="00215C97">
      <w:pPr>
        <w:jc w:val="both"/>
        <w:rPr>
          <w:rFonts w:ascii="Palatino Linotype" w:hAnsi="Palatino Linotype"/>
        </w:rPr>
      </w:pPr>
      <w:r w:rsidRPr="006814C7">
        <w:rPr>
          <w:rFonts w:ascii="Palatino Linotype" w:hAnsi="Palatino Linotype"/>
        </w:rPr>
        <w:t>• LESSON VI: THE EXECUTION OF RULINGS.</w:t>
      </w:r>
    </w:p>
    <w:p w14:paraId="4705A11D" w14:textId="77777777" w:rsidR="00D961C7" w:rsidRPr="006814C7" w:rsidRDefault="00D961C7" w:rsidP="00215C97">
      <w:pPr>
        <w:ind w:left="709" w:hanging="283"/>
        <w:jc w:val="both"/>
        <w:rPr>
          <w:rFonts w:ascii="Palatino Linotype" w:hAnsi="Palatino Linotype"/>
        </w:rPr>
      </w:pPr>
      <w:r w:rsidRPr="006814C7">
        <w:rPr>
          <w:rFonts w:ascii="Palatino Linotype" w:hAnsi="Palatino Linotype"/>
        </w:rPr>
        <w:t xml:space="preserve">1) </w:t>
      </w:r>
      <w:r w:rsidRPr="006814C7">
        <w:rPr>
          <w:rFonts w:ascii="Palatino Linotype" w:hAnsi="Palatino Linotype"/>
        </w:rPr>
        <w:tab/>
        <w:t xml:space="preserve">The obligation to execute. </w:t>
      </w:r>
    </w:p>
    <w:p w14:paraId="3E02B4B2" w14:textId="77777777" w:rsidR="00D961C7" w:rsidRPr="006814C7" w:rsidRDefault="00D961C7" w:rsidP="00215C97">
      <w:pPr>
        <w:ind w:left="709" w:hanging="283"/>
        <w:jc w:val="both"/>
        <w:rPr>
          <w:rFonts w:ascii="Palatino Linotype" w:hAnsi="Palatino Linotype"/>
        </w:rPr>
      </w:pPr>
      <w:r w:rsidRPr="006814C7">
        <w:rPr>
          <w:rFonts w:ascii="Palatino Linotype" w:hAnsi="Palatino Linotype"/>
        </w:rPr>
        <w:t xml:space="preserve">2) Execution modes. </w:t>
      </w:r>
    </w:p>
    <w:p w14:paraId="08DADE5E" w14:textId="77777777" w:rsidR="00D961C7" w:rsidRPr="006814C7" w:rsidRDefault="00D961C7" w:rsidP="00215C97">
      <w:pPr>
        <w:ind w:left="709" w:hanging="283"/>
        <w:jc w:val="both"/>
        <w:rPr>
          <w:rFonts w:ascii="Palatino Linotype" w:hAnsi="Palatino Linotype"/>
        </w:rPr>
      </w:pPr>
      <w:r w:rsidRPr="006814C7">
        <w:rPr>
          <w:rFonts w:ascii="Palatino Linotype" w:hAnsi="Palatino Linotype"/>
        </w:rPr>
        <w:t xml:space="preserve">3) Voluntary execution (compliance). </w:t>
      </w:r>
    </w:p>
    <w:p w14:paraId="4F917D7C" w14:textId="77777777" w:rsidR="00D961C7" w:rsidRPr="006814C7" w:rsidRDefault="00D961C7" w:rsidP="00215C97">
      <w:pPr>
        <w:ind w:left="709" w:hanging="283"/>
        <w:jc w:val="both"/>
        <w:rPr>
          <w:rFonts w:ascii="Palatino Linotype" w:hAnsi="Palatino Linotype"/>
        </w:rPr>
      </w:pPr>
      <w:r w:rsidRPr="006814C7">
        <w:rPr>
          <w:rFonts w:ascii="Palatino Linotype" w:hAnsi="Palatino Linotype"/>
        </w:rPr>
        <w:t>4) Forced execution (enforcement).</w:t>
      </w:r>
    </w:p>
    <w:p w14:paraId="589379DA" w14:textId="51AEC5E5" w:rsidR="005A37EC" w:rsidRPr="006814C7" w:rsidRDefault="00D961C7" w:rsidP="00215C97">
      <w:pPr>
        <w:jc w:val="both"/>
        <w:rPr>
          <w:rFonts w:ascii="Palatino Linotype" w:hAnsi="Palatino Linotype"/>
        </w:rPr>
      </w:pPr>
      <w:r w:rsidRPr="006814C7">
        <w:rPr>
          <w:rFonts w:ascii="Palatino Linotype" w:hAnsi="Palatino Linotype"/>
        </w:rPr>
        <w:t>• LESSON VII: THE PRECAUTIONARY (INTERIM) MEASURES.</w:t>
      </w:r>
    </w:p>
    <w:p w14:paraId="47B0D745" w14:textId="77777777" w:rsidR="00D961C7" w:rsidRPr="006814C7" w:rsidRDefault="00D961C7" w:rsidP="00215C97">
      <w:pPr>
        <w:jc w:val="both"/>
        <w:rPr>
          <w:rFonts w:ascii="Palatino Linotype" w:hAnsi="Palatino Linotype"/>
        </w:rPr>
      </w:pPr>
    </w:p>
    <w:p w14:paraId="415117B0" w14:textId="77777777" w:rsidR="00D27C3B" w:rsidRPr="006814C7" w:rsidRDefault="00D27C3B" w:rsidP="00215C97">
      <w:pPr>
        <w:spacing w:line="480" w:lineRule="auto"/>
        <w:jc w:val="both"/>
        <w:rPr>
          <w:rFonts w:ascii="Palatino Linotype" w:hAnsi="Palatino Linotype"/>
        </w:rPr>
      </w:pPr>
    </w:p>
    <w:p w14:paraId="25A025D3" w14:textId="2C2A6DA1" w:rsidR="00D961C7" w:rsidRPr="006814C7" w:rsidRDefault="005A37EC" w:rsidP="00215C97">
      <w:pPr>
        <w:spacing w:line="480" w:lineRule="auto"/>
        <w:jc w:val="both"/>
        <w:rPr>
          <w:rFonts w:ascii="Palatino Linotype" w:hAnsi="Palatino Linotype"/>
        </w:rPr>
      </w:pPr>
      <w:r w:rsidRPr="006814C7">
        <w:rPr>
          <w:rFonts w:ascii="Palatino Linotype" w:hAnsi="Palatino Linotype"/>
        </w:rPr>
        <w:t>As currently taught</w:t>
      </w:r>
      <w:r w:rsidR="00D961C7" w:rsidRPr="006814C7">
        <w:rPr>
          <w:rFonts w:ascii="Palatino Linotype" w:hAnsi="Palatino Linotype"/>
        </w:rPr>
        <w:t xml:space="preserve">, apart from being almost entirely in English, </w:t>
      </w:r>
      <w:r w:rsidRPr="006814C7">
        <w:rPr>
          <w:rFonts w:ascii="Palatino Linotype" w:hAnsi="Palatino Linotype"/>
        </w:rPr>
        <w:t xml:space="preserve">it </w:t>
      </w:r>
      <w:r w:rsidR="00D961C7" w:rsidRPr="006814C7">
        <w:rPr>
          <w:rFonts w:ascii="Palatino Linotype" w:hAnsi="Palatino Linotype"/>
        </w:rPr>
        <w:t xml:space="preserve">is mainly based </w:t>
      </w:r>
      <w:r w:rsidR="00CE6660" w:rsidRPr="006814C7">
        <w:rPr>
          <w:rFonts w:ascii="Palatino Linotype" w:hAnsi="Palatino Linotype"/>
        </w:rPr>
        <w:t>o</w:t>
      </w:r>
      <w:r w:rsidR="00D961C7" w:rsidRPr="006814C7">
        <w:rPr>
          <w:rFonts w:ascii="Palatino Linotype" w:hAnsi="Palatino Linotype"/>
        </w:rPr>
        <w:t xml:space="preserve">n the traditional teaching method of master classes together with some supplementary practical activities such as: small group preparation of certain specific issues and subsequent presentation of the results and debate in the classroom; individual elaboration of diagrams and/or summaries; reading and discussion of rulings; </w:t>
      </w:r>
      <w:r w:rsidR="00CE6660" w:rsidRPr="006814C7">
        <w:rPr>
          <w:rFonts w:ascii="Palatino Linotype" w:hAnsi="Palatino Linotype"/>
        </w:rPr>
        <w:t xml:space="preserve">and </w:t>
      </w:r>
      <w:r w:rsidR="00D961C7" w:rsidRPr="006814C7">
        <w:rPr>
          <w:rFonts w:ascii="Palatino Linotype" w:hAnsi="Palatino Linotype"/>
        </w:rPr>
        <w:t>group preparation and presentation of mini lessons to their classmate</w:t>
      </w:r>
      <w:r w:rsidR="00CE6660" w:rsidRPr="006814C7">
        <w:rPr>
          <w:rFonts w:ascii="Palatino Linotype" w:hAnsi="Palatino Linotype"/>
        </w:rPr>
        <w:t xml:space="preserve">s. </w:t>
      </w:r>
      <w:r w:rsidR="00D961C7" w:rsidRPr="006814C7">
        <w:rPr>
          <w:rFonts w:ascii="Palatino Linotype" w:hAnsi="Palatino Linotype"/>
        </w:rPr>
        <w:t xml:space="preserve"> </w:t>
      </w:r>
      <w:r w:rsidR="00CE6660" w:rsidRPr="006814C7">
        <w:rPr>
          <w:rFonts w:ascii="Palatino Linotype" w:hAnsi="Palatino Linotype"/>
        </w:rPr>
        <w:t>These</w:t>
      </w:r>
      <w:r w:rsidR="00D961C7" w:rsidRPr="006814C7">
        <w:rPr>
          <w:rFonts w:ascii="Palatino Linotype" w:hAnsi="Palatino Linotype"/>
        </w:rPr>
        <w:t xml:space="preserve"> </w:t>
      </w:r>
      <w:r w:rsidR="00CE6660" w:rsidRPr="006814C7">
        <w:rPr>
          <w:rFonts w:ascii="Palatino Linotype" w:hAnsi="Palatino Linotype"/>
        </w:rPr>
        <w:t>clearly are not</w:t>
      </w:r>
      <w:r w:rsidR="00D961C7" w:rsidRPr="006814C7">
        <w:rPr>
          <w:rFonts w:ascii="Palatino Linotype" w:hAnsi="Palatino Linotype"/>
        </w:rPr>
        <w:t xml:space="preserve"> enough, on the one hand, for the student’s training in skills and abilities to perform as future lawyers and, on the other hand, for gaining consciousness of their training as a meaningful activity within and for society.</w:t>
      </w:r>
    </w:p>
    <w:p w14:paraId="72BC77AD" w14:textId="49FF3C4F" w:rsidR="00D27C3B" w:rsidRDefault="00D27C3B" w:rsidP="00215C97">
      <w:pPr>
        <w:spacing w:line="480" w:lineRule="auto"/>
        <w:jc w:val="both"/>
        <w:rPr>
          <w:rFonts w:ascii="Palatino Linotype" w:hAnsi="Palatino Linotype"/>
        </w:rPr>
      </w:pPr>
    </w:p>
    <w:p w14:paraId="5FB97D23" w14:textId="77777777" w:rsidR="00C00BAB" w:rsidRPr="006814C7" w:rsidRDefault="00C00BAB" w:rsidP="00215C97">
      <w:pPr>
        <w:spacing w:line="480" w:lineRule="auto"/>
        <w:jc w:val="both"/>
        <w:rPr>
          <w:rFonts w:ascii="Palatino Linotype" w:hAnsi="Palatino Linotype"/>
        </w:rPr>
      </w:pPr>
      <w:bookmarkStart w:id="0" w:name="_GoBack"/>
      <w:bookmarkEnd w:id="0"/>
    </w:p>
    <w:p w14:paraId="0BD7CB73" w14:textId="5EC38C12" w:rsidR="00D961C7" w:rsidRPr="006814C7" w:rsidRDefault="00D961C7" w:rsidP="00215C97">
      <w:pPr>
        <w:pStyle w:val="ListParagraph"/>
        <w:numPr>
          <w:ilvl w:val="0"/>
          <w:numId w:val="25"/>
        </w:numPr>
        <w:spacing w:line="480" w:lineRule="auto"/>
        <w:ind w:left="1440" w:hanging="540"/>
        <w:jc w:val="both"/>
        <w:rPr>
          <w:rFonts w:ascii="Palatino Linotype" w:hAnsi="Palatino Linotype"/>
          <w:b/>
        </w:rPr>
      </w:pPr>
      <w:r w:rsidRPr="006814C7">
        <w:rPr>
          <w:rFonts w:ascii="Palatino Linotype" w:hAnsi="Palatino Linotype"/>
          <w:b/>
        </w:rPr>
        <w:lastRenderedPageBreak/>
        <w:t>Introducing a clinical approach: preliminary considerations</w:t>
      </w:r>
    </w:p>
    <w:p w14:paraId="70A4AC4D" w14:textId="346131B4" w:rsidR="00D961C7" w:rsidRPr="006814C7" w:rsidRDefault="0071623A" w:rsidP="00215C97">
      <w:pPr>
        <w:spacing w:line="480" w:lineRule="auto"/>
        <w:jc w:val="both"/>
        <w:rPr>
          <w:rFonts w:ascii="Palatino Linotype" w:hAnsi="Palatino Linotype"/>
        </w:rPr>
      </w:pPr>
      <w:r w:rsidRPr="006814C7">
        <w:rPr>
          <w:rFonts w:ascii="Palatino Linotype" w:hAnsi="Palatino Linotype"/>
        </w:rPr>
        <w:t>There are a number of preliminary issues that need to be addressed prior to the introduction of a clinical course in a Spanish university.  Many of these concerns have been gleaned from the experience of the</w:t>
      </w:r>
      <w:r w:rsidR="00FC4E5C" w:rsidRPr="006814C7">
        <w:rPr>
          <w:rFonts w:ascii="Palatino Linotype" w:hAnsi="Palatino Linotype"/>
        </w:rPr>
        <w:t xml:space="preserve"> “first wave”</w:t>
      </w:r>
      <w:r w:rsidRPr="006814C7">
        <w:rPr>
          <w:rFonts w:ascii="Palatino Linotype" w:hAnsi="Palatino Linotype"/>
        </w:rPr>
        <w:t xml:space="preserve"> clinic</w:t>
      </w:r>
      <w:r w:rsidR="00FC4E5C" w:rsidRPr="006814C7">
        <w:rPr>
          <w:rFonts w:ascii="Palatino Linotype" w:hAnsi="Palatino Linotype"/>
        </w:rPr>
        <w:t>ians</w:t>
      </w:r>
      <w:r w:rsidRPr="006814C7">
        <w:rPr>
          <w:rFonts w:ascii="Palatino Linotype" w:hAnsi="Palatino Linotype"/>
        </w:rPr>
        <w:t>.  In order to be successful, a clinic needs institutional support, should have a narrow practice focus, needs protection against malpractice, supervision by practicing attorneys, and qualified students.  Each of these considerations will be addressed in turn.</w:t>
      </w:r>
    </w:p>
    <w:p w14:paraId="2CA0002C" w14:textId="77777777" w:rsidR="00D27C3B" w:rsidRPr="006814C7" w:rsidRDefault="00D27C3B" w:rsidP="00215C97">
      <w:pPr>
        <w:spacing w:line="480" w:lineRule="auto"/>
        <w:jc w:val="both"/>
        <w:rPr>
          <w:rFonts w:ascii="Palatino Linotype" w:hAnsi="Palatino Linotype"/>
        </w:rPr>
      </w:pPr>
    </w:p>
    <w:p w14:paraId="701F99C0" w14:textId="5BE2F363" w:rsidR="00D961C7" w:rsidRPr="006814C7" w:rsidRDefault="00D961C7" w:rsidP="00215C97">
      <w:pPr>
        <w:spacing w:line="480" w:lineRule="auto"/>
        <w:jc w:val="both"/>
        <w:rPr>
          <w:rFonts w:ascii="Palatino Linotype" w:hAnsi="Palatino Linotype"/>
        </w:rPr>
      </w:pPr>
      <w:r w:rsidRPr="006814C7">
        <w:rPr>
          <w:rFonts w:ascii="Palatino Linotype" w:hAnsi="Palatino Linotype"/>
        </w:rPr>
        <w:t>Changing the content of any mandatory or elective course of a degree program in a Spanish university is not an easy task; it has to undergo and overcome several bureaucratic requirements starting</w:t>
      </w:r>
      <w:r w:rsidR="008243C3" w:rsidRPr="006814C7">
        <w:rPr>
          <w:rFonts w:ascii="Palatino Linotype" w:hAnsi="Palatino Linotype"/>
        </w:rPr>
        <w:t>—</w:t>
      </w:r>
      <w:r w:rsidRPr="006814C7">
        <w:rPr>
          <w:rFonts w:ascii="Palatino Linotype" w:hAnsi="Palatino Linotype"/>
        </w:rPr>
        <w:t>after all the preparatory work of designing the changes to be introduced to the course</w:t>
      </w:r>
      <w:r w:rsidR="008243C3" w:rsidRPr="006814C7">
        <w:rPr>
          <w:rFonts w:ascii="Palatino Linotype" w:hAnsi="Palatino Linotype"/>
        </w:rPr>
        <w:t>—</w:t>
      </w:r>
      <w:r w:rsidRPr="006814C7">
        <w:rPr>
          <w:rFonts w:ascii="Palatino Linotype" w:hAnsi="Palatino Linotype"/>
        </w:rPr>
        <w:t>from the approval by the faculty board (</w:t>
      </w:r>
      <w:r w:rsidRPr="006814C7">
        <w:rPr>
          <w:rFonts w:ascii="Palatino Linotype" w:hAnsi="Palatino Linotype"/>
          <w:i/>
        </w:rPr>
        <w:t xml:space="preserve">junta de </w:t>
      </w:r>
      <w:proofErr w:type="spellStart"/>
      <w:r w:rsidRPr="006814C7">
        <w:rPr>
          <w:rFonts w:ascii="Palatino Linotype" w:hAnsi="Palatino Linotype"/>
          <w:i/>
        </w:rPr>
        <w:t>centro</w:t>
      </w:r>
      <w:proofErr w:type="spellEnd"/>
      <w:r w:rsidRPr="006814C7">
        <w:rPr>
          <w:rFonts w:ascii="Palatino Linotype" w:hAnsi="Palatino Linotype"/>
        </w:rPr>
        <w:t>)</w:t>
      </w:r>
      <w:r w:rsidR="008243C3" w:rsidRPr="006814C7">
        <w:rPr>
          <w:rFonts w:ascii="Palatino Linotype" w:hAnsi="Palatino Linotype"/>
        </w:rPr>
        <w:t>,</w:t>
      </w:r>
      <w:r w:rsidRPr="006814C7">
        <w:rPr>
          <w:rFonts w:ascii="Palatino Linotype" w:hAnsi="Palatino Linotype"/>
        </w:rPr>
        <w:t xml:space="preserve"> which may be the first </w:t>
      </w:r>
      <w:r w:rsidR="008243C3" w:rsidRPr="006814C7">
        <w:rPr>
          <w:rFonts w:ascii="Palatino Linotype" w:hAnsi="Palatino Linotype"/>
        </w:rPr>
        <w:t>(</w:t>
      </w:r>
      <w:r w:rsidR="00FC4E5C" w:rsidRPr="006814C7">
        <w:rPr>
          <w:rFonts w:ascii="Palatino Linotype" w:hAnsi="Palatino Linotype"/>
        </w:rPr>
        <w:t>and hopefully not</w:t>
      </w:r>
      <w:r w:rsidR="008243C3" w:rsidRPr="006814C7">
        <w:rPr>
          <w:rFonts w:ascii="Palatino Linotype" w:hAnsi="Palatino Linotype"/>
        </w:rPr>
        <w:t>)</w:t>
      </w:r>
      <w:r w:rsidR="00FC4E5C" w:rsidRPr="006814C7">
        <w:rPr>
          <w:rFonts w:ascii="Palatino Linotype" w:hAnsi="Palatino Linotype"/>
        </w:rPr>
        <w:t xml:space="preserve"> </w:t>
      </w:r>
      <w:r w:rsidRPr="006814C7">
        <w:rPr>
          <w:rFonts w:ascii="Palatino Linotype" w:hAnsi="Palatino Linotype"/>
        </w:rPr>
        <w:t xml:space="preserve">insurmountable barrier. </w:t>
      </w:r>
      <w:r w:rsidR="00FC4E5C" w:rsidRPr="006814C7">
        <w:rPr>
          <w:rFonts w:ascii="Palatino Linotype" w:hAnsi="Palatino Linotype"/>
        </w:rPr>
        <w:t xml:space="preserve"> </w:t>
      </w:r>
      <w:r w:rsidRPr="006814C7">
        <w:rPr>
          <w:rFonts w:ascii="Palatino Linotype" w:hAnsi="Palatino Linotype"/>
        </w:rPr>
        <w:t xml:space="preserve">And even if you </w:t>
      </w:r>
      <w:r w:rsidR="0071623A" w:rsidRPr="006814C7">
        <w:rPr>
          <w:rFonts w:ascii="Palatino Linotype" w:hAnsi="Palatino Linotype"/>
        </w:rPr>
        <w:t>have</w:t>
      </w:r>
      <w:r w:rsidRPr="006814C7">
        <w:rPr>
          <w:rFonts w:ascii="Palatino Linotype" w:hAnsi="Palatino Linotype"/>
        </w:rPr>
        <w:t xml:space="preserve"> the approval by the faculty board, the subsequent support of the rectorate is necessary. </w:t>
      </w:r>
      <w:r w:rsidR="008243C3" w:rsidRPr="006814C7">
        <w:rPr>
          <w:rFonts w:ascii="Palatino Linotype" w:hAnsi="Palatino Linotype"/>
        </w:rPr>
        <w:t xml:space="preserve"> </w:t>
      </w:r>
      <w:r w:rsidRPr="006814C7">
        <w:rPr>
          <w:rFonts w:ascii="Palatino Linotype" w:hAnsi="Palatino Linotype"/>
        </w:rPr>
        <w:t>The dean of the faculty of law of the Public University of Navarra, for example, tried to implement a legal clinic in his faculty (he already supposedly had the approval of the faculty board), but could</w:t>
      </w:r>
      <w:r w:rsidR="0071623A" w:rsidRPr="006814C7">
        <w:rPr>
          <w:rFonts w:ascii="Palatino Linotype" w:hAnsi="Palatino Linotype"/>
        </w:rPr>
        <w:t xml:space="preserve"> </w:t>
      </w:r>
      <w:r w:rsidRPr="006814C7">
        <w:rPr>
          <w:rFonts w:ascii="Palatino Linotype" w:hAnsi="Palatino Linotype"/>
        </w:rPr>
        <w:t>n</w:t>
      </w:r>
      <w:r w:rsidR="0071623A" w:rsidRPr="006814C7">
        <w:rPr>
          <w:rFonts w:ascii="Palatino Linotype" w:hAnsi="Palatino Linotype"/>
        </w:rPr>
        <w:t>o</w:t>
      </w:r>
      <w:r w:rsidRPr="006814C7">
        <w:rPr>
          <w:rFonts w:ascii="Palatino Linotype" w:hAnsi="Palatino Linotype"/>
        </w:rPr>
        <w:t>t go any further due to the lack of support from the rector of the university.</w:t>
      </w:r>
    </w:p>
    <w:p w14:paraId="6F31BC58" w14:textId="77777777" w:rsidR="00D27C3B" w:rsidRPr="006814C7" w:rsidRDefault="00D27C3B" w:rsidP="00215C97">
      <w:pPr>
        <w:spacing w:line="480" w:lineRule="auto"/>
        <w:jc w:val="both"/>
        <w:rPr>
          <w:rFonts w:ascii="Palatino Linotype" w:hAnsi="Palatino Linotype"/>
        </w:rPr>
      </w:pPr>
    </w:p>
    <w:p w14:paraId="075A45AD" w14:textId="3C143B3F" w:rsidR="00D961C7" w:rsidRPr="006814C7" w:rsidRDefault="00D961C7" w:rsidP="00215C97">
      <w:pPr>
        <w:spacing w:line="480" w:lineRule="auto"/>
        <w:jc w:val="both"/>
        <w:rPr>
          <w:rFonts w:ascii="Palatino Linotype" w:hAnsi="Palatino Linotype"/>
        </w:rPr>
      </w:pPr>
      <w:r w:rsidRPr="006814C7">
        <w:rPr>
          <w:rFonts w:ascii="Palatino Linotype" w:hAnsi="Palatino Linotype"/>
        </w:rPr>
        <w:lastRenderedPageBreak/>
        <w:t xml:space="preserve">Aside from the formal requirements and conditions that are to be met, the choice of the approach to be given to the clinic is fundamental. </w:t>
      </w:r>
      <w:r w:rsidR="00FC4E5C" w:rsidRPr="006814C7">
        <w:rPr>
          <w:rFonts w:ascii="Palatino Linotype" w:hAnsi="Palatino Linotype"/>
        </w:rPr>
        <w:t>As mentioned, t</w:t>
      </w:r>
      <w:r w:rsidRPr="006814C7">
        <w:rPr>
          <w:rFonts w:ascii="Palatino Linotype" w:hAnsi="Palatino Linotype"/>
        </w:rPr>
        <w:t xml:space="preserve">here are quite a few legal clinics functioning in Spain. </w:t>
      </w:r>
      <w:r w:rsidR="008243C3" w:rsidRPr="006814C7">
        <w:rPr>
          <w:rFonts w:ascii="Palatino Linotype" w:hAnsi="Palatino Linotype"/>
        </w:rPr>
        <w:t xml:space="preserve"> </w:t>
      </w:r>
      <w:r w:rsidRPr="006814C7">
        <w:rPr>
          <w:rFonts w:ascii="Palatino Linotype" w:hAnsi="Palatino Linotype"/>
        </w:rPr>
        <w:t xml:space="preserve">Some of them are more successful than others. </w:t>
      </w:r>
      <w:r w:rsidR="008243C3" w:rsidRPr="006814C7">
        <w:rPr>
          <w:rFonts w:ascii="Palatino Linotype" w:hAnsi="Palatino Linotype"/>
        </w:rPr>
        <w:t xml:space="preserve"> Success</w:t>
      </w:r>
      <w:r w:rsidRPr="006814C7">
        <w:rPr>
          <w:rFonts w:ascii="Palatino Linotype" w:hAnsi="Palatino Linotype"/>
        </w:rPr>
        <w:t xml:space="preserve"> depends, mainly, on the scope that has been pursued in each case; the clinics that work best are those that do not have a general character but</w:t>
      </w:r>
      <w:r w:rsidR="008243C3" w:rsidRPr="006814C7">
        <w:rPr>
          <w:rFonts w:ascii="Palatino Linotype" w:hAnsi="Palatino Linotype"/>
        </w:rPr>
        <w:t xml:space="preserve"> rather </w:t>
      </w:r>
      <w:r w:rsidRPr="006814C7">
        <w:rPr>
          <w:rFonts w:ascii="Palatino Linotype" w:hAnsi="Palatino Linotype"/>
        </w:rPr>
        <w:t>focus on a specific object</w:t>
      </w:r>
      <w:r w:rsidR="008243C3" w:rsidRPr="006814C7">
        <w:rPr>
          <w:rFonts w:ascii="Palatino Linotype" w:hAnsi="Palatino Linotype"/>
        </w:rPr>
        <w:t>—a</w:t>
      </w:r>
      <w:r w:rsidRPr="006814C7">
        <w:rPr>
          <w:rFonts w:ascii="Palatino Linotype" w:hAnsi="Palatino Linotype"/>
        </w:rPr>
        <w:t>s an example, environmental law (</w:t>
      </w:r>
      <w:proofErr w:type="spellStart"/>
      <w:r w:rsidRPr="006814C7">
        <w:rPr>
          <w:rFonts w:ascii="Palatino Linotype" w:hAnsi="Palatino Linotype"/>
        </w:rPr>
        <w:t>Rovira</w:t>
      </w:r>
      <w:proofErr w:type="spellEnd"/>
      <w:r w:rsidRPr="006814C7">
        <w:rPr>
          <w:rFonts w:ascii="Palatino Linotype" w:hAnsi="Palatino Linotype"/>
        </w:rPr>
        <w:t xml:space="preserve"> i </w:t>
      </w:r>
      <w:proofErr w:type="spellStart"/>
      <w:r w:rsidRPr="006814C7">
        <w:rPr>
          <w:rFonts w:ascii="Palatino Linotype" w:hAnsi="Palatino Linotype"/>
        </w:rPr>
        <w:t>Virgili</w:t>
      </w:r>
      <w:proofErr w:type="spellEnd"/>
      <w:r w:rsidRPr="006814C7">
        <w:rPr>
          <w:rFonts w:ascii="Palatino Linotype" w:hAnsi="Palatino Linotype"/>
        </w:rPr>
        <w:t xml:space="preserve"> in Tarragona) or human rights (University of Valencia). </w:t>
      </w:r>
      <w:r w:rsidR="008243C3" w:rsidRPr="006814C7">
        <w:rPr>
          <w:rFonts w:ascii="Palatino Linotype" w:hAnsi="Palatino Linotype"/>
        </w:rPr>
        <w:t xml:space="preserve"> </w:t>
      </w:r>
      <w:r w:rsidRPr="006814C7">
        <w:rPr>
          <w:rFonts w:ascii="Palatino Linotype" w:hAnsi="Palatino Linotype"/>
        </w:rPr>
        <w:t xml:space="preserve">But the main </w:t>
      </w:r>
      <w:r w:rsidR="008243C3" w:rsidRPr="006814C7">
        <w:rPr>
          <w:rFonts w:ascii="Palatino Linotype" w:hAnsi="Palatino Linotype"/>
        </w:rPr>
        <w:t>challenge</w:t>
      </w:r>
      <w:r w:rsidRPr="006814C7">
        <w:rPr>
          <w:rFonts w:ascii="Palatino Linotype" w:hAnsi="Palatino Linotype"/>
        </w:rPr>
        <w:t xml:space="preserve"> seems to be the lack of institutional support and the lack of commitment of teaching staff (faculty members).</w:t>
      </w:r>
    </w:p>
    <w:p w14:paraId="2BEA21C0" w14:textId="77777777" w:rsidR="00D27C3B" w:rsidRPr="006814C7" w:rsidRDefault="00D27C3B" w:rsidP="00215C97">
      <w:pPr>
        <w:spacing w:line="480" w:lineRule="auto"/>
        <w:jc w:val="both"/>
        <w:rPr>
          <w:rFonts w:ascii="Palatino Linotype" w:hAnsi="Palatino Linotype"/>
        </w:rPr>
      </w:pPr>
    </w:p>
    <w:p w14:paraId="3EB912AC" w14:textId="412462AB" w:rsidR="00D961C7" w:rsidRPr="006814C7" w:rsidRDefault="00D961C7" w:rsidP="00215C97">
      <w:pPr>
        <w:spacing w:line="480" w:lineRule="auto"/>
        <w:jc w:val="both"/>
        <w:rPr>
          <w:rFonts w:ascii="Palatino Linotype" w:hAnsi="Palatino Linotype"/>
        </w:rPr>
      </w:pPr>
      <w:r w:rsidRPr="006814C7">
        <w:rPr>
          <w:rFonts w:ascii="Palatino Linotype" w:hAnsi="Palatino Linotype"/>
        </w:rPr>
        <w:t xml:space="preserve">It </w:t>
      </w:r>
      <w:r w:rsidR="00A00BB9" w:rsidRPr="006814C7">
        <w:rPr>
          <w:rFonts w:ascii="Palatino Linotype" w:hAnsi="Palatino Linotype"/>
        </w:rPr>
        <w:t>seems essential, as well,</w:t>
      </w:r>
      <w:r w:rsidRPr="006814C7">
        <w:rPr>
          <w:rFonts w:ascii="Palatino Linotype" w:hAnsi="Palatino Linotype"/>
        </w:rPr>
        <w:t xml:space="preserve"> to have some other institution different from the </w:t>
      </w:r>
      <w:r w:rsidR="000C5BCF" w:rsidRPr="006814C7">
        <w:rPr>
          <w:rFonts w:ascii="Palatino Linotype" w:hAnsi="Palatino Linotype"/>
        </w:rPr>
        <w:t>u</w:t>
      </w:r>
      <w:r w:rsidRPr="006814C7">
        <w:rPr>
          <w:rFonts w:ascii="Palatino Linotype" w:hAnsi="Palatino Linotype"/>
        </w:rPr>
        <w:t xml:space="preserve">niversity that can act as an intermediary between the </w:t>
      </w:r>
      <w:r w:rsidR="000C5BCF" w:rsidRPr="006814C7">
        <w:rPr>
          <w:rFonts w:ascii="Palatino Linotype" w:hAnsi="Palatino Linotype"/>
        </w:rPr>
        <w:t>u</w:t>
      </w:r>
      <w:r w:rsidRPr="006814C7">
        <w:rPr>
          <w:rFonts w:ascii="Palatino Linotype" w:hAnsi="Palatino Linotype"/>
        </w:rPr>
        <w:t xml:space="preserve">niversity and </w:t>
      </w:r>
      <w:r w:rsidR="000C5BCF" w:rsidRPr="006814C7">
        <w:rPr>
          <w:rFonts w:ascii="Palatino Linotype" w:hAnsi="Palatino Linotype"/>
        </w:rPr>
        <w:t>larger community</w:t>
      </w:r>
      <w:r w:rsidRPr="006814C7">
        <w:rPr>
          <w:rFonts w:ascii="Palatino Linotype" w:hAnsi="Palatino Linotype"/>
        </w:rPr>
        <w:t xml:space="preserve">: for example, a foundation linked to a </w:t>
      </w:r>
      <w:r w:rsidR="00A00BB9" w:rsidRPr="006814C7">
        <w:rPr>
          <w:rFonts w:ascii="Palatino Linotype" w:hAnsi="Palatino Linotype"/>
        </w:rPr>
        <w:t>l</w:t>
      </w:r>
      <w:r w:rsidRPr="006814C7">
        <w:rPr>
          <w:rFonts w:ascii="Palatino Linotype" w:hAnsi="Palatino Linotype"/>
        </w:rPr>
        <w:t xml:space="preserve">aw </w:t>
      </w:r>
      <w:r w:rsidR="00A00BB9" w:rsidRPr="006814C7">
        <w:rPr>
          <w:rFonts w:ascii="Palatino Linotype" w:hAnsi="Palatino Linotype"/>
        </w:rPr>
        <w:t>f</w:t>
      </w:r>
      <w:r w:rsidRPr="006814C7">
        <w:rPr>
          <w:rFonts w:ascii="Palatino Linotype" w:hAnsi="Palatino Linotype"/>
        </w:rPr>
        <w:t xml:space="preserve">irm, a </w:t>
      </w:r>
      <w:r w:rsidR="000C5BCF" w:rsidRPr="006814C7">
        <w:rPr>
          <w:rFonts w:ascii="Palatino Linotype" w:hAnsi="Palatino Linotype"/>
        </w:rPr>
        <w:t>non-governmental organization</w:t>
      </w:r>
      <w:r w:rsidRPr="006814C7">
        <w:rPr>
          <w:rFonts w:ascii="Palatino Linotype" w:hAnsi="Palatino Linotype"/>
        </w:rPr>
        <w:t xml:space="preserve">, the </w:t>
      </w:r>
      <w:r w:rsidR="000C5BCF" w:rsidRPr="006814C7">
        <w:rPr>
          <w:rFonts w:ascii="Palatino Linotype" w:hAnsi="Palatino Linotype"/>
        </w:rPr>
        <w:t>o</w:t>
      </w:r>
      <w:r w:rsidRPr="006814C7">
        <w:rPr>
          <w:rFonts w:ascii="Palatino Linotype" w:hAnsi="Palatino Linotype"/>
        </w:rPr>
        <w:t xml:space="preserve">mbudsman, the </w:t>
      </w:r>
      <w:r w:rsidR="000C5BCF" w:rsidRPr="006814C7">
        <w:rPr>
          <w:rFonts w:ascii="Palatino Linotype" w:hAnsi="Palatino Linotype"/>
        </w:rPr>
        <w:t>c</w:t>
      </w:r>
      <w:r w:rsidRPr="006814C7">
        <w:rPr>
          <w:rFonts w:ascii="Palatino Linotype" w:hAnsi="Palatino Linotype"/>
        </w:rPr>
        <w:t xml:space="preserve">ity </w:t>
      </w:r>
      <w:r w:rsidR="000C5BCF" w:rsidRPr="006814C7">
        <w:rPr>
          <w:rFonts w:ascii="Palatino Linotype" w:hAnsi="Palatino Linotype"/>
        </w:rPr>
        <w:t>c</w:t>
      </w:r>
      <w:r w:rsidRPr="006814C7">
        <w:rPr>
          <w:rFonts w:ascii="Palatino Linotype" w:hAnsi="Palatino Linotype"/>
        </w:rPr>
        <w:t>ouncil</w:t>
      </w:r>
      <w:r w:rsidR="00A00BB9" w:rsidRPr="006814C7">
        <w:rPr>
          <w:rFonts w:ascii="Palatino Linotype" w:hAnsi="Palatino Linotype"/>
        </w:rPr>
        <w:t>,</w:t>
      </w:r>
      <w:r w:rsidRPr="006814C7">
        <w:rPr>
          <w:rFonts w:ascii="Palatino Linotype" w:hAnsi="Palatino Linotype"/>
        </w:rPr>
        <w:t xml:space="preserve"> or the </w:t>
      </w:r>
      <w:r w:rsidR="000C5BCF" w:rsidRPr="006814C7">
        <w:rPr>
          <w:rFonts w:ascii="Palatino Linotype" w:hAnsi="Palatino Linotype"/>
        </w:rPr>
        <w:t>a</w:t>
      </w:r>
      <w:r w:rsidRPr="006814C7">
        <w:rPr>
          <w:rFonts w:ascii="Palatino Linotype" w:hAnsi="Palatino Linotype"/>
        </w:rPr>
        <w:t xml:space="preserve">utonomous </w:t>
      </w:r>
      <w:r w:rsidR="000C5BCF" w:rsidRPr="006814C7">
        <w:rPr>
          <w:rFonts w:ascii="Palatino Linotype" w:hAnsi="Palatino Linotype"/>
        </w:rPr>
        <w:t>c</w:t>
      </w:r>
      <w:r w:rsidRPr="006814C7">
        <w:rPr>
          <w:rFonts w:ascii="Palatino Linotype" w:hAnsi="Palatino Linotype"/>
        </w:rPr>
        <w:t xml:space="preserve">ommunities. Having this intermediate institutional support helps to solve one of the most </w:t>
      </w:r>
      <w:r w:rsidR="00A00BB9" w:rsidRPr="006814C7">
        <w:rPr>
          <w:rFonts w:ascii="Palatino Linotype" w:hAnsi="Palatino Linotype"/>
        </w:rPr>
        <w:t xml:space="preserve">challenging </w:t>
      </w:r>
      <w:r w:rsidRPr="006814C7">
        <w:rPr>
          <w:rFonts w:ascii="Palatino Linotype" w:hAnsi="Palatino Linotype"/>
        </w:rPr>
        <w:t xml:space="preserve">problems that arise: the responsibility in the face of possible </w:t>
      </w:r>
      <w:r w:rsidR="00A00BB9" w:rsidRPr="006814C7">
        <w:rPr>
          <w:rFonts w:ascii="Palatino Linotype" w:hAnsi="Palatino Linotype"/>
        </w:rPr>
        <w:t>unsound advice; t</w:t>
      </w:r>
      <w:r w:rsidRPr="006814C7">
        <w:rPr>
          <w:rFonts w:ascii="Palatino Linotype" w:hAnsi="Palatino Linotype"/>
        </w:rPr>
        <w:t xml:space="preserve">his institution would be </w:t>
      </w:r>
      <w:r w:rsidR="00D806AC" w:rsidRPr="006814C7">
        <w:rPr>
          <w:rFonts w:ascii="Palatino Linotype" w:hAnsi="Palatino Linotype"/>
        </w:rPr>
        <w:t>accountable</w:t>
      </w:r>
      <w:r w:rsidRPr="006814C7">
        <w:rPr>
          <w:rFonts w:ascii="Palatino Linotype" w:hAnsi="Palatino Linotype"/>
        </w:rPr>
        <w:t xml:space="preserve"> and not the University. </w:t>
      </w:r>
      <w:r w:rsidR="000C5BCF" w:rsidRPr="006814C7">
        <w:rPr>
          <w:rFonts w:ascii="Palatino Linotype" w:hAnsi="Palatino Linotype"/>
        </w:rPr>
        <w:t xml:space="preserve"> </w:t>
      </w:r>
      <w:r w:rsidRPr="006814C7">
        <w:rPr>
          <w:rFonts w:ascii="Palatino Linotype" w:hAnsi="Palatino Linotype"/>
        </w:rPr>
        <w:t xml:space="preserve">On the other hand, the involvement of the </w:t>
      </w:r>
      <w:r w:rsidR="000C5BCF" w:rsidRPr="006814C7">
        <w:rPr>
          <w:rFonts w:ascii="Palatino Linotype" w:hAnsi="Palatino Linotype"/>
        </w:rPr>
        <w:t>b</w:t>
      </w:r>
      <w:r w:rsidRPr="006814C7">
        <w:rPr>
          <w:rFonts w:ascii="Palatino Linotype" w:hAnsi="Palatino Linotype"/>
        </w:rPr>
        <w:t xml:space="preserve">ar </w:t>
      </w:r>
      <w:r w:rsidR="000C5BCF" w:rsidRPr="006814C7">
        <w:rPr>
          <w:rFonts w:ascii="Palatino Linotype" w:hAnsi="Palatino Linotype"/>
        </w:rPr>
        <w:t>a</w:t>
      </w:r>
      <w:r w:rsidRPr="006814C7">
        <w:rPr>
          <w:rFonts w:ascii="Palatino Linotype" w:hAnsi="Palatino Linotype"/>
        </w:rPr>
        <w:t xml:space="preserve">ssociation may be key to success; </w:t>
      </w:r>
      <w:r w:rsidR="000C5BCF" w:rsidRPr="006814C7">
        <w:rPr>
          <w:rFonts w:ascii="Palatino Linotype" w:hAnsi="Palatino Linotype"/>
        </w:rPr>
        <w:t xml:space="preserve">as mentioned above, </w:t>
      </w:r>
      <w:r w:rsidRPr="006814C7">
        <w:rPr>
          <w:rFonts w:ascii="Palatino Linotype" w:hAnsi="Palatino Linotype"/>
        </w:rPr>
        <w:t xml:space="preserve">to reach an agreement with the </w:t>
      </w:r>
      <w:r w:rsidR="000C5BCF" w:rsidRPr="006814C7">
        <w:rPr>
          <w:rFonts w:ascii="Palatino Linotype" w:hAnsi="Palatino Linotype"/>
        </w:rPr>
        <w:t>b</w:t>
      </w:r>
      <w:r w:rsidRPr="006814C7">
        <w:rPr>
          <w:rFonts w:ascii="Palatino Linotype" w:hAnsi="Palatino Linotype"/>
        </w:rPr>
        <w:t xml:space="preserve">ar </w:t>
      </w:r>
      <w:r w:rsidR="000C5BCF" w:rsidRPr="006814C7">
        <w:rPr>
          <w:rFonts w:ascii="Palatino Linotype" w:hAnsi="Palatino Linotype"/>
        </w:rPr>
        <w:t>a</w:t>
      </w:r>
      <w:r w:rsidRPr="006814C7">
        <w:rPr>
          <w:rFonts w:ascii="Palatino Linotype" w:hAnsi="Palatino Linotype"/>
        </w:rPr>
        <w:t xml:space="preserve">ssociations so that they do not see the clinics as a threat but as a collaboration with the </w:t>
      </w:r>
      <w:r w:rsidR="000C5BCF" w:rsidRPr="006814C7">
        <w:rPr>
          <w:rFonts w:ascii="Palatino Linotype" w:hAnsi="Palatino Linotype"/>
        </w:rPr>
        <w:t>u</w:t>
      </w:r>
      <w:r w:rsidRPr="006814C7">
        <w:rPr>
          <w:rFonts w:ascii="Palatino Linotype" w:hAnsi="Palatino Linotype"/>
        </w:rPr>
        <w:t xml:space="preserve">niversity. </w:t>
      </w:r>
      <w:r w:rsidR="00D806AC" w:rsidRPr="006814C7">
        <w:rPr>
          <w:rFonts w:ascii="Palatino Linotype" w:hAnsi="Palatino Linotype"/>
        </w:rPr>
        <w:t xml:space="preserve"> </w:t>
      </w:r>
      <w:r w:rsidRPr="006814C7">
        <w:rPr>
          <w:rFonts w:ascii="Palatino Linotype" w:hAnsi="Palatino Linotype"/>
        </w:rPr>
        <w:t xml:space="preserve">Legal clinics in Spain </w:t>
      </w:r>
      <w:r w:rsidR="00A00BB9" w:rsidRPr="006814C7">
        <w:rPr>
          <w:rFonts w:ascii="Palatino Linotype" w:hAnsi="Palatino Linotype"/>
        </w:rPr>
        <w:t>do not</w:t>
      </w:r>
      <w:r w:rsidR="0071623A" w:rsidRPr="006814C7">
        <w:rPr>
          <w:rFonts w:ascii="Palatino Linotype" w:hAnsi="Palatino Linotype"/>
        </w:rPr>
        <w:t xml:space="preserve"> provide actual </w:t>
      </w:r>
      <w:r w:rsidRPr="006814C7">
        <w:rPr>
          <w:rFonts w:ascii="Palatino Linotype" w:hAnsi="Palatino Linotype"/>
        </w:rPr>
        <w:t>representation and legal defense in courts</w:t>
      </w:r>
      <w:r w:rsidR="0071623A" w:rsidRPr="006814C7">
        <w:rPr>
          <w:rFonts w:ascii="Palatino Linotype" w:hAnsi="Palatino Linotype"/>
        </w:rPr>
        <w:t>.  Rather, they are limited to consultation</w:t>
      </w:r>
      <w:r w:rsidRPr="006814C7">
        <w:rPr>
          <w:rFonts w:ascii="Palatino Linotype" w:hAnsi="Palatino Linotype"/>
        </w:rPr>
        <w:t xml:space="preserve"> and advice. It can even be </w:t>
      </w:r>
      <w:r w:rsidRPr="006814C7">
        <w:rPr>
          <w:rFonts w:ascii="Palatino Linotype" w:hAnsi="Palatino Linotype"/>
        </w:rPr>
        <w:lastRenderedPageBreak/>
        <w:t>pointed out that the academic advisor could recommend the subsequent advice of a lawyer.</w:t>
      </w:r>
    </w:p>
    <w:p w14:paraId="0B799400" w14:textId="77777777" w:rsidR="00D27C3B" w:rsidRPr="006814C7" w:rsidRDefault="00D27C3B" w:rsidP="00215C97">
      <w:pPr>
        <w:spacing w:line="480" w:lineRule="auto"/>
        <w:jc w:val="both"/>
        <w:rPr>
          <w:rFonts w:ascii="Palatino Linotype" w:hAnsi="Palatino Linotype"/>
        </w:rPr>
      </w:pPr>
    </w:p>
    <w:p w14:paraId="5D0E1F4F" w14:textId="0CCF659B" w:rsidR="00D961C7" w:rsidRPr="006814C7" w:rsidRDefault="00D961C7" w:rsidP="00215C97">
      <w:pPr>
        <w:spacing w:line="480" w:lineRule="auto"/>
        <w:jc w:val="both"/>
        <w:rPr>
          <w:rFonts w:ascii="Palatino Linotype" w:hAnsi="Palatino Linotype"/>
        </w:rPr>
      </w:pPr>
      <w:r w:rsidRPr="006814C7">
        <w:rPr>
          <w:rFonts w:ascii="Palatino Linotype" w:hAnsi="Palatino Linotype"/>
        </w:rPr>
        <w:t xml:space="preserve">As for the teaching staff (which is not easy to </w:t>
      </w:r>
      <w:r w:rsidR="000C5BCF" w:rsidRPr="006814C7">
        <w:rPr>
          <w:rFonts w:ascii="Palatino Linotype" w:hAnsi="Palatino Linotype"/>
        </w:rPr>
        <w:t>secure</w:t>
      </w:r>
      <w:r w:rsidRPr="006814C7">
        <w:rPr>
          <w:rFonts w:ascii="Palatino Linotype" w:hAnsi="Palatino Linotype"/>
        </w:rPr>
        <w:t xml:space="preserve">, as our experience in implementing English as vehicular language in our </w:t>
      </w:r>
      <w:r w:rsidR="000C5BCF" w:rsidRPr="006814C7">
        <w:rPr>
          <w:rFonts w:ascii="Palatino Linotype" w:hAnsi="Palatino Linotype"/>
        </w:rPr>
        <w:t>F</w:t>
      </w:r>
      <w:r w:rsidRPr="006814C7">
        <w:rPr>
          <w:rFonts w:ascii="Palatino Linotype" w:hAnsi="Palatino Linotype"/>
        </w:rPr>
        <w:t xml:space="preserve">aculty of law tells us), the ideal is to have teachers with practical experience and to whom this experience </w:t>
      </w:r>
      <w:r w:rsidR="00D53F2F" w:rsidRPr="006814C7">
        <w:rPr>
          <w:rFonts w:ascii="Palatino Linotype" w:hAnsi="Palatino Linotype"/>
        </w:rPr>
        <w:t>w</w:t>
      </w:r>
      <w:r w:rsidRPr="006814C7">
        <w:rPr>
          <w:rFonts w:ascii="Palatino Linotype" w:hAnsi="Palatino Linotype"/>
        </w:rPr>
        <w:t xml:space="preserve">ould be useful, either because the time devoted to clinical activity counts as normal teaching time for them or because they have some type of economic supplement </w:t>
      </w:r>
      <w:r w:rsidR="00D53F2F" w:rsidRPr="006814C7">
        <w:rPr>
          <w:rFonts w:ascii="Palatino Linotype" w:hAnsi="Palatino Linotype"/>
        </w:rPr>
        <w:t xml:space="preserve">or </w:t>
      </w:r>
      <w:r w:rsidRPr="006814C7">
        <w:rPr>
          <w:rFonts w:ascii="Palatino Linotype" w:hAnsi="Palatino Linotype"/>
        </w:rPr>
        <w:t xml:space="preserve">incentive. </w:t>
      </w:r>
      <w:r w:rsidR="000C5BCF" w:rsidRPr="006814C7">
        <w:rPr>
          <w:rFonts w:ascii="Palatino Linotype" w:hAnsi="Palatino Linotype"/>
        </w:rPr>
        <w:t xml:space="preserve"> </w:t>
      </w:r>
      <w:r w:rsidRPr="006814C7">
        <w:rPr>
          <w:rFonts w:ascii="Palatino Linotype" w:hAnsi="Palatino Linotype"/>
        </w:rPr>
        <w:t>It would also be advisable</w:t>
      </w:r>
      <w:r w:rsidR="00D53F2F" w:rsidRPr="006814C7">
        <w:rPr>
          <w:rFonts w:ascii="Palatino Linotype" w:hAnsi="Palatino Linotype"/>
        </w:rPr>
        <w:t xml:space="preserve"> to have a practicing attorney</w:t>
      </w:r>
      <w:r w:rsidRPr="006814C7">
        <w:rPr>
          <w:rFonts w:ascii="Palatino Linotype" w:hAnsi="Palatino Linotype"/>
        </w:rPr>
        <w:t xml:space="preserve"> </w:t>
      </w:r>
      <w:r w:rsidR="00D53F2F" w:rsidRPr="006814C7">
        <w:rPr>
          <w:rFonts w:ascii="Palatino Linotype" w:hAnsi="Palatino Linotype"/>
        </w:rPr>
        <w:t>teach with</w:t>
      </w:r>
      <w:r w:rsidRPr="006814C7">
        <w:rPr>
          <w:rFonts w:ascii="Palatino Linotype" w:hAnsi="Palatino Linotype"/>
        </w:rPr>
        <w:t xml:space="preserve"> </w:t>
      </w:r>
      <w:r w:rsidR="00D53F2F" w:rsidRPr="006814C7">
        <w:rPr>
          <w:rFonts w:ascii="Palatino Linotype" w:hAnsi="Palatino Linotype"/>
        </w:rPr>
        <w:t>a faculty member, as is the practice in externships</w:t>
      </w:r>
      <w:r w:rsidRPr="006814C7">
        <w:rPr>
          <w:rFonts w:ascii="Palatino Linotype" w:hAnsi="Palatino Linotype"/>
        </w:rPr>
        <w:t xml:space="preserve">. </w:t>
      </w:r>
      <w:r w:rsidR="000C5BCF" w:rsidRPr="006814C7">
        <w:rPr>
          <w:rFonts w:ascii="Palatino Linotype" w:hAnsi="Palatino Linotype"/>
        </w:rPr>
        <w:t xml:space="preserve"> </w:t>
      </w:r>
      <w:r w:rsidRPr="006814C7">
        <w:rPr>
          <w:rFonts w:ascii="Palatino Linotype" w:hAnsi="Palatino Linotype"/>
        </w:rPr>
        <w:t xml:space="preserve">But all </w:t>
      </w:r>
      <w:r w:rsidR="0071623A" w:rsidRPr="006814C7">
        <w:rPr>
          <w:rFonts w:ascii="Palatino Linotype" w:hAnsi="Palatino Linotype"/>
        </w:rPr>
        <w:t>this</w:t>
      </w:r>
      <w:r w:rsidRPr="006814C7">
        <w:rPr>
          <w:rFonts w:ascii="Palatino Linotype" w:hAnsi="Palatino Linotype"/>
        </w:rPr>
        <w:t xml:space="preserve"> takes money and an open mind on the part of the decision-making bodies to accept the extra cost and consider it as a forward-looking investment for the future.</w:t>
      </w:r>
    </w:p>
    <w:p w14:paraId="2144AF81" w14:textId="77777777" w:rsidR="00D27C3B" w:rsidRPr="006814C7" w:rsidRDefault="00D27C3B" w:rsidP="00215C97">
      <w:pPr>
        <w:spacing w:line="480" w:lineRule="auto"/>
        <w:jc w:val="both"/>
        <w:rPr>
          <w:rFonts w:ascii="Palatino Linotype" w:hAnsi="Palatino Linotype"/>
        </w:rPr>
      </w:pPr>
    </w:p>
    <w:p w14:paraId="1A1BD96B" w14:textId="70ADE44B" w:rsidR="00D961C7" w:rsidRPr="006814C7" w:rsidRDefault="00D961C7" w:rsidP="00215C97">
      <w:pPr>
        <w:spacing w:line="480" w:lineRule="auto"/>
        <w:jc w:val="both"/>
        <w:rPr>
          <w:rFonts w:ascii="Palatino Linotype" w:hAnsi="Palatino Linotype"/>
        </w:rPr>
      </w:pPr>
      <w:r w:rsidRPr="006814C7">
        <w:rPr>
          <w:rFonts w:ascii="Palatino Linotype" w:hAnsi="Palatino Linotype"/>
        </w:rPr>
        <w:t xml:space="preserve">The selection of students who can participate in a future clinic or clinical activity is another important question. </w:t>
      </w:r>
      <w:r w:rsidR="00322E33" w:rsidRPr="006814C7">
        <w:rPr>
          <w:rFonts w:ascii="Palatino Linotype" w:hAnsi="Palatino Linotype"/>
        </w:rPr>
        <w:t xml:space="preserve"> </w:t>
      </w:r>
      <w:r w:rsidRPr="006814C7">
        <w:rPr>
          <w:rFonts w:ascii="Palatino Linotype" w:hAnsi="Palatino Linotype"/>
        </w:rPr>
        <w:t xml:space="preserve">In the </w:t>
      </w:r>
      <w:r w:rsidR="00322E33" w:rsidRPr="006814C7">
        <w:rPr>
          <w:rFonts w:ascii="Palatino Linotype" w:hAnsi="Palatino Linotype"/>
        </w:rPr>
        <w:t>F</w:t>
      </w:r>
      <w:r w:rsidRPr="006814C7">
        <w:rPr>
          <w:rFonts w:ascii="Palatino Linotype" w:hAnsi="Palatino Linotype"/>
        </w:rPr>
        <w:t xml:space="preserve">aculty of </w:t>
      </w:r>
      <w:r w:rsidR="00322E33" w:rsidRPr="006814C7">
        <w:rPr>
          <w:rFonts w:ascii="Palatino Linotype" w:hAnsi="Palatino Linotype"/>
        </w:rPr>
        <w:t>L</w:t>
      </w:r>
      <w:r w:rsidRPr="006814C7">
        <w:rPr>
          <w:rFonts w:ascii="Palatino Linotype" w:hAnsi="Palatino Linotype"/>
        </w:rPr>
        <w:t xml:space="preserve">aw </w:t>
      </w:r>
      <w:r w:rsidR="00322E33" w:rsidRPr="006814C7">
        <w:rPr>
          <w:rFonts w:ascii="Palatino Linotype" w:hAnsi="Palatino Linotype"/>
        </w:rPr>
        <w:t>at</w:t>
      </w:r>
      <w:r w:rsidRPr="006814C7">
        <w:rPr>
          <w:rFonts w:ascii="Palatino Linotype" w:hAnsi="Palatino Linotype"/>
        </w:rPr>
        <w:t xml:space="preserve"> the University of Granada the number of </w:t>
      </w:r>
      <w:r w:rsidR="000C5BCF" w:rsidRPr="006814C7">
        <w:rPr>
          <w:rFonts w:ascii="Palatino Linotype" w:hAnsi="Palatino Linotype"/>
        </w:rPr>
        <w:t xml:space="preserve">undergraduate </w:t>
      </w:r>
      <w:r w:rsidRPr="006814C7">
        <w:rPr>
          <w:rFonts w:ascii="Palatino Linotype" w:hAnsi="Palatino Linotype"/>
        </w:rPr>
        <w:t xml:space="preserve">students enrolling in the law degree every year is very high: about </w:t>
      </w:r>
      <w:r w:rsidR="00322E33" w:rsidRPr="006814C7">
        <w:rPr>
          <w:rFonts w:ascii="Palatino Linotype" w:hAnsi="Palatino Linotype"/>
        </w:rPr>
        <w:t>500</w:t>
      </w:r>
      <w:r w:rsidRPr="006814C7">
        <w:rPr>
          <w:rFonts w:ascii="Palatino Linotype" w:hAnsi="Palatino Linotype"/>
        </w:rPr>
        <w:t xml:space="preserve">. And the number of students admitted to each group is also very high; in </w:t>
      </w:r>
      <w:proofErr w:type="spellStart"/>
      <w:r w:rsidRPr="006814C7">
        <w:rPr>
          <w:rFonts w:ascii="Palatino Linotype" w:hAnsi="Palatino Linotype"/>
          <w:i/>
        </w:rPr>
        <w:t>Proceso</w:t>
      </w:r>
      <w:proofErr w:type="spellEnd"/>
      <w:r w:rsidRPr="006814C7">
        <w:rPr>
          <w:rFonts w:ascii="Palatino Linotype" w:hAnsi="Palatino Linotype"/>
          <w:i/>
        </w:rPr>
        <w:t xml:space="preserve"> </w:t>
      </w:r>
      <w:proofErr w:type="spellStart"/>
      <w:r w:rsidRPr="006814C7">
        <w:rPr>
          <w:rFonts w:ascii="Palatino Linotype" w:hAnsi="Palatino Linotype"/>
          <w:i/>
        </w:rPr>
        <w:t>Administrativo</w:t>
      </w:r>
      <w:proofErr w:type="spellEnd"/>
      <w:r w:rsidR="00D806AC" w:rsidRPr="006814C7">
        <w:rPr>
          <w:rFonts w:ascii="Palatino Linotype" w:hAnsi="Palatino Linotype"/>
          <w:i/>
        </w:rPr>
        <w:t xml:space="preserve"> </w:t>
      </w:r>
      <w:r w:rsidR="00D806AC" w:rsidRPr="006814C7">
        <w:rPr>
          <w:rFonts w:ascii="Palatino Linotype" w:hAnsi="Palatino Linotype"/>
        </w:rPr>
        <w:t>during</w:t>
      </w:r>
      <w:r w:rsidRPr="006814C7">
        <w:rPr>
          <w:rFonts w:ascii="Palatino Linotype" w:hAnsi="Palatino Linotype"/>
        </w:rPr>
        <w:t xml:space="preserve"> the spring semester of 2018 there were nearly 90 students enrolled in the English</w:t>
      </w:r>
      <w:r w:rsidR="00322E33" w:rsidRPr="006814C7">
        <w:rPr>
          <w:rFonts w:ascii="Palatino Linotype" w:hAnsi="Palatino Linotype"/>
        </w:rPr>
        <w:t>-</w:t>
      </w:r>
      <w:r w:rsidRPr="006814C7">
        <w:rPr>
          <w:rFonts w:ascii="Palatino Linotype" w:hAnsi="Palatino Linotype"/>
        </w:rPr>
        <w:t xml:space="preserve">taught group (there’s another group in which the vehicular language is Spanish). </w:t>
      </w:r>
      <w:r w:rsidR="00D806AC" w:rsidRPr="006814C7">
        <w:rPr>
          <w:rFonts w:ascii="Palatino Linotype" w:hAnsi="Palatino Linotype"/>
        </w:rPr>
        <w:t xml:space="preserve"> </w:t>
      </w:r>
      <w:r w:rsidR="0071623A" w:rsidRPr="006814C7">
        <w:rPr>
          <w:rFonts w:ascii="Palatino Linotype" w:hAnsi="Palatino Linotype"/>
        </w:rPr>
        <w:t xml:space="preserve">Providing clinical opportunities for </w:t>
      </w:r>
      <w:r w:rsidRPr="006814C7">
        <w:rPr>
          <w:rFonts w:ascii="Palatino Linotype" w:hAnsi="Palatino Linotype"/>
        </w:rPr>
        <w:t>each and every student may be complicated if there</w:t>
      </w:r>
      <w:r w:rsidR="0071623A" w:rsidRPr="006814C7">
        <w:rPr>
          <w:rFonts w:ascii="Palatino Linotype" w:hAnsi="Palatino Linotype"/>
        </w:rPr>
        <w:t xml:space="preserve"> is</w:t>
      </w:r>
      <w:r w:rsidRPr="006814C7">
        <w:rPr>
          <w:rFonts w:ascii="Palatino Linotype" w:hAnsi="Palatino Linotype"/>
        </w:rPr>
        <w:t xml:space="preserve"> no support from the rectorate in terms of hiring new teaching </w:t>
      </w:r>
      <w:r w:rsidRPr="006814C7">
        <w:rPr>
          <w:rFonts w:ascii="Palatino Linotype" w:hAnsi="Palatino Linotype"/>
        </w:rPr>
        <w:lastRenderedPageBreak/>
        <w:t xml:space="preserve">staff in order to be able to split current groups into smaller, more manageable ones. In this regard, the selection of just a few students within the group to participate in a given clinical activity may be necessary. </w:t>
      </w:r>
      <w:r w:rsidR="00D806AC" w:rsidRPr="006814C7">
        <w:rPr>
          <w:rFonts w:ascii="Palatino Linotype" w:hAnsi="Palatino Linotype"/>
        </w:rPr>
        <w:t xml:space="preserve"> </w:t>
      </w:r>
      <w:r w:rsidRPr="006814C7">
        <w:rPr>
          <w:rFonts w:ascii="Palatino Linotype" w:hAnsi="Palatino Linotype"/>
        </w:rPr>
        <w:t xml:space="preserve">But </w:t>
      </w:r>
      <w:r w:rsidR="00EB1CBB">
        <w:rPr>
          <w:rFonts w:ascii="Palatino Linotype" w:hAnsi="Palatino Linotype"/>
        </w:rPr>
        <w:t xml:space="preserve">how </w:t>
      </w:r>
      <w:r w:rsidR="00D806AC" w:rsidRPr="006814C7">
        <w:rPr>
          <w:rFonts w:ascii="Palatino Linotype" w:hAnsi="Palatino Linotype"/>
        </w:rPr>
        <w:t>to select them</w:t>
      </w:r>
      <w:r w:rsidRPr="006814C7">
        <w:rPr>
          <w:rFonts w:ascii="Palatino Linotype" w:hAnsi="Palatino Linotype"/>
        </w:rPr>
        <w:t xml:space="preserve"> if there’s a larger number of students wanting to participate?</w:t>
      </w:r>
    </w:p>
    <w:p w14:paraId="4D4B32A0" w14:textId="77777777" w:rsidR="00D27C3B" w:rsidRPr="006814C7" w:rsidRDefault="00D27C3B" w:rsidP="00215C97">
      <w:pPr>
        <w:spacing w:line="480" w:lineRule="auto"/>
        <w:jc w:val="both"/>
        <w:rPr>
          <w:rFonts w:ascii="Palatino Linotype" w:hAnsi="Palatino Linotype"/>
        </w:rPr>
      </w:pPr>
    </w:p>
    <w:p w14:paraId="773E4014" w14:textId="757892AD" w:rsidR="00D961C7" w:rsidRPr="006814C7" w:rsidRDefault="00C25759" w:rsidP="00215C97">
      <w:pPr>
        <w:spacing w:line="480" w:lineRule="auto"/>
        <w:jc w:val="both"/>
        <w:rPr>
          <w:rFonts w:ascii="Palatino Linotype" w:hAnsi="Palatino Linotype"/>
        </w:rPr>
      </w:pPr>
      <w:r w:rsidRPr="006814C7">
        <w:rPr>
          <w:rFonts w:ascii="Palatino Linotype" w:hAnsi="Palatino Linotype"/>
        </w:rPr>
        <w:t>As well</w:t>
      </w:r>
      <w:r w:rsidR="00D961C7" w:rsidRPr="006814C7">
        <w:rPr>
          <w:rFonts w:ascii="Palatino Linotype" w:hAnsi="Palatino Linotype"/>
        </w:rPr>
        <w:t>, in Spain</w:t>
      </w:r>
      <w:r w:rsidR="0071623A" w:rsidRPr="006814C7">
        <w:rPr>
          <w:rFonts w:ascii="Palatino Linotype" w:hAnsi="Palatino Linotype"/>
        </w:rPr>
        <w:t>,</w:t>
      </w:r>
      <w:r w:rsidR="00D961C7" w:rsidRPr="006814C7">
        <w:rPr>
          <w:rFonts w:ascii="Palatino Linotype" w:hAnsi="Palatino Linotype"/>
        </w:rPr>
        <w:t xml:space="preserve"> law studies are divided into undergraduate and postgraduate degrees</w:t>
      </w:r>
      <w:r w:rsidRPr="006814C7">
        <w:rPr>
          <w:rFonts w:ascii="Palatino Linotype" w:hAnsi="Palatino Linotype"/>
        </w:rPr>
        <w:t xml:space="preserve">.  Even though we </w:t>
      </w:r>
      <w:r w:rsidR="0082077C" w:rsidRPr="006814C7">
        <w:rPr>
          <w:rFonts w:ascii="Palatino Linotype" w:hAnsi="Palatino Linotype"/>
        </w:rPr>
        <w:t xml:space="preserve">inevitably </w:t>
      </w:r>
      <w:r w:rsidRPr="006814C7">
        <w:rPr>
          <w:rFonts w:ascii="Palatino Linotype" w:hAnsi="Palatino Linotype"/>
        </w:rPr>
        <w:t>intend to focus on the latter, it is worth asking:</w:t>
      </w:r>
      <w:r w:rsidR="00D961C7" w:rsidRPr="006814C7">
        <w:rPr>
          <w:rFonts w:ascii="Palatino Linotype" w:hAnsi="Palatino Linotype"/>
        </w:rPr>
        <w:t xml:space="preserve"> is it better for the training of law students to have some kind of clinical experience during their undergraduate studies or is it better to wait until they are at </w:t>
      </w:r>
      <w:r w:rsidR="0071623A" w:rsidRPr="006814C7">
        <w:rPr>
          <w:rFonts w:ascii="Palatino Linotype" w:hAnsi="Palatino Linotype"/>
        </w:rPr>
        <w:t xml:space="preserve">the </w:t>
      </w:r>
      <w:r w:rsidR="00D961C7" w:rsidRPr="006814C7">
        <w:rPr>
          <w:rFonts w:ascii="Palatino Linotype" w:hAnsi="Palatino Linotype"/>
        </w:rPr>
        <w:t xml:space="preserve">graduate level? </w:t>
      </w:r>
      <w:r w:rsidR="0082077C" w:rsidRPr="006814C7">
        <w:rPr>
          <w:rFonts w:ascii="Palatino Linotype" w:hAnsi="Palatino Linotype"/>
        </w:rPr>
        <w:t xml:space="preserve"> </w:t>
      </w:r>
      <w:r w:rsidR="00D961C7" w:rsidRPr="006814C7">
        <w:rPr>
          <w:rFonts w:ascii="Palatino Linotype" w:hAnsi="Palatino Linotype"/>
        </w:rPr>
        <w:t>From the point of view of fulfilling the needs of society</w:t>
      </w:r>
      <w:r w:rsidR="0071623A" w:rsidRPr="006814C7">
        <w:rPr>
          <w:rFonts w:ascii="Palatino Linotype" w:hAnsi="Palatino Linotype"/>
        </w:rPr>
        <w:t>,</w:t>
      </w:r>
      <w:r w:rsidR="00D961C7" w:rsidRPr="006814C7">
        <w:rPr>
          <w:rFonts w:ascii="Palatino Linotype" w:hAnsi="Palatino Linotype"/>
        </w:rPr>
        <w:t xml:space="preserve"> it may be too challenging for undergraduate students, at least in their first or second year; but from the point of view of their training, a more practical approach is something that most students feel is lacking from the very beginning in their current undergraduate program. </w:t>
      </w:r>
      <w:r w:rsidR="0082077C" w:rsidRPr="006814C7">
        <w:rPr>
          <w:rFonts w:ascii="Palatino Linotype" w:hAnsi="Palatino Linotype"/>
        </w:rPr>
        <w:t xml:space="preserve"> </w:t>
      </w:r>
      <w:r w:rsidR="00D961C7" w:rsidRPr="006814C7">
        <w:rPr>
          <w:rFonts w:ascii="Palatino Linotype" w:hAnsi="Palatino Linotype"/>
        </w:rPr>
        <w:t xml:space="preserve">At the University of Granada, it’s not until their fourth and last year of undergraduate studies that </w:t>
      </w:r>
      <w:r w:rsidR="0071623A" w:rsidRPr="006814C7">
        <w:rPr>
          <w:rFonts w:ascii="Palatino Linotype" w:hAnsi="Palatino Linotype"/>
        </w:rPr>
        <w:t xml:space="preserve">students </w:t>
      </w:r>
      <w:r w:rsidR="00D961C7" w:rsidRPr="006814C7">
        <w:rPr>
          <w:rFonts w:ascii="Palatino Linotype" w:hAnsi="Palatino Linotype"/>
        </w:rPr>
        <w:t xml:space="preserve">have </w:t>
      </w:r>
      <w:r w:rsidR="0082077C" w:rsidRPr="006814C7">
        <w:rPr>
          <w:rFonts w:ascii="Palatino Linotype" w:hAnsi="Palatino Linotype"/>
        </w:rPr>
        <w:t>their</w:t>
      </w:r>
      <w:r w:rsidR="00D961C7" w:rsidRPr="006814C7">
        <w:rPr>
          <w:rFonts w:ascii="Palatino Linotype" w:hAnsi="Palatino Linotype"/>
        </w:rPr>
        <w:t xml:space="preserve"> first</w:t>
      </w:r>
      <w:r w:rsidR="0082077C" w:rsidRPr="006814C7">
        <w:rPr>
          <w:rFonts w:ascii="Palatino Linotype" w:hAnsi="Palatino Linotype"/>
        </w:rPr>
        <w:t>—</w:t>
      </w:r>
      <w:r w:rsidR="00D961C7" w:rsidRPr="006814C7">
        <w:rPr>
          <w:rFonts w:ascii="Palatino Linotype" w:hAnsi="Palatino Linotype"/>
        </w:rPr>
        <w:t>and onl</w:t>
      </w:r>
      <w:r w:rsidR="0082077C" w:rsidRPr="006814C7">
        <w:rPr>
          <w:rFonts w:ascii="Palatino Linotype" w:hAnsi="Palatino Linotype"/>
        </w:rPr>
        <w:t>y—</w:t>
      </w:r>
      <w:r w:rsidR="00D961C7" w:rsidRPr="006814C7">
        <w:rPr>
          <w:rFonts w:ascii="Palatino Linotype" w:hAnsi="Palatino Linotype"/>
        </w:rPr>
        <w:t xml:space="preserve">practical experience with the mandatory course </w:t>
      </w:r>
      <w:proofErr w:type="spellStart"/>
      <w:r w:rsidR="00D961C7" w:rsidRPr="006814C7">
        <w:rPr>
          <w:rFonts w:ascii="Palatino Linotype" w:hAnsi="Palatino Linotype"/>
          <w:i/>
        </w:rPr>
        <w:t>prácticas</w:t>
      </w:r>
      <w:proofErr w:type="spellEnd"/>
      <w:r w:rsidR="00D961C7" w:rsidRPr="006814C7">
        <w:rPr>
          <w:rFonts w:ascii="Palatino Linotype" w:hAnsi="Palatino Linotype"/>
          <w:i/>
        </w:rPr>
        <w:t xml:space="preserve"> </w:t>
      </w:r>
      <w:proofErr w:type="spellStart"/>
      <w:r w:rsidR="00D961C7" w:rsidRPr="006814C7">
        <w:rPr>
          <w:rFonts w:ascii="Palatino Linotype" w:hAnsi="Palatino Linotype"/>
          <w:i/>
        </w:rPr>
        <w:t>externas</w:t>
      </w:r>
      <w:proofErr w:type="spellEnd"/>
      <w:r w:rsidR="00D961C7" w:rsidRPr="006814C7">
        <w:rPr>
          <w:rFonts w:ascii="Palatino Linotype" w:hAnsi="Palatino Linotype"/>
          <w:i/>
        </w:rPr>
        <w:t xml:space="preserve"> </w:t>
      </w:r>
      <w:r w:rsidR="00D961C7" w:rsidRPr="006814C7">
        <w:rPr>
          <w:rFonts w:ascii="Palatino Linotype" w:hAnsi="Palatino Linotype"/>
        </w:rPr>
        <w:t>(</w:t>
      </w:r>
      <w:r w:rsidRPr="006814C7">
        <w:rPr>
          <w:rFonts w:ascii="Palatino Linotype" w:hAnsi="Palatino Linotype"/>
        </w:rPr>
        <w:t xml:space="preserve">or </w:t>
      </w:r>
      <w:r w:rsidR="00D961C7" w:rsidRPr="006814C7">
        <w:rPr>
          <w:rFonts w:ascii="Palatino Linotype" w:hAnsi="Palatino Linotype"/>
        </w:rPr>
        <w:t>extern</w:t>
      </w:r>
      <w:r w:rsidRPr="006814C7">
        <w:rPr>
          <w:rFonts w:ascii="Palatino Linotype" w:hAnsi="Palatino Linotype"/>
        </w:rPr>
        <w:t>ships</w:t>
      </w:r>
      <w:r w:rsidR="00D961C7" w:rsidRPr="006814C7">
        <w:rPr>
          <w:rFonts w:ascii="Palatino Linotype" w:hAnsi="Palatino Linotype"/>
        </w:rPr>
        <w:t>)</w:t>
      </w:r>
      <w:r w:rsidRPr="006814C7">
        <w:rPr>
          <w:rFonts w:ascii="Palatino Linotype" w:hAnsi="Palatino Linotype"/>
        </w:rPr>
        <w:t xml:space="preserve">, which </w:t>
      </w:r>
      <w:r w:rsidR="00D961C7" w:rsidRPr="006814C7">
        <w:rPr>
          <w:rFonts w:ascii="Palatino Linotype" w:hAnsi="Palatino Linotype"/>
        </w:rPr>
        <w:t>are only three weeks long.</w:t>
      </w:r>
    </w:p>
    <w:p w14:paraId="39CCFA6F" w14:textId="77777777" w:rsidR="00D27C3B" w:rsidRPr="006814C7" w:rsidRDefault="00D27C3B" w:rsidP="00215C97">
      <w:pPr>
        <w:spacing w:line="480" w:lineRule="auto"/>
        <w:jc w:val="both"/>
        <w:rPr>
          <w:rFonts w:ascii="Palatino Linotype" w:hAnsi="Palatino Linotype"/>
        </w:rPr>
      </w:pPr>
    </w:p>
    <w:p w14:paraId="210EBCA0" w14:textId="7757BCC5" w:rsidR="00D961C7" w:rsidRPr="006814C7" w:rsidRDefault="00C25759" w:rsidP="00215C97">
      <w:pPr>
        <w:pStyle w:val="ListParagraph"/>
        <w:numPr>
          <w:ilvl w:val="0"/>
          <w:numId w:val="25"/>
        </w:numPr>
        <w:spacing w:line="480" w:lineRule="auto"/>
        <w:jc w:val="both"/>
        <w:rPr>
          <w:rFonts w:ascii="Palatino Linotype" w:hAnsi="Palatino Linotype"/>
          <w:b/>
        </w:rPr>
      </w:pPr>
      <w:r w:rsidRPr="006814C7">
        <w:rPr>
          <w:rFonts w:ascii="Palatino Linotype" w:hAnsi="Palatino Linotype"/>
          <w:b/>
        </w:rPr>
        <w:t>‘</w:t>
      </w:r>
      <w:proofErr w:type="spellStart"/>
      <w:r w:rsidRPr="006814C7">
        <w:rPr>
          <w:rFonts w:ascii="Palatino Linotype" w:hAnsi="Palatino Linotype"/>
          <w:b/>
        </w:rPr>
        <w:t>Clinicalizing</w:t>
      </w:r>
      <w:proofErr w:type="spellEnd"/>
      <w:r w:rsidRPr="006814C7">
        <w:rPr>
          <w:rFonts w:ascii="Palatino Linotype" w:hAnsi="Palatino Linotype"/>
          <w:b/>
        </w:rPr>
        <w:t>’</w:t>
      </w:r>
      <w:r w:rsidR="00D961C7" w:rsidRPr="006814C7">
        <w:rPr>
          <w:rFonts w:ascii="Palatino Linotype" w:hAnsi="Palatino Linotype"/>
          <w:b/>
        </w:rPr>
        <w:t xml:space="preserve"> </w:t>
      </w:r>
      <w:proofErr w:type="spellStart"/>
      <w:r w:rsidR="00D961C7" w:rsidRPr="006814C7">
        <w:rPr>
          <w:rFonts w:ascii="Palatino Linotype" w:hAnsi="Palatino Linotype"/>
          <w:b/>
          <w:i/>
        </w:rPr>
        <w:t>Proceso</w:t>
      </w:r>
      <w:proofErr w:type="spellEnd"/>
      <w:r w:rsidR="00D961C7" w:rsidRPr="006814C7">
        <w:rPr>
          <w:rFonts w:ascii="Palatino Linotype" w:hAnsi="Palatino Linotype"/>
          <w:b/>
          <w:i/>
        </w:rPr>
        <w:t xml:space="preserve"> </w:t>
      </w:r>
      <w:proofErr w:type="spellStart"/>
      <w:r w:rsidR="00D961C7" w:rsidRPr="006814C7">
        <w:rPr>
          <w:rFonts w:ascii="Palatino Linotype" w:hAnsi="Palatino Linotype"/>
          <w:b/>
          <w:i/>
        </w:rPr>
        <w:t>Administrativo</w:t>
      </w:r>
      <w:proofErr w:type="spellEnd"/>
      <w:r w:rsidR="00D961C7" w:rsidRPr="006814C7">
        <w:rPr>
          <w:rFonts w:ascii="Palatino Linotype" w:hAnsi="Palatino Linotype"/>
          <w:b/>
        </w:rPr>
        <w:t xml:space="preserve"> </w:t>
      </w:r>
    </w:p>
    <w:p w14:paraId="4D671998" w14:textId="1B89EF13" w:rsidR="00D961C7" w:rsidRPr="006814C7" w:rsidRDefault="00EB1CBB" w:rsidP="00215C97">
      <w:pPr>
        <w:spacing w:line="480" w:lineRule="auto"/>
        <w:jc w:val="both"/>
        <w:rPr>
          <w:rFonts w:ascii="Palatino Linotype" w:hAnsi="Palatino Linotype"/>
        </w:rPr>
      </w:pPr>
      <w:r>
        <w:rPr>
          <w:rFonts w:ascii="Palatino Linotype" w:hAnsi="Palatino Linotype"/>
        </w:rPr>
        <w:t>To establish this clinical foothold at the University of Granada, a</w:t>
      </w:r>
      <w:r w:rsidR="00BF5318" w:rsidRPr="006814C7">
        <w:rPr>
          <w:rFonts w:ascii="Palatino Linotype" w:hAnsi="Palatino Linotype"/>
        </w:rPr>
        <w:t>mong the threshold questions we need to answer are:</w:t>
      </w:r>
      <w:r w:rsidR="00D961C7" w:rsidRPr="006814C7">
        <w:rPr>
          <w:rFonts w:ascii="Palatino Linotype" w:hAnsi="Palatino Linotype"/>
        </w:rPr>
        <w:t xml:space="preserve"> </w:t>
      </w:r>
      <w:r w:rsidR="00BF5318" w:rsidRPr="006814C7">
        <w:rPr>
          <w:rFonts w:ascii="Palatino Linotype" w:hAnsi="Palatino Linotype"/>
        </w:rPr>
        <w:t>d</w:t>
      </w:r>
      <w:r w:rsidR="00D961C7" w:rsidRPr="006814C7">
        <w:rPr>
          <w:rFonts w:ascii="Palatino Linotype" w:hAnsi="Palatino Linotype"/>
        </w:rPr>
        <w:t xml:space="preserve">o we want to start right away even though we have to </w:t>
      </w:r>
      <w:r w:rsidR="00D961C7" w:rsidRPr="006814C7">
        <w:rPr>
          <w:rFonts w:ascii="Palatino Linotype" w:hAnsi="Palatino Linotype"/>
        </w:rPr>
        <w:lastRenderedPageBreak/>
        <w:t xml:space="preserve">make do with a modest beginning and develop a more complete and definitive plan on </w:t>
      </w:r>
      <w:r>
        <w:rPr>
          <w:rFonts w:ascii="Palatino Linotype" w:hAnsi="Palatino Linotype"/>
        </w:rPr>
        <w:t>later</w:t>
      </w:r>
      <w:r w:rsidR="00D961C7" w:rsidRPr="006814C7">
        <w:rPr>
          <w:rFonts w:ascii="Palatino Linotype" w:hAnsi="Palatino Linotype"/>
        </w:rPr>
        <w:t xml:space="preserve">, based on the results of first experiences? </w:t>
      </w:r>
      <w:r w:rsidR="00321723" w:rsidRPr="006814C7">
        <w:rPr>
          <w:rFonts w:ascii="Palatino Linotype" w:hAnsi="Palatino Linotype"/>
        </w:rPr>
        <w:t xml:space="preserve"> </w:t>
      </w:r>
      <w:r w:rsidR="00D961C7" w:rsidRPr="006814C7">
        <w:rPr>
          <w:rFonts w:ascii="Palatino Linotype" w:hAnsi="Palatino Linotype"/>
        </w:rPr>
        <w:t>Or is it better to have an ideal plan, very well</w:t>
      </w:r>
      <w:r w:rsidR="005832EE" w:rsidRPr="006814C7">
        <w:rPr>
          <w:rFonts w:ascii="Palatino Linotype" w:hAnsi="Palatino Linotype"/>
        </w:rPr>
        <w:t>-</w:t>
      </w:r>
      <w:r w:rsidR="00D961C7" w:rsidRPr="006814C7">
        <w:rPr>
          <w:rFonts w:ascii="Palatino Linotype" w:hAnsi="Palatino Linotype"/>
        </w:rPr>
        <w:t>defined and designed from the beginning, and stick to it even though the conditions to make it possible are not in place for a long time (or maybe forever!)</w:t>
      </w:r>
      <w:r w:rsidR="00321723" w:rsidRPr="006814C7">
        <w:rPr>
          <w:rFonts w:ascii="Palatino Linotype" w:hAnsi="Palatino Linotype"/>
        </w:rPr>
        <w:t>?</w:t>
      </w:r>
      <w:r w:rsidR="00D961C7" w:rsidRPr="006814C7">
        <w:rPr>
          <w:rFonts w:ascii="Palatino Linotype" w:hAnsi="Palatino Linotype"/>
        </w:rPr>
        <w:t xml:space="preserve"> </w:t>
      </w:r>
      <w:r w:rsidR="00321723" w:rsidRPr="006814C7">
        <w:rPr>
          <w:rFonts w:ascii="Palatino Linotype" w:hAnsi="Palatino Linotype"/>
        </w:rPr>
        <w:t xml:space="preserve"> </w:t>
      </w:r>
      <w:r w:rsidR="00D961C7" w:rsidRPr="006814C7">
        <w:rPr>
          <w:rFonts w:ascii="Palatino Linotype" w:hAnsi="Palatino Linotype"/>
        </w:rPr>
        <w:t xml:space="preserve">If we pursue the second option some further questions are appropriate: what do (administrative) lawyers actually do? </w:t>
      </w:r>
      <w:r w:rsidR="00321723" w:rsidRPr="006814C7">
        <w:rPr>
          <w:rFonts w:ascii="Palatino Linotype" w:hAnsi="Palatino Linotype"/>
        </w:rPr>
        <w:t xml:space="preserve"> </w:t>
      </w:r>
      <w:r w:rsidR="00D961C7" w:rsidRPr="006814C7">
        <w:rPr>
          <w:rFonts w:ascii="Palatino Linotype" w:hAnsi="Palatino Linotype"/>
        </w:rPr>
        <w:t xml:space="preserve">What parts of the syllabus are best taught experientially? </w:t>
      </w:r>
      <w:r w:rsidR="00321723" w:rsidRPr="006814C7">
        <w:rPr>
          <w:rFonts w:ascii="Palatino Linotype" w:hAnsi="Palatino Linotype"/>
        </w:rPr>
        <w:t xml:space="preserve"> </w:t>
      </w:r>
      <w:r w:rsidR="00D961C7" w:rsidRPr="006814C7">
        <w:rPr>
          <w:rFonts w:ascii="Palatino Linotype" w:hAnsi="Palatino Linotype"/>
        </w:rPr>
        <w:t xml:space="preserve">Or from another point of view, what does </w:t>
      </w:r>
      <w:r w:rsidR="0071623A" w:rsidRPr="006814C7">
        <w:rPr>
          <w:rFonts w:ascii="Palatino Linotype" w:hAnsi="Palatino Linotype"/>
        </w:rPr>
        <w:t xml:space="preserve">the </w:t>
      </w:r>
      <w:r w:rsidR="00D961C7" w:rsidRPr="006814C7">
        <w:rPr>
          <w:rFonts w:ascii="Palatino Linotype" w:hAnsi="Palatino Linotype"/>
        </w:rPr>
        <w:t xml:space="preserve">community need? </w:t>
      </w:r>
      <w:r w:rsidR="00321723" w:rsidRPr="006814C7">
        <w:rPr>
          <w:rFonts w:ascii="Palatino Linotype" w:hAnsi="Palatino Linotype"/>
        </w:rPr>
        <w:t xml:space="preserve"> </w:t>
      </w:r>
      <w:r w:rsidR="00D961C7" w:rsidRPr="006814C7">
        <w:rPr>
          <w:rFonts w:ascii="Palatino Linotype" w:hAnsi="Palatino Linotype"/>
        </w:rPr>
        <w:t>If we opt for the first alternative</w:t>
      </w:r>
      <w:r w:rsidR="0071623A" w:rsidRPr="006814C7">
        <w:rPr>
          <w:rFonts w:ascii="Palatino Linotype" w:hAnsi="Palatino Linotype"/>
        </w:rPr>
        <w:t>,</w:t>
      </w:r>
      <w:r w:rsidR="00D961C7" w:rsidRPr="006814C7">
        <w:rPr>
          <w:rFonts w:ascii="Palatino Linotype" w:hAnsi="Palatino Linotype"/>
        </w:rPr>
        <w:t xml:space="preserve"> the questions to be made in the beginning are quite different: what </w:t>
      </w:r>
      <w:r w:rsidR="00D961C7" w:rsidRPr="006814C7">
        <w:rPr>
          <w:rFonts w:ascii="Palatino Linotype" w:hAnsi="Palatino Linotype"/>
          <w:i/>
        </w:rPr>
        <w:t xml:space="preserve">can </w:t>
      </w:r>
      <w:r w:rsidR="00D961C7" w:rsidRPr="006814C7">
        <w:rPr>
          <w:rFonts w:ascii="Palatino Linotype" w:hAnsi="Palatino Linotype"/>
        </w:rPr>
        <w:t xml:space="preserve">be done to start with? </w:t>
      </w:r>
      <w:r w:rsidR="00321723" w:rsidRPr="006814C7">
        <w:rPr>
          <w:rFonts w:ascii="Palatino Linotype" w:hAnsi="Palatino Linotype"/>
        </w:rPr>
        <w:t xml:space="preserve"> </w:t>
      </w:r>
      <w:r w:rsidR="00D961C7" w:rsidRPr="006814C7">
        <w:rPr>
          <w:rFonts w:ascii="Palatino Linotype" w:hAnsi="Palatino Linotype"/>
        </w:rPr>
        <w:t xml:space="preserve">What is feasible right now taking into account the human and material resources available? </w:t>
      </w:r>
      <w:r w:rsidR="00321723" w:rsidRPr="006814C7">
        <w:rPr>
          <w:rFonts w:ascii="Palatino Linotype" w:hAnsi="Palatino Linotype"/>
        </w:rPr>
        <w:t xml:space="preserve"> </w:t>
      </w:r>
      <w:r w:rsidR="00D961C7" w:rsidRPr="006814C7">
        <w:rPr>
          <w:rFonts w:ascii="Palatino Linotype" w:hAnsi="Palatino Linotype"/>
        </w:rPr>
        <w:t xml:space="preserve">Further development, of course, would require answering the other questions, but that could be done at a later stage. </w:t>
      </w:r>
    </w:p>
    <w:p w14:paraId="245DFB44" w14:textId="77777777" w:rsidR="00D27C3B" w:rsidRPr="006814C7" w:rsidRDefault="00D27C3B" w:rsidP="00215C97">
      <w:pPr>
        <w:spacing w:line="480" w:lineRule="auto"/>
        <w:jc w:val="both"/>
        <w:rPr>
          <w:rFonts w:ascii="Palatino Linotype" w:hAnsi="Palatino Linotype"/>
        </w:rPr>
      </w:pPr>
    </w:p>
    <w:p w14:paraId="4D4DD81A" w14:textId="15A55BEF" w:rsidR="00D961C7" w:rsidRPr="006814C7" w:rsidRDefault="00D961C7" w:rsidP="00215C97">
      <w:pPr>
        <w:spacing w:line="480" w:lineRule="auto"/>
        <w:jc w:val="both"/>
        <w:rPr>
          <w:rFonts w:ascii="Palatino Linotype" w:hAnsi="Palatino Linotype"/>
        </w:rPr>
      </w:pPr>
      <w:r w:rsidRPr="006814C7">
        <w:rPr>
          <w:rFonts w:ascii="Palatino Linotype" w:hAnsi="Palatino Linotype"/>
        </w:rPr>
        <w:t xml:space="preserve">Since turning </w:t>
      </w:r>
      <w:proofErr w:type="spellStart"/>
      <w:r w:rsidRPr="006814C7">
        <w:rPr>
          <w:rFonts w:ascii="Palatino Linotype" w:hAnsi="Palatino Linotype"/>
          <w:i/>
        </w:rPr>
        <w:t>Proceso</w:t>
      </w:r>
      <w:proofErr w:type="spellEnd"/>
      <w:r w:rsidRPr="006814C7">
        <w:rPr>
          <w:rFonts w:ascii="Palatino Linotype" w:hAnsi="Palatino Linotype"/>
          <w:i/>
        </w:rPr>
        <w:t xml:space="preserve"> </w:t>
      </w:r>
      <w:proofErr w:type="spellStart"/>
      <w:r w:rsidRPr="006814C7">
        <w:rPr>
          <w:rFonts w:ascii="Palatino Linotype" w:hAnsi="Palatino Linotype"/>
          <w:i/>
        </w:rPr>
        <w:t>Administrativo</w:t>
      </w:r>
      <w:proofErr w:type="spellEnd"/>
      <w:r w:rsidRPr="006814C7">
        <w:rPr>
          <w:rFonts w:ascii="Palatino Linotype" w:hAnsi="Palatino Linotype"/>
        </w:rPr>
        <w:t xml:space="preserve"> into a clinical course needs the initial approval of the decision-making bodies of the university and having some previous positive experience would help convince these bodies, introducing some clinical component to the course as it is now, just by changing one or some of the current practical activities into an activity or activities with a clinical approach, would allow us to start right away with little effort and to ensure positive results (</w:t>
      </w:r>
      <w:r w:rsidR="00321723" w:rsidRPr="006814C7">
        <w:rPr>
          <w:rFonts w:ascii="Palatino Linotype" w:hAnsi="Palatino Linotype"/>
        </w:rPr>
        <w:t xml:space="preserve">for example, in the form of </w:t>
      </w:r>
      <w:r w:rsidRPr="006814C7">
        <w:rPr>
          <w:rFonts w:ascii="Palatino Linotype" w:hAnsi="Palatino Linotype"/>
        </w:rPr>
        <w:t>students’ or external institutions’ opinion</w:t>
      </w:r>
      <w:r w:rsidR="00321723" w:rsidRPr="006814C7">
        <w:rPr>
          <w:rFonts w:ascii="Palatino Linotype" w:hAnsi="Palatino Linotype"/>
        </w:rPr>
        <w:t>s</w:t>
      </w:r>
      <w:r w:rsidRPr="006814C7">
        <w:rPr>
          <w:rFonts w:ascii="Palatino Linotype" w:hAnsi="Palatino Linotype"/>
        </w:rPr>
        <w:t xml:space="preserve">) thanks to the limited and easily manageable scope of the </w:t>
      </w:r>
      <w:r w:rsidRPr="006814C7">
        <w:rPr>
          <w:rFonts w:ascii="Palatino Linotype" w:hAnsi="Palatino Linotype"/>
        </w:rPr>
        <w:lastRenderedPageBreak/>
        <w:t xml:space="preserve">experience. </w:t>
      </w:r>
      <w:r w:rsidR="00321723" w:rsidRPr="006814C7">
        <w:rPr>
          <w:rFonts w:ascii="Palatino Linotype" w:hAnsi="Palatino Linotype"/>
        </w:rPr>
        <w:t xml:space="preserve"> </w:t>
      </w:r>
      <w:r w:rsidR="00402A1B">
        <w:rPr>
          <w:rFonts w:ascii="Palatino Linotype" w:hAnsi="Palatino Linotype"/>
        </w:rPr>
        <w:t xml:space="preserve">We decided, therefore, that </w:t>
      </w:r>
      <w:r w:rsidRPr="006814C7">
        <w:rPr>
          <w:rFonts w:ascii="Palatino Linotype" w:hAnsi="Palatino Linotype"/>
        </w:rPr>
        <w:t>the first step would be just an individual decision with no institutional involvement or commitment.</w:t>
      </w:r>
    </w:p>
    <w:p w14:paraId="1D0CAF0F" w14:textId="77777777" w:rsidR="00215C97" w:rsidRPr="006814C7" w:rsidRDefault="00215C97" w:rsidP="00215C97">
      <w:pPr>
        <w:spacing w:line="480" w:lineRule="auto"/>
        <w:jc w:val="both"/>
        <w:rPr>
          <w:rFonts w:ascii="Palatino Linotype" w:hAnsi="Palatino Linotype"/>
        </w:rPr>
      </w:pPr>
    </w:p>
    <w:p w14:paraId="3E5A45FC" w14:textId="69B9EED7" w:rsidR="00D961C7" w:rsidRPr="006814C7" w:rsidRDefault="0091648A" w:rsidP="00215C97">
      <w:pPr>
        <w:spacing w:line="480" w:lineRule="auto"/>
        <w:jc w:val="both"/>
        <w:rPr>
          <w:rFonts w:ascii="Palatino Linotype" w:hAnsi="Palatino Linotype"/>
        </w:rPr>
      </w:pPr>
      <w:r w:rsidRPr="006814C7">
        <w:rPr>
          <w:rFonts w:ascii="Palatino Linotype" w:hAnsi="Palatino Linotype"/>
        </w:rPr>
        <w:t>Given these initial considerations and constraints, a “</w:t>
      </w:r>
      <w:r w:rsidR="00D961C7" w:rsidRPr="006814C7">
        <w:rPr>
          <w:rFonts w:ascii="Palatino Linotype" w:hAnsi="Palatino Linotype"/>
        </w:rPr>
        <w:t>street law</w:t>
      </w:r>
      <w:r w:rsidRPr="006814C7">
        <w:rPr>
          <w:rFonts w:ascii="Palatino Linotype" w:hAnsi="Palatino Linotype"/>
        </w:rPr>
        <w:t>”</w:t>
      </w:r>
      <w:r w:rsidR="00D961C7" w:rsidRPr="006814C7">
        <w:rPr>
          <w:rFonts w:ascii="Palatino Linotype" w:hAnsi="Palatino Linotype"/>
          <w:i/>
        </w:rPr>
        <w:t xml:space="preserve"> </w:t>
      </w:r>
      <w:r w:rsidR="00AA646D" w:rsidRPr="006814C7">
        <w:rPr>
          <w:rFonts w:ascii="Palatino Linotype" w:hAnsi="Palatino Linotype"/>
        </w:rPr>
        <w:t>model</w:t>
      </w:r>
      <w:r w:rsidRPr="006814C7">
        <w:rPr>
          <w:rFonts w:ascii="Palatino Linotype" w:hAnsi="Palatino Linotype"/>
        </w:rPr>
        <w:t xml:space="preserve"> may be most appropriate here at the outset</w:t>
      </w:r>
      <w:r w:rsidR="00D961C7" w:rsidRPr="006814C7">
        <w:rPr>
          <w:rFonts w:ascii="Palatino Linotype" w:hAnsi="Palatino Linotype"/>
        </w:rPr>
        <w:t xml:space="preserve">. </w:t>
      </w:r>
      <w:r w:rsidRPr="006814C7">
        <w:rPr>
          <w:rFonts w:ascii="Palatino Linotype" w:hAnsi="Palatino Linotype"/>
        </w:rPr>
        <w:t xml:space="preserve"> </w:t>
      </w:r>
      <w:r w:rsidR="00D961C7" w:rsidRPr="006814C7">
        <w:rPr>
          <w:rFonts w:ascii="Palatino Linotype" w:hAnsi="Palatino Linotype"/>
        </w:rPr>
        <w:t>There’s a good example</w:t>
      </w:r>
      <w:r w:rsidR="00AA646D" w:rsidRPr="006814C7">
        <w:rPr>
          <w:rFonts w:ascii="Palatino Linotype" w:hAnsi="Palatino Linotype"/>
        </w:rPr>
        <w:t xml:space="preserve"> of this model</w:t>
      </w:r>
      <w:r w:rsidR="00D961C7" w:rsidRPr="006814C7">
        <w:rPr>
          <w:rFonts w:ascii="Palatino Linotype" w:hAnsi="Palatino Linotype"/>
        </w:rPr>
        <w:t xml:space="preserve"> in Spain in the University of Oviedo</w:t>
      </w:r>
      <w:r w:rsidR="00AA646D" w:rsidRPr="006814C7">
        <w:rPr>
          <w:rFonts w:ascii="Palatino Linotype" w:hAnsi="Palatino Linotype"/>
        </w:rPr>
        <w:t>.</w:t>
      </w:r>
      <w:r w:rsidR="00D961C7" w:rsidRPr="006814C7">
        <w:rPr>
          <w:rStyle w:val="FootnoteReference"/>
          <w:rFonts w:ascii="Palatino Linotype" w:hAnsi="Palatino Linotype"/>
        </w:rPr>
        <w:footnoteReference w:id="48"/>
      </w:r>
      <w:r w:rsidR="00D961C7" w:rsidRPr="006814C7">
        <w:rPr>
          <w:rFonts w:ascii="Palatino Linotype" w:hAnsi="Palatino Linotype"/>
        </w:rPr>
        <w:t xml:space="preserve"> </w:t>
      </w:r>
      <w:r w:rsidR="00CF409D" w:rsidRPr="006814C7">
        <w:rPr>
          <w:rFonts w:ascii="Palatino Linotype" w:hAnsi="Palatino Linotype"/>
        </w:rPr>
        <w:t xml:space="preserve"> </w:t>
      </w:r>
      <w:r w:rsidR="00D961C7" w:rsidRPr="006814C7">
        <w:rPr>
          <w:rFonts w:ascii="Palatino Linotype" w:hAnsi="Palatino Linotype"/>
        </w:rPr>
        <w:t xml:space="preserve">The model aims </w:t>
      </w:r>
      <w:r w:rsidR="00AA646D" w:rsidRPr="006814C7">
        <w:rPr>
          <w:rFonts w:ascii="Palatino Linotype" w:hAnsi="Palatino Linotype"/>
        </w:rPr>
        <w:t>to</w:t>
      </w:r>
      <w:r w:rsidR="00D961C7" w:rsidRPr="006814C7">
        <w:rPr>
          <w:rFonts w:ascii="Palatino Linotype" w:hAnsi="Palatino Linotype"/>
        </w:rPr>
        <w:t xml:space="preserve"> teach law in a practical way to non-lawyers, so that it can be useful in daily experience</w:t>
      </w:r>
      <w:r w:rsidR="00CF409D" w:rsidRPr="006814C7">
        <w:rPr>
          <w:rFonts w:ascii="Palatino Linotype" w:hAnsi="Palatino Linotype"/>
        </w:rPr>
        <w:t xml:space="preserve">—i.e., </w:t>
      </w:r>
      <w:r w:rsidR="00D961C7" w:rsidRPr="006814C7">
        <w:rPr>
          <w:rFonts w:ascii="Palatino Linotype" w:hAnsi="Palatino Linotype"/>
        </w:rPr>
        <w:t>“in the street</w:t>
      </w:r>
      <w:r w:rsidR="00AA646D" w:rsidRPr="006814C7">
        <w:rPr>
          <w:rFonts w:ascii="Palatino Linotype" w:hAnsi="Palatino Linotype"/>
        </w:rPr>
        <w:t>.</w:t>
      </w:r>
      <w:r w:rsidR="00D961C7" w:rsidRPr="006814C7">
        <w:rPr>
          <w:rFonts w:ascii="Palatino Linotype" w:hAnsi="Palatino Linotype"/>
        </w:rPr>
        <w:t xml:space="preserve">” </w:t>
      </w:r>
      <w:r w:rsidR="00AA646D" w:rsidRPr="006814C7">
        <w:rPr>
          <w:rFonts w:ascii="Palatino Linotype" w:hAnsi="Palatino Linotype"/>
        </w:rPr>
        <w:t xml:space="preserve"> </w:t>
      </w:r>
      <w:r w:rsidR="00D961C7" w:rsidRPr="006814C7">
        <w:rPr>
          <w:rFonts w:ascii="Palatino Linotype" w:hAnsi="Palatino Linotype"/>
        </w:rPr>
        <w:t>In this model, law students (under</w:t>
      </w:r>
      <w:r w:rsidR="00AA646D" w:rsidRPr="006814C7">
        <w:rPr>
          <w:rFonts w:ascii="Palatino Linotype" w:hAnsi="Palatino Linotype"/>
        </w:rPr>
        <w:t>-</w:t>
      </w:r>
      <w:r w:rsidR="00D961C7" w:rsidRPr="006814C7">
        <w:rPr>
          <w:rFonts w:ascii="Palatino Linotype" w:hAnsi="Palatino Linotype"/>
        </w:rPr>
        <w:t xml:space="preserve"> or post-graduate) </w:t>
      </w:r>
      <w:r w:rsidR="00F132FD" w:rsidRPr="006814C7">
        <w:rPr>
          <w:rFonts w:ascii="Palatino Linotype" w:hAnsi="Palatino Linotype"/>
        </w:rPr>
        <w:t>supervised by</w:t>
      </w:r>
      <w:r w:rsidR="002769C2" w:rsidRPr="006814C7">
        <w:rPr>
          <w:rFonts w:ascii="Palatino Linotype" w:hAnsi="Palatino Linotype"/>
        </w:rPr>
        <w:t xml:space="preserve"> their teacher</w:t>
      </w:r>
      <w:r w:rsidR="00F132FD" w:rsidRPr="006814C7">
        <w:rPr>
          <w:rFonts w:ascii="Palatino Linotype" w:hAnsi="Palatino Linotype"/>
        </w:rPr>
        <w:t xml:space="preserve"> </w:t>
      </w:r>
      <w:r w:rsidR="00D961C7" w:rsidRPr="006814C7">
        <w:rPr>
          <w:rFonts w:ascii="Palatino Linotype" w:hAnsi="Palatino Linotype"/>
        </w:rPr>
        <w:t>turn into educators, trainers or disseminators with respect to a certain social group in a given subject matter while they reinforce the theoretical and practical training they have just acquired at the law school by presenting what they have learned in a clear and pedagogical way to a</w:t>
      </w:r>
      <w:r w:rsidR="00F00EC5" w:rsidRPr="006814C7">
        <w:rPr>
          <w:rFonts w:ascii="Palatino Linotype" w:hAnsi="Palatino Linotype"/>
        </w:rPr>
        <w:t>n audience</w:t>
      </w:r>
      <w:r w:rsidR="00D961C7" w:rsidRPr="006814C7">
        <w:rPr>
          <w:rFonts w:ascii="Palatino Linotype" w:hAnsi="Palatino Linotype"/>
        </w:rPr>
        <w:t xml:space="preserve"> with little </w:t>
      </w:r>
      <w:r w:rsidR="00F00EC5" w:rsidRPr="006814C7">
        <w:rPr>
          <w:rFonts w:ascii="Palatino Linotype" w:hAnsi="Palatino Linotype"/>
        </w:rPr>
        <w:t xml:space="preserve">or no </w:t>
      </w:r>
      <w:r w:rsidR="00D961C7" w:rsidRPr="006814C7">
        <w:rPr>
          <w:rFonts w:ascii="Palatino Linotype" w:hAnsi="Palatino Linotype"/>
        </w:rPr>
        <w:t>legal knowledge</w:t>
      </w:r>
      <w:r w:rsidR="00854D84" w:rsidRPr="006814C7">
        <w:rPr>
          <w:rFonts w:ascii="Palatino Linotype" w:hAnsi="Palatino Linotype"/>
        </w:rPr>
        <w:t>.</w:t>
      </w:r>
      <w:r w:rsidR="00D961C7" w:rsidRPr="006814C7">
        <w:rPr>
          <w:rStyle w:val="FootnoteReference"/>
          <w:rFonts w:ascii="Palatino Linotype" w:hAnsi="Palatino Linotype"/>
        </w:rPr>
        <w:footnoteReference w:id="49"/>
      </w:r>
      <w:r w:rsidR="00D961C7" w:rsidRPr="006814C7">
        <w:rPr>
          <w:rFonts w:ascii="Palatino Linotype" w:hAnsi="Palatino Linotype"/>
        </w:rPr>
        <w:t xml:space="preserve"> </w:t>
      </w:r>
    </w:p>
    <w:p w14:paraId="283BB9A0" w14:textId="77777777" w:rsidR="00D961C7" w:rsidRPr="006814C7" w:rsidRDefault="00D961C7" w:rsidP="00215C97">
      <w:pPr>
        <w:spacing w:line="480" w:lineRule="auto"/>
        <w:jc w:val="both"/>
        <w:rPr>
          <w:rFonts w:ascii="Palatino Linotype" w:hAnsi="Palatino Linotype"/>
        </w:rPr>
      </w:pPr>
    </w:p>
    <w:p w14:paraId="248E9B35" w14:textId="03516CB4" w:rsidR="00D961C7" w:rsidRPr="006814C7" w:rsidRDefault="00D961C7" w:rsidP="00215C97">
      <w:pPr>
        <w:spacing w:line="480" w:lineRule="auto"/>
        <w:jc w:val="both"/>
        <w:rPr>
          <w:rFonts w:ascii="Palatino Linotype" w:hAnsi="Palatino Linotype"/>
        </w:rPr>
      </w:pPr>
      <w:r w:rsidRPr="006814C7">
        <w:rPr>
          <w:rFonts w:ascii="Palatino Linotype" w:hAnsi="Palatino Linotype"/>
        </w:rPr>
        <w:t xml:space="preserve">The street law model adopted by the University of Oviedo is aimed at high school students, as would our clinical activity in </w:t>
      </w:r>
      <w:proofErr w:type="spellStart"/>
      <w:r w:rsidRPr="006814C7">
        <w:rPr>
          <w:rFonts w:ascii="Palatino Linotype" w:hAnsi="Palatino Linotype"/>
          <w:i/>
        </w:rPr>
        <w:t>Proceso</w:t>
      </w:r>
      <w:proofErr w:type="spellEnd"/>
      <w:r w:rsidRPr="006814C7">
        <w:rPr>
          <w:rFonts w:ascii="Palatino Linotype" w:hAnsi="Palatino Linotype"/>
          <w:i/>
        </w:rPr>
        <w:t xml:space="preserve"> </w:t>
      </w:r>
      <w:proofErr w:type="spellStart"/>
      <w:r w:rsidRPr="006814C7">
        <w:rPr>
          <w:rFonts w:ascii="Palatino Linotype" w:hAnsi="Palatino Linotype"/>
          <w:i/>
        </w:rPr>
        <w:t>Administrativo</w:t>
      </w:r>
      <w:proofErr w:type="spellEnd"/>
      <w:r w:rsidRPr="006814C7">
        <w:rPr>
          <w:rFonts w:ascii="Palatino Linotype" w:hAnsi="Palatino Linotype"/>
          <w:i/>
        </w:rPr>
        <w:t xml:space="preserve">. </w:t>
      </w:r>
      <w:r w:rsidR="00F64C9A" w:rsidRPr="006814C7">
        <w:rPr>
          <w:rFonts w:ascii="Palatino Linotype" w:hAnsi="Palatino Linotype"/>
          <w:i/>
        </w:rPr>
        <w:t xml:space="preserve"> </w:t>
      </w:r>
      <w:r w:rsidRPr="006814C7">
        <w:rPr>
          <w:rFonts w:ascii="Palatino Linotype" w:hAnsi="Palatino Linotype"/>
        </w:rPr>
        <w:t xml:space="preserve">But some important differences </w:t>
      </w:r>
      <w:r w:rsidR="00F64C9A" w:rsidRPr="006814C7">
        <w:rPr>
          <w:rFonts w:ascii="Palatino Linotype" w:hAnsi="Palatino Linotype"/>
        </w:rPr>
        <w:t>may</w:t>
      </w:r>
      <w:r w:rsidRPr="006814C7">
        <w:rPr>
          <w:rFonts w:ascii="Palatino Linotype" w:hAnsi="Palatino Linotype"/>
        </w:rPr>
        <w:t xml:space="preserve"> be found between the experience in the University of Oviedo and the </w:t>
      </w:r>
      <w:r w:rsidRPr="006814C7">
        <w:rPr>
          <w:rFonts w:ascii="Palatino Linotype" w:hAnsi="Palatino Linotype"/>
        </w:rPr>
        <w:lastRenderedPageBreak/>
        <w:t xml:space="preserve">one we intend to develop: in the case of the University of Oviedo the participants are postgraduate students of the </w:t>
      </w:r>
      <w:r w:rsidR="00F64C9A" w:rsidRPr="006814C7">
        <w:rPr>
          <w:rFonts w:ascii="Palatino Linotype" w:hAnsi="Palatino Linotype"/>
        </w:rPr>
        <w:t>“</w:t>
      </w:r>
      <w:r w:rsidR="00AA646D" w:rsidRPr="006814C7">
        <w:rPr>
          <w:rFonts w:ascii="Palatino Linotype" w:hAnsi="Palatino Linotype"/>
        </w:rPr>
        <w:t>m</w:t>
      </w:r>
      <w:r w:rsidRPr="006814C7">
        <w:rPr>
          <w:rFonts w:ascii="Palatino Linotype" w:hAnsi="Palatino Linotype"/>
        </w:rPr>
        <w:t xml:space="preserve">aster on </w:t>
      </w:r>
      <w:r w:rsidR="00AA646D" w:rsidRPr="006814C7">
        <w:rPr>
          <w:rFonts w:ascii="Palatino Linotype" w:hAnsi="Palatino Linotype"/>
        </w:rPr>
        <w:t>l</w:t>
      </w:r>
      <w:r w:rsidRPr="006814C7">
        <w:rPr>
          <w:rFonts w:ascii="Palatino Linotype" w:hAnsi="Palatino Linotype"/>
        </w:rPr>
        <w:t>egal protection of vulnerable people and groups</w:t>
      </w:r>
      <w:r w:rsidR="00F64C9A" w:rsidRPr="006814C7">
        <w:rPr>
          <w:rFonts w:ascii="Palatino Linotype" w:hAnsi="Palatino Linotype"/>
        </w:rPr>
        <w:t>”</w:t>
      </w:r>
      <w:r w:rsidRPr="006814C7">
        <w:rPr>
          <w:rFonts w:ascii="Palatino Linotype" w:hAnsi="Palatino Linotype"/>
        </w:rPr>
        <w:t xml:space="preserve"> with different academic backgrounds (not law graduates, but from social work, psychology, pedagogy, education, labor relation</w:t>
      </w:r>
      <w:r w:rsidR="00AA646D" w:rsidRPr="006814C7">
        <w:rPr>
          <w:rFonts w:ascii="Palatino Linotype" w:hAnsi="Palatino Linotype"/>
        </w:rPr>
        <w:t>s, etc.</w:t>
      </w:r>
      <w:r w:rsidRPr="006814C7">
        <w:rPr>
          <w:rFonts w:ascii="Palatino Linotype" w:hAnsi="Palatino Linotype"/>
        </w:rPr>
        <w:t>)</w:t>
      </w:r>
      <w:r w:rsidR="00F64C9A" w:rsidRPr="006814C7">
        <w:rPr>
          <w:rFonts w:ascii="Palatino Linotype" w:hAnsi="Palatino Linotype"/>
        </w:rPr>
        <w:t xml:space="preserve">. </w:t>
      </w:r>
      <w:r w:rsidRPr="006814C7">
        <w:rPr>
          <w:rFonts w:ascii="Palatino Linotype" w:hAnsi="Palatino Linotype"/>
        </w:rPr>
        <w:t xml:space="preserve"> </w:t>
      </w:r>
      <w:r w:rsidR="00F64C9A" w:rsidRPr="006814C7">
        <w:rPr>
          <w:rFonts w:ascii="Palatino Linotype" w:hAnsi="Palatino Linotype"/>
        </w:rPr>
        <w:t>I</w:t>
      </w:r>
      <w:r w:rsidRPr="006814C7">
        <w:rPr>
          <w:rFonts w:ascii="Palatino Linotype" w:hAnsi="Palatino Linotype"/>
        </w:rPr>
        <w:t>n ours</w:t>
      </w:r>
      <w:r w:rsidR="00F64C9A" w:rsidRPr="006814C7">
        <w:rPr>
          <w:rFonts w:ascii="Palatino Linotype" w:hAnsi="Palatino Linotype"/>
        </w:rPr>
        <w:t>,</w:t>
      </w:r>
      <w:r w:rsidRPr="006814C7">
        <w:rPr>
          <w:rFonts w:ascii="Palatino Linotype" w:hAnsi="Palatino Linotype"/>
        </w:rPr>
        <w:t xml:space="preserve"> they are undergraduate law students in an elective course</w:t>
      </w:r>
      <w:r w:rsidR="00F64C9A" w:rsidRPr="006814C7">
        <w:rPr>
          <w:rFonts w:ascii="Palatino Linotype" w:hAnsi="Palatino Linotype"/>
        </w:rPr>
        <w:t>—</w:t>
      </w:r>
      <w:proofErr w:type="spellStart"/>
      <w:r w:rsidRPr="006814C7">
        <w:rPr>
          <w:rFonts w:ascii="Palatino Linotype" w:hAnsi="Palatino Linotype"/>
          <w:i/>
        </w:rPr>
        <w:t>Proceso</w:t>
      </w:r>
      <w:proofErr w:type="spellEnd"/>
      <w:r w:rsidRPr="006814C7">
        <w:rPr>
          <w:rFonts w:ascii="Palatino Linotype" w:hAnsi="Palatino Linotype"/>
          <w:i/>
        </w:rPr>
        <w:t xml:space="preserve"> </w:t>
      </w:r>
      <w:proofErr w:type="spellStart"/>
      <w:r w:rsidRPr="006814C7">
        <w:rPr>
          <w:rFonts w:ascii="Palatino Linotype" w:hAnsi="Palatino Linotype"/>
          <w:i/>
        </w:rPr>
        <w:t>Administrativo</w:t>
      </w:r>
      <w:proofErr w:type="spellEnd"/>
      <w:r w:rsidRPr="006814C7">
        <w:rPr>
          <w:rFonts w:ascii="Palatino Linotype" w:hAnsi="Palatino Linotype"/>
        </w:rPr>
        <w:t>; in Oviedo, the language in which the classes are taught is Spanish, in our case it is English (wh</w:t>
      </w:r>
      <w:r w:rsidR="00AA646D" w:rsidRPr="006814C7">
        <w:rPr>
          <w:rFonts w:ascii="Palatino Linotype" w:hAnsi="Palatino Linotype"/>
        </w:rPr>
        <w:t>ich</w:t>
      </w:r>
      <w:r w:rsidRPr="006814C7">
        <w:rPr>
          <w:rFonts w:ascii="Palatino Linotype" w:hAnsi="Palatino Linotype"/>
        </w:rPr>
        <w:t xml:space="preserve"> may make it difficult for the students to communicate what they learn in a different language); the </w:t>
      </w:r>
      <w:r w:rsidR="00AA646D" w:rsidRPr="006814C7">
        <w:rPr>
          <w:rFonts w:ascii="Palatino Linotype" w:hAnsi="Palatino Linotype"/>
        </w:rPr>
        <w:t>m</w:t>
      </w:r>
      <w:r w:rsidRPr="006814C7">
        <w:rPr>
          <w:rFonts w:ascii="Palatino Linotype" w:hAnsi="Palatino Linotype"/>
        </w:rPr>
        <w:t>aster course of Oviedo has a duration of one year (which they consider to be a short time)</w:t>
      </w:r>
      <w:r w:rsidR="00807BEE" w:rsidRPr="006814C7">
        <w:rPr>
          <w:rFonts w:ascii="Palatino Linotype" w:hAnsi="Palatino Linotype"/>
        </w:rPr>
        <w:t xml:space="preserve">, in </w:t>
      </w:r>
      <w:proofErr w:type="spellStart"/>
      <w:r w:rsidRPr="006814C7">
        <w:rPr>
          <w:rFonts w:ascii="Palatino Linotype" w:hAnsi="Palatino Linotype"/>
          <w:i/>
        </w:rPr>
        <w:t>Proceso</w:t>
      </w:r>
      <w:proofErr w:type="spellEnd"/>
      <w:r w:rsidRPr="006814C7">
        <w:rPr>
          <w:rFonts w:ascii="Palatino Linotype" w:hAnsi="Palatino Linotype"/>
          <w:i/>
        </w:rPr>
        <w:t xml:space="preserve"> </w:t>
      </w:r>
      <w:proofErr w:type="spellStart"/>
      <w:r w:rsidRPr="006814C7">
        <w:rPr>
          <w:rFonts w:ascii="Palatino Linotype" w:hAnsi="Palatino Linotype"/>
          <w:i/>
        </w:rPr>
        <w:t>Administrativo</w:t>
      </w:r>
      <w:proofErr w:type="spellEnd"/>
      <w:r w:rsidRPr="006814C7">
        <w:rPr>
          <w:rFonts w:ascii="Palatino Linotype" w:hAnsi="Palatino Linotype"/>
          <w:i/>
        </w:rPr>
        <w:t xml:space="preserve"> </w:t>
      </w:r>
      <w:r w:rsidR="00807BEE" w:rsidRPr="006814C7">
        <w:rPr>
          <w:rFonts w:ascii="Palatino Linotype" w:hAnsi="Palatino Linotype"/>
        </w:rPr>
        <w:t xml:space="preserve">it </w:t>
      </w:r>
      <w:r w:rsidRPr="006814C7">
        <w:rPr>
          <w:rFonts w:ascii="Palatino Linotype" w:hAnsi="Palatino Linotype"/>
        </w:rPr>
        <w:t>is even shorter – only four months.</w:t>
      </w:r>
    </w:p>
    <w:p w14:paraId="0D4C6617" w14:textId="77777777" w:rsidR="00215C97" w:rsidRPr="006814C7" w:rsidRDefault="00215C97" w:rsidP="00215C97">
      <w:pPr>
        <w:spacing w:line="480" w:lineRule="auto"/>
        <w:jc w:val="both"/>
        <w:rPr>
          <w:rFonts w:ascii="Palatino Linotype" w:hAnsi="Palatino Linotype"/>
        </w:rPr>
      </w:pPr>
    </w:p>
    <w:p w14:paraId="0DE4F9F4" w14:textId="412D98D1" w:rsidR="00D961C7" w:rsidRPr="006814C7" w:rsidRDefault="00D961C7" w:rsidP="00215C97">
      <w:pPr>
        <w:spacing w:line="480" w:lineRule="auto"/>
        <w:jc w:val="both"/>
        <w:rPr>
          <w:rFonts w:ascii="Palatino Linotype" w:hAnsi="Palatino Linotype"/>
        </w:rPr>
      </w:pPr>
      <w:r w:rsidRPr="006814C7">
        <w:rPr>
          <w:rFonts w:ascii="Palatino Linotype" w:hAnsi="Palatino Linotype"/>
        </w:rPr>
        <w:t>The first difference implies that our students are less academically prepared in general, but they</w:t>
      </w:r>
      <w:r w:rsidR="00807BEE" w:rsidRPr="006814C7">
        <w:rPr>
          <w:rFonts w:ascii="Palatino Linotype" w:hAnsi="Palatino Linotype"/>
        </w:rPr>
        <w:t xml:space="preserve"> also</w:t>
      </w:r>
      <w:r w:rsidRPr="006814C7">
        <w:rPr>
          <w:rFonts w:ascii="Palatino Linotype" w:hAnsi="Palatino Linotype"/>
        </w:rPr>
        <w:t xml:space="preserve"> are more specifically trained in legal matters. </w:t>
      </w:r>
      <w:r w:rsidR="00807BEE" w:rsidRPr="006814C7">
        <w:rPr>
          <w:rFonts w:ascii="Palatino Linotype" w:hAnsi="Palatino Linotype"/>
        </w:rPr>
        <w:t xml:space="preserve"> It also may be more</w:t>
      </w:r>
      <w:r w:rsidRPr="006814C7">
        <w:rPr>
          <w:rFonts w:ascii="Palatino Linotype" w:hAnsi="Palatino Linotype"/>
        </w:rPr>
        <w:t xml:space="preserve"> difficult to attract the interest and attention of high school students as the content of </w:t>
      </w:r>
      <w:proofErr w:type="spellStart"/>
      <w:r w:rsidRPr="006814C7">
        <w:rPr>
          <w:rFonts w:ascii="Palatino Linotype" w:hAnsi="Palatino Linotype"/>
          <w:i/>
        </w:rPr>
        <w:t>Proceso</w:t>
      </w:r>
      <w:proofErr w:type="spellEnd"/>
      <w:r w:rsidRPr="006814C7">
        <w:rPr>
          <w:rFonts w:ascii="Palatino Linotype" w:hAnsi="Palatino Linotype"/>
          <w:i/>
        </w:rPr>
        <w:t xml:space="preserve"> </w:t>
      </w:r>
      <w:proofErr w:type="spellStart"/>
      <w:r w:rsidRPr="006814C7">
        <w:rPr>
          <w:rFonts w:ascii="Palatino Linotype" w:hAnsi="Palatino Linotype"/>
          <w:i/>
        </w:rPr>
        <w:t>Administrativo</w:t>
      </w:r>
      <w:proofErr w:type="spellEnd"/>
      <w:r w:rsidRPr="006814C7">
        <w:rPr>
          <w:rFonts w:ascii="Palatino Linotype" w:hAnsi="Palatino Linotype"/>
          <w:i/>
        </w:rPr>
        <w:t xml:space="preserve"> </w:t>
      </w:r>
      <w:r w:rsidRPr="006814C7">
        <w:rPr>
          <w:rFonts w:ascii="Palatino Linotype" w:hAnsi="Palatino Linotype"/>
        </w:rPr>
        <w:t xml:space="preserve">is probably much less attractive </w:t>
      </w:r>
      <w:r w:rsidR="00807BEE" w:rsidRPr="006814C7">
        <w:rPr>
          <w:rFonts w:ascii="Palatino Linotype" w:hAnsi="Palatino Linotype"/>
        </w:rPr>
        <w:t>to</w:t>
      </w:r>
      <w:r w:rsidRPr="006814C7">
        <w:rPr>
          <w:rFonts w:ascii="Palatino Linotype" w:hAnsi="Palatino Linotype"/>
        </w:rPr>
        <w:t xml:space="preserve"> them than the protection of vulnerable groups. </w:t>
      </w:r>
      <w:r w:rsidR="00807BEE" w:rsidRPr="006814C7">
        <w:rPr>
          <w:rFonts w:ascii="Palatino Linotype" w:hAnsi="Palatino Linotype"/>
        </w:rPr>
        <w:t xml:space="preserve"> </w:t>
      </w:r>
      <w:r w:rsidRPr="006814C7">
        <w:rPr>
          <w:rFonts w:ascii="Palatino Linotype" w:hAnsi="Palatino Linotype"/>
        </w:rPr>
        <w:t xml:space="preserve">That means we’ll have to focus on the preparation of the presentations so as to be able to capture the attention of high school students </w:t>
      </w:r>
      <w:r w:rsidR="00A1048E" w:rsidRPr="006814C7">
        <w:rPr>
          <w:rFonts w:ascii="Palatino Linotype" w:hAnsi="Palatino Linotype"/>
        </w:rPr>
        <w:t>in the</w:t>
      </w:r>
      <w:r w:rsidRPr="006814C7">
        <w:rPr>
          <w:rFonts w:ascii="Palatino Linotype" w:hAnsi="Palatino Linotype"/>
        </w:rPr>
        <w:t xml:space="preserve"> usefulness of administrative law, </w:t>
      </w:r>
      <w:r w:rsidR="002E573A" w:rsidRPr="006814C7">
        <w:rPr>
          <w:rFonts w:ascii="Palatino Linotype" w:hAnsi="Palatino Linotype"/>
        </w:rPr>
        <w:t xml:space="preserve">which is a subject </w:t>
      </w:r>
      <w:r w:rsidRPr="006814C7">
        <w:rPr>
          <w:rFonts w:ascii="Palatino Linotype" w:hAnsi="Palatino Linotype"/>
        </w:rPr>
        <w:t>law students themselves usually need to know and to be aware of (</w:t>
      </w:r>
      <w:r w:rsidR="002E573A" w:rsidRPr="006814C7">
        <w:rPr>
          <w:rFonts w:ascii="Palatino Linotype" w:hAnsi="Palatino Linotype"/>
        </w:rPr>
        <w:t xml:space="preserve">though </w:t>
      </w:r>
      <w:r w:rsidRPr="006814C7">
        <w:rPr>
          <w:rFonts w:ascii="Palatino Linotype" w:hAnsi="Palatino Linotype"/>
        </w:rPr>
        <w:t xml:space="preserve">they tend to think of administrative law as a boring and not practical subject). </w:t>
      </w:r>
      <w:r w:rsidR="002E573A" w:rsidRPr="006814C7">
        <w:rPr>
          <w:rFonts w:ascii="Palatino Linotype" w:hAnsi="Palatino Linotype"/>
        </w:rPr>
        <w:t xml:space="preserve"> </w:t>
      </w:r>
      <w:r w:rsidRPr="006814C7">
        <w:rPr>
          <w:rFonts w:ascii="Palatino Linotype" w:hAnsi="Palatino Linotype"/>
        </w:rPr>
        <w:t>Thus, the handicap is turned into an incentive.</w:t>
      </w:r>
    </w:p>
    <w:p w14:paraId="2455B3E0" w14:textId="77777777" w:rsidR="00D961C7" w:rsidRPr="006814C7" w:rsidRDefault="00D961C7" w:rsidP="00215C97">
      <w:pPr>
        <w:spacing w:line="480" w:lineRule="auto"/>
        <w:jc w:val="both"/>
        <w:rPr>
          <w:rFonts w:ascii="Palatino Linotype" w:hAnsi="Palatino Linotype"/>
        </w:rPr>
      </w:pPr>
    </w:p>
    <w:p w14:paraId="06E24EA0" w14:textId="064BE37C" w:rsidR="00D961C7" w:rsidRPr="006814C7" w:rsidRDefault="00D961C7" w:rsidP="00215C97">
      <w:pPr>
        <w:spacing w:line="480" w:lineRule="auto"/>
        <w:jc w:val="both"/>
        <w:rPr>
          <w:rFonts w:ascii="Palatino Linotype" w:hAnsi="Palatino Linotype"/>
        </w:rPr>
      </w:pPr>
      <w:r w:rsidRPr="006814C7">
        <w:rPr>
          <w:rFonts w:ascii="Palatino Linotype" w:hAnsi="Palatino Linotype"/>
        </w:rPr>
        <w:lastRenderedPageBreak/>
        <w:t xml:space="preserve">The language </w:t>
      </w:r>
      <w:r w:rsidR="00854D84" w:rsidRPr="006814C7">
        <w:rPr>
          <w:rFonts w:ascii="Palatino Linotype" w:hAnsi="Palatino Linotype"/>
        </w:rPr>
        <w:t xml:space="preserve">of instruction </w:t>
      </w:r>
      <w:r w:rsidRPr="006814C7">
        <w:rPr>
          <w:rFonts w:ascii="Palatino Linotype" w:hAnsi="Palatino Linotype"/>
        </w:rPr>
        <w:t xml:space="preserve">is another important issue. </w:t>
      </w:r>
      <w:proofErr w:type="spellStart"/>
      <w:r w:rsidRPr="006814C7">
        <w:rPr>
          <w:rFonts w:ascii="Palatino Linotype" w:hAnsi="Palatino Linotype"/>
          <w:i/>
        </w:rPr>
        <w:t>Proceso</w:t>
      </w:r>
      <w:proofErr w:type="spellEnd"/>
      <w:r w:rsidRPr="006814C7">
        <w:rPr>
          <w:rFonts w:ascii="Palatino Linotype" w:hAnsi="Palatino Linotype"/>
          <w:i/>
        </w:rPr>
        <w:t xml:space="preserve"> </w:t>
      </w:r>
      <w:proofErr w:type="spellStart"/>
      <w:r w:rsidRPr="006814C7">
        <w:rPr>
          <w:rFonts w:ascii="Palatino Linotype" w:hAnsi="Palatino Linotype"/>
          <w:i/>
        </w:rPr>
        <w:t>Administrativo</w:t>
      </w:r>
      <w:proofErr w:type="spellEnd"/>
      <w:r w:rsidRPr="006814C7">
        <w:rPr>
          <w:rFonts w:ascii="Palatino Linotype" w:hAnsi="Palatino Linotype"/>
          <w:i/>
        </w:rPr>
        <w:t xml:space="preserve"> </w:t>
      </w:r>
      <w:r w:rsidRPr="006814C7">
        <w:rPr>
          <w:rFonts w:ascii="Palatino Linotype" w:hAnsi="Palatino Linotype"/>
        </w:rPr>
        <w:t xml:space="preserve">is taught almost entirely in English, but the presentations to the high school students must be done in Spanish as their level of English is not enough to understand a topic which is difficult enough for them even in their mother tongue. </w:t>
      </w:r>
      <w:r w:rsidR="00EC38EB" w:rsidRPr="006814C7">
        <w:rPr>
          <w:rFonts w:ascii="Palatino Linotype" w:hAnsi="Palatino Linotype"/>
        </w:rPr>
        <w:t xml:space="preserve"> </w:t>
      </w:r>
      <w:r w:rsidRPr="006814C7">
        <w:rPr>
          <w:rFonts w:ascii="Palatino Linotype" w:hAnsi="Palatino Linotype"/>
        </w:rPr>
        <w:t>That poses a further complication and a greater challenge</w:t>
      </w:r>
      <w:r w:rsidR="00EC38EB" w:rsidRPr="006814C7">
        <w:rPr>
          <w:rFonts w:ascii="Palatino Linotype" w:hAnsi="Palatino Linotype"/>
        </w:rPr>
        <w:t>.  O</w:t>
      </w:r>
      <w:r w:rsidRPr="006814C7">
        <w:rPr>
          <w:rFonts w:ascii="Palatino Linotype" w:hAnsi="Palatino Linotype"/>
        </w:rPr>
        <w:t>n the other hand</w:t>
      </w:r>
      <w:r w:rsidR="00EC38EB" w:rsidRPr="006814C7">
        <w:rPr>
          <w:rFonts w:ascii="Palatino Linotype" w:hAnsi="Palatino Linotype"/>
        </w:rPr>
        <w:t>,</w:t>
      </w:r>
      <w:r w:rsidRPr="006814C7">
        <w:rPr>
          <w:rFonts w:ascii="Palatino Linotype" w:hAnsi="Palatino Linotype"/>
        </w:rPr>
        <w:t xml:space="preserve"> it may serve as a way to check our law students’ level of understanding</w:t>
      </w:r>
      <w:r w:rsidR="00EC38EB" w:rsidRPr="006814C7">
        <w:rPr>
          <w:rFonts w:ascii="Palatino Linotype" w:hAnsi="Palatino Linotype"/>
        </w:rPr>
        <w:t>—</w:t>
      </w:r>
      <w:r w:rsidRPr="006814C7">
        <w:rPr>
          <w:rFonts w:ascii="Palatino Linotype" w:hAnsi="Palatino Linotype"/>
        </w:rPr>
        <w:t>in Spanish</w:t>
      </w:r>
      <w:r w:rsidR="00EC38EB" w:rsidRPr="006814C7">
        <w:rPr>
          <w:rFonts w:ascii="Palatino Linotype" w:hAnsi="Palatino Linotype"/>
        </w:rPr>
        <w:t>—</w:t>
      </w:r>
      <w:r w:rsidRPr="006814C7">
        <w:rPr>
          <w:rFonts w:ascii="Palatino Linotype" w:hAnsi="Palatino Linotype"/>
        </w:rPr>
        <w:t>of some difficult</w:t>
      </w:r>
      <w:r w:rsidR="00AA646D" w:rsidRPr="006814C7">
        <w:rPr>
          <w:rFonts w:ascii="Palatino Linotype" w:hAnsi="Palatino Linotype"/>
        </w:rPr>
        <w:t>-</w:t>
      </w:r>
      <w:r w:rsidRPr="006814C7">
        <w:rPr>
          <w:rFonts w:ascii="Palatino Linotype" w:hAnsi="Palatino Linotype"/>
        </w:rPr>
        <w:t>to</w:t>
      </w:r>
      <w:r w:rsidR="00AA646D" w:rsidRPr="006814C7">
        <w:rPr>
          <w:rFonts w:ascii="Palatino Linotype" w:hAnsi="Palatino Linotype"/>
        </w:rPr>
        <w:t>-</w:t>
      </w:r>
      <w:r w:rsidRPr="006814C7">
        <w:rPr>
          <w:rFonts w:ascii="Palatino Linotype" w:hAnsi="Palatino Linotype"/>
        </w:rPr>
        <w:t xml:space="preserve">translate legal terms and concepts that are taught directly in English. </w:t>
      </w:r>
      <w:r w:rsidR="00EC38EB" w:rsidRPr="006814C7">
        <w:rPr>
          <w:rFonts w:ascii="Palatino Linotype" w:hAnsi="Palatino Linotype"/>
        </w:rPr>
        <w:t xml:space="preserve"> </w:t>
      </w:r>
      <w:r w:rsidRPr="006814C7">
        <w:rPr>
          <w:rFonts w:ascii="Palatino Linotype" w:hAnsi="Palatino Linotype"/>
        </w:rPr>
        <w:t xml:space="preserve">Again, in the face of this difficulty, the clinical activity favors a positive outcome. </w:t>
      </w:r>
    </w:p>
    <w:p w14:paraId="7C0DFAC2" w14:textId="77777777" w:rsidR="00215C97" w:rsidRPr="006814C7" w:rsidRDefault="00D961C7" w:rsidP="00215C97">
      <w:pPr>
        <w:spacing w:line="480" w:lineRule="auto"/>
        <w:jc w:val="both"/>
        <w:rPr>
          <w:rFonts w:ascii="Palatino Linotype" w:hAnsi="Palatino Linotype"/>
        </w:rPr>
      </w:pPr>
      <w:r w:rsidRPr="006814C7">
        <w:rPr>
          <w:rFonts w:ascii="Palatino Linotype" w:hAnsi="Palatino Linotype"/>
        </w:rPr>
        <w:t xml:space="preserve"> </w:t>
      </w:r>
    </w:p>
    <w:p w14:paraId="4B83F15D" w14:textId="67888973" w:rsidR="00D961C7" w:rsidRPr="006814C7" w:rsidRDefault="00D961C7" w:rsidP="00215C97">
      <w:pPr>
        <w:spacing w:line="480" w:lineRule="auto"/>
        <w:jc w:val="both"/>
        <w:rPr>
          <w:rFonts w:ascii="Palatino Linotype" w:hAnsi="Palatino Linotype"/>
        </w:rPr>
      </w:pPr>
      <w:r w:rsidRPr="006814C7">
        <w:rPr>
          <w:rFonts w:ascii="Palatino Linotype" w:hAnsi="Palatino Linotype"/>
        </w:rPr>
        <w:t xml:space="preserve">The short duration of </w:t>
      </w:r>
      <w:proofErr w:type="spellStart"/>
      <w:r w:rsidRPr="006814C7">
        <w:rPr>
          <w:rFonts w:ascii="Palatino Linotype" w:hAnsi="Palatino Linotype"/>
          <w:i/>
        </w:rPr>
        <w:t>Proceso</w:t>
      </w:r>
      <w:proofErr w:type="spellEnd"/>
      <w:r w:rsidRPr="006814C7">
        <w:rPr>
          <w:rFonts w:ascii="Palatino Linotype" w:hAnsi="Palatino Linotype"/>
          <w:i/>
        </w:rPr>
        <w:t xml:space="preserve"> </w:t>
      </w:r>
      <w:proofErr w:type="spellStart"/>
      <w:r w:rsidRPr="006814C7">
        <w:rPr>
          <w:rFonts w:ascii="Palatino Linotype" w:hAnsi="Palatino Linotype"/>
          <w:i/>
        </w:rPr>
        <w:t>Administrativo</w:t>
      </w:r>
      <w:proofErr w:type="spellEnd"/>
      <w:r w:rsidRPr="006814C7">
        <w:rPr>
          <w:rFonts w:ascii="Palatino Linotype" w:hAnsi="Palatino Linotype"/>
        </w:rPr>
        <w:t xml:space="preserve"> compared to Oviedo’s master course has to be taken into account as well. </w:t>
      </w:r>
      <w:r w:rsidR="00447061" w:rsidRPr="006814C7">
        <w:rPr>
          <w:rFonts w:ascii="Palatino Linotype" w:hAnsi="Palatino Linotype"/>
        </w:rPr>
        <w:t xml:space="preserve"> </w:t>
      </w:r>
      <w:r w:rsidR="00854D84" w:rsidRPr="006814C7">
        <w:rPr>
          <w:rFonts w:ascii="Palatino Linotype" w:hAnsi="Palatino Linotype"/>
        </w:rPr>
        <w:t>T</w:t>
      </w:r>
      <w:r w:rsidRPr="006814C7">
        <w:rPr>
          <w:rFonts w:ascii="Palatino Linotype" w:hAnsi="Palatino Linotype"/>
        </w:rPr>
        <w:t xml:space="preserve">he shorter duration is a strong reason to choose the street law model, since other clinical activities require longer dedication and follow-up. </w:t>
      </w:r>
      <w:r w:rsidR="00447061" w:rsidRPr="006814C7">
        <w:rPr>
          <w:rFonts w:ascii="Palatino Linotype" w:hAnsi="Palatino Linotype"/>
        </w:rPr>
        <w:t xml:space="preserve"> </w:t>
      </w:r>
      <w:r w:rsidRPr="006814C7">
        <w:rPr>
          <w:rFonts w:ascii="Palatino Linotype" w:hAnsi="Palatino Linotype"/>
        </w:rPr>
        <w:t>But the effective organization of the preparation, execution</w:t>
      </w:r>
      <w:r w:rsidR="00447061" w:rsidRPr="006814C7">
        <w:rPr>
          <w:rFonts w:ascii="Palatino Linotype" w:hAnsi="Palatino Linotype"/>
        </w:rPr>
        <w:t>,</w:t>
      </w:r>
      <w:r w:rsidRPr="006814C7">
        <w:rPr>
          <w:rFonts w:ascii="Palatino Linotype" w:hAnsi="Palatino Linotype"/>
        </w:rPr>
        <w:t xml:space="preserve"> and assessment of the sessions becomes paramount.</w:t>
      </w:r>
      <w:r w:rsidR="00AA646D" w:rsidRPr="006814C7">
        <w:rPr>
          <w:rFonts w:ascii="Palatino Linotype" w:hAnsi="Palatino Linotype"/>
        </w:rPr>
        <w:t xml:space="preserve">  </w:t>
      </w:r>
      <w:r w:rsidRPr="006814C7">
        <w:rPr>
          <w:rFonts w:ascii="Palatino Linotype" w:hAnsi="Palatino Linotype"/>
        </w:rPr>
        <w:t>In Oviedo, in the first two weeks, the students enrolled in the master course are informed of</w:t>
      </w:r>
      <w:r w:rsidR="00447061" w:rsidRPr="006814C7">
        <w:rPr>
          <w:rFonts w:ascii="Palatino Linotype" w:hAnsi="Palatino Linotype"/>
        </w:rPr>
        <w:t xml:space="preserve"> </w:t>
      </w:r>
      <w:r w:rsidRPr="006814C7">
        <w:rPr>
          <w:rFonts w:ascii="Palatino Linotype" w:hAnsi="Palatino Linotype"/>
        </w:rPr>
        <w:t xml:space="preserve">the existence of the </w:t>
      </w:r>
      <w:r w:rsidR="00AA646D" w:rsidRPr="006814C7">
        <w:rPr>
          <w:rFonts w:ascii="Palatino Linotype" w:hAnsi="Palatino Linotype"/>
        </w:rPr>
        <w:t>c</w:t>
      </w:r>
      <w:r w:rsidRPr="006814C7">
        <w:rPr>
          <w:rFonts w:ascii="Palatino Linotype" w:hAnsi="Palatino Linotype"/>
        </w:rPr>
        <w:t>linic, its objectives, functioning rules</w:t>
      </w:r>
      <w:r w:rsidR="00AA646D" w:rsidRPr="006814C7">
        <w:rPr>
          <w:rFonts w:ascii="Palatino Linotype" w:hAnsi="Palatino Linotype"/>
        </w:rPr>
        <w:t>,</w:t>
      </w:r>
      <w:r w:rsidRPr="006814C7">
        <w:rPr>
          <w:rFonts w:ascii="Palatino Linotype" w:hAnsi="Palatino Linotype"/>
        </w:rPr>
        <w:t xml:space="preserve"> and activities</w:t>
      </w:r>
      <w:r w:rsidR="00447061" w:rsidRPr="006814C7">
        <w:rPr>
          <w:rFonts w:ascii="Palatino Linotype" w:hAnsi="Palatino Linotype"/>
        </w:rPr>
        <w:t>.  W</w:t>
      </w:r>
      <w:r w:rsidRPr="006814C7">
        <w:rPr>
          <w:rFonts w:ascii="Palatino Linotype" w:hAnsi="Palatino Linotype"/>
        </w:rPr>
        <w:t>hen they are about to finish the classes corresponding to the elective modules of the course (mid-January)</w:t>
      </w:r>
      <w:r w:rsidR="00447061" w:rsidRPr="006814C7">
        <w:rPr>
          <w:rFonts w:ascii="Palatino Linotype" w:hAnsi="Palatino Linotype"/>
        </w:rPr>
        <w:t>,</w:t>
      </w:r>
      <w:r w:rsidRPr="006814C7">
        <w:rPr>
          <w:rFonts w:ascii="Palatino Linotype" w:hAnsi="Palatino Linotype"/>
        </w:rPr>
        <w:t xml:space="preserve"> they are reminded again about the clinic and asked for their collaboration</w:t>
      </w:r>
      <w:r w:rsidR="00447061" w:rsidRPr="006814C7">
        <w:rPr>
          <w:rFonts w:ascii="Palatino Linotype" w:hAnsi="Palatino Linotype"/>
        </w:rPr>
        <w:t>.  A</w:t>
      </w:r>
      <w:r w:rsidRPr="006814C7">
        <w:rPr>
          <w:rFonts w:ascii="Palatino Linotype" w:hAnsi="Palatino Linotype"/>
        </w:rPr>
        <w:t>t the end of January, once the number of students willing to participate is known, an intensive session with students and teachers is conducted to explain the organizational and operational details</w:t>
      </w:r>
      <w:r w:rsidR="00447061" w:rsidRPr="006814C7">
        <w:rPr>
          <w:rFonts w:ascii="Palatino Linotype" w:hAnsi="Palatino Linotype"/>
        </w:rPr>
        <w:t>.  D</w:t>
      </w:r>
      <w:r w:rsidRPr="006814C7">
        <w:rPr>
          <w:rFonts w:ascii="Palatino Linotype" w:hAnsi="Palatino Linotype"/>
        </w:rPr>
        <w:t xml:space="preserve">uring the month of February the </w:t>
      </w:r>
      <w:r w:rsidRPr="006814C7">
        <w:rPr>
          <w:rFonts w:ascii="Palatino Linotype" w:hAnsi="Palatino Linotype"/>
        </w:rPr>
        <w:lastRenderedPageBreak/>
        <w:t>groups (which consist of a teacher and several students) are formed</w:t>
      </w:r>
      <w:r w:rsidR="00447061" w:rsidRPr="006814C7">
        <w:rPr>
          <w:rFonts w:ascii="Palatino Linotype" w:hAnsi="Palatino Linotype"/>
        </w:rPr>
        <w:t xml:space="preserve"> based on</w:t>
      </w:r>
      <w:r w:rsidRPr="006814C7">
        <w:rPr>
          <w:rFonts w:ascii="Palatino Linotype" w:hAnsi="Palatino Linotype"/>
        </w:rPr>
        <w:t xml:space="preserve"> the different topics (gender violence, asylum and refuge, school bullying, gender equality in labor relations, poverty and social exclusion, and disabled persons’ situation)</w:t>
      </w:r>
      <w:r w:rsidR="00447061" w:rsidRPr="006814C7">
        <w:rPr>
          <w:rFonts w:ascii="Palatino Linotype" w:hAnsi="Palatino Linotype"/>
        </w:rPr>
        <w:t>.  D</w:t>
      </w:r>
      <w:r w:rsidRPr="006814C7">
        <w:rPr>
          <w:rFonts w:ascii="Palatino Linotype" w:hAnsi="Palatino Linotype"/>
        </w:rPr>
        <w:t>uring the months of February and March the groups and their respective teacher</w:t>
      </w:r>
      <w:r w:rsidR="00447061" w:rsidRPr="006814C7">
        <w:rPr>
          <w:rFonts w:ascii="Palatino Linotype" w:hAnsi="Palatino Linotype"/>
        </w:rPr>
        <w:t>s,</w:t>
      </w:r>
      <w:r w:rsidRPr="006814C7">
        <w:rPr>
          <w:rFonts w:ascii="Palatino Linotype" w:hAnsi="Palatino Linotype"/>
        </w:rPr>
        <w:t xml:space="preserve"> together with the coordinator of the </w:t>
      </w:r>
      <w:r w:rsidR="00AA646D" w:rsidRPr="006814C7">
        <w:rPr>
          <w:rFonts w:ascii="Palatino Linotype" w:hAnsi="Palatino Linotype"/>
        </w:rPr>
        <w:t>c</w:t>
      </w:r>
      <w:r w:rsidRPr="006814C7">
        <w:rPr>
          <w:rFonts w:ascii="Palatino Linotype" w:hAnsi="Palatino Linotype"/>
        </w:rPr>
        <w:t>linic</w:t>
      </w:r>
      <w:r w:rsidR="00447061" w:rsidRPr="006814C7">
        <w:rPr>
          <w:rFonts w:ascii="Palatino Linotype" w:hAnsi="Palatino Linotype"/>
        </w:rPr>
        <w:t>,</w:t>
      </w:r>
      <w:r w:rsidRPr="006814C7">
        <w:rPr>
          <w:rFonts w:ascii="Palatino Linotype" w:hAnsi="Palatino Linotype"/>
        </w:rPr>
        <w:t xml:space="preserve"> establish ongoing contacts with one or more high school teachers in order to select the </w:t>
      </w:r>
      <w:r w:rsidR="00447061" w:rsidRPr="006814C7">
        <w:rPr>
          <w:rFonts w:ascii="Palatino Linotype" w:hAnsi="Palatino Linotype"/>
        </w:rPr>
        <w:t xml:space="preserve">audiences </w:t>
      </w:r>
      <w:r w:rsidRPr="006814C7">
        <w:rPr>
          <w:rFonts w:ascii="Palatino Linotype" w:hAnsi="Palatino Linotype"/>
        </w:rPr>
        <w:t>of the presentations, outline the topics</w:t>
      </w:r>
      <w:r w:rsidR="00447061" w:rsidRPr="006814C7">
        <w:rPr>
          <w:rFonts w:ascii="Palatino Linotype" w:hAnsi="Palatino Linotype"/>
        </w:rPr>
        <w:t>,</w:t>
      </w:r>
      <w:r w:rsidRPr="006814C7">
        <w:rPr>
          <w:rFonts w:ascii="Palatino Linotype" w:hAnsi="Palatino Linotype"/>
        </w:rPr>
        <w:t xml:space="preserve"> and organize the sessions</w:t>
      </w:r>
      <w:r w:rsidR="00447061" w:rsidRPr="006814C7">
        <w:rPr>
          <w:rFonts w:ascii="Palatino Linotype" w:hAnsi="Palatino Linotype"/>
        </w:rPr>
        <w:t>—</w:t>
      </w:r>
      <w:r w:rsidRPr="006814C7">
        <w:rPr>
          <w:rFonts w:ascii="Palatino Linotype" w:hAnsi="Palatino Linotype"/>
        </w:rPr>
        <w:t xml:space="preserve">as many as </w:t>
      </w:r>
      <w:r w:rsidR="00AA646D" w:rsidRPr="006814C7">
        <w:rPr>
          <w:rFonts w:ascii="Palatino Linotype" w:hAnsi="Palatino Linotype"/>
        </w:rPr>
        <w:t>13</w:t>
      </w:r>
      <w:r w:rsidRPr="006814C7">
        <w:rPr>
          <w:rFonts w:ascii="Palatino Linotype" w:hAnsi="Palatino Linotype"/>
        </w:rPr>
        <w:t xml:space="preserve"> in the master course’s second edition</w:t>
      </w:r>
      <w:r w:rsidR="00447061" w:rsidRPr="006814C7">
        <w:rPr>
          <w:rFonts w:ascii="Palatino Linotype" w:hAnsi="Palatino Linotype"/>
        </w:rPr>
        <w:t>.  B</w:t>
      </w:r>
      <w:r w:rsidRPr="006814C7">
        <w:rPr>
          <w:rFonts w:ascii="Palatino Linotype" w:hAnsi="Palatino Linotype"/>
        </w:rPr>
        <w:t>etween February and April, the teacher of each group guides the students in the realization of content and supervises the preparation of teaching materials for the sessions at the high schools</w:t>
      </w:r>
      <w:r w:rsidR="00447061" w:rsidRPr="006814C7">
        <w:rPr>
          <w:rFonts w:ascii="Palatino Linotype" w:hAnsi="Palatino Linotype"/>
        </w:rPr>
        <w:t>.  F</w:t>
      </w:r>
      <w:r w:rsidRPr="006814C7">
        <w:rPr>
          <w:rFonts w:ascii="Palatino Linotype" w:hAnsi="Palatino Linotype"/>
        </w:rPr>
        <w:t>inally, during the months of May and June</w:t>
      </w:r>
      <w:r w:rsidR="00447061" w:rsidRPr="006814C7">
        <w:rPr>
          <w:rFonts w:ascii="Palatino Linotype" w:hAnsi="Palatino Linotype"/>
        </w:rPr>
        <w:t>,</w:t>
      </w:r>
      <w:r w:rsidRPr="006814C7">
        <w:rPr>
          <w:rFonts w:ascii="Palatino Linotype" w:hAnsi="Palatino Linotype"/>
        </w:rPr>
        <w:t xml:space="preserve"> the planned presentation sessions are carried out.</w:t>
      </w:r>
    </w:p>
    <w:p w14:paraId="56729C9D" w14:textId="77777777" w:rsidR="006814C7" w:rsidRDefault="006814C7" w:rsidP="00215C97">
      <w:pPr>
        <w:spacing w:line="480" w:lineRule="auto"/>
        <w:jc w:val="both"/>
        <w:rPr>
          <w:rFonts w:ascii="Palatino Linotype" w:hAnsi="Palatino Linotype"/>
        </w:rPr>
      </w:pPr>
    </w:p>
    <w:p w14:paraId="7C939F0B" w14:textId="2447180E" w:rsidR="00D961C7" w:rsidRPr="006814C7" w:rsidRDefault="00D961C7" w:rsidP="00215C97">
      <w:pPr>
        <w:spacing w:line="480" w:lineRule="auto"/>
        <w:jc w:val="both"/>
        <w:rPr>
          <w:rFonts w:ascii="Palatino Linotype" w:hAnsi="Palatino Linotype"/>
        </w:rPr>
      </w:pPr>
      <w:r w:rsidRPr="006814C7">
        <w:rPr>
          <w:rFonts w:ascii="Palatino Linotype" w:hAnsi="Palatino Linotype"/>
        </w:rPr>
        <w:t xml:space="preserve">Obviously, in </w:t>
      </w:r>
      <w:proofErr w:type="spellStart"/>
      <w:r w:rsidRPr="006814C7">
        <w:rPr>
          <w:rFonts w:ascii="Palatino Linotype" w:hAnsi="Palatino Linotype"/>
          <w:i/>
        </w:rPr>
        <w:t>Proceso</w:t>
      </w:r>
      <w:proofErr w:type="spellEnd"/>
      <w:r w:rsidRPr="006814C7">
        <w:rPr>
          <w:rFonts w:ascii="Palatino Linotype" w:hAnsi="Palatino Linotype"/>
          <w:i/>
        </w:rPr>
        <w:t xml:space="preserve"> </w:t>
      </w:r>
      <w:proofErr w:type="spellStart"/>
      <w:r w:rsidRPr="006814C7">
        <w:rPr>
          <w:rFonts w:ascii="Palatino Linotype" w:hAnsi="Palatino Linotype"/>
          <w:i/>
        </w:rPr>
        <w:t>Administrativo</w:t>
      </w:r>
      <w:proofErr w:type="spellEnd"/>
      <w:r w:rsidR="00780419" w:rsidRPr="006814C7">
        <w:rPr>
          <w:rFonts w:ascii="Palatino Linotype" w:hAnsi="Palatino Linotype"/>
        </w:rPr>
        <w:t xml:space="preserve">, </w:t>
      </w:r>
      <w:r w:rsidRPr="006814C7">
        <w:rPr>
          <w:rFonts w:ascii="Palatino Linotype" w:hAnsi="Palatino Linotype"/>
        </w:rPr>
        <w:t xml:space="preserve">the timeline, although very similar in content and sequence, must be shortened and some changes must be introduced in order to start the clinical </w:t>
      </w:r>
      <w:r w:rsidR="00780419" w:rsidRPr="006814C7">
        <w:rPr>
          <w:rFonts w:ascii="Palatino Linotype" w:hAnsi="Palatino Linotype"/>
        </w:rPr>
        <w:t>component</w:t>
      </w:r>
      <w:r w:rsidRPr="006814C7">
        <w:rPr>
          <w:rFonts w:ascii="Palatino Linotype" w:hAnsi="Palatino Linotype"/>
        </w:rPr>
        <w:t>: the initial information about the clinical activity would be given in the first instructional day;</w:t>
      </w:r>
      <w:r w:rsidR="00780419" w:rsidRPr="006814C7">
        <w:rPr>
          <w:rFonts w:ascii="Palatino Linotype" w:hAnsi="Palatino Linotype"/>
        </w:rPr>
        <w:t xml:space="preserve"> </w:t>
      </w:r>
      <w:r w:rsidRPr="006814C7">
        <w:rPr>
          <w:rFonts w:ascii="Palatino Linotype" w:hAnsi="Palatino Linotype"/>
        </w:rPr>
        <w:t>during the month of February</w:t>
      </w:r>
      <w:r w:rsidR="00780419" w:rsidRPr="006814C7">
        <w:rPr>
          <w:rFonts w:ascii="Palatino Linotype" w:hAnsi="Palatino Linotype"/>
        </w:rPr>
        <w:t>,</w:t>
      </w:r>
      <w:r w:rsidRPr="006814C7">
        <w:rPr>
          <w:rFonts w:ascii="Palatino Linotype" w:hAnsi="Palatino Linotype"/>
        </w:rPr>
        <w:t xml:space="preserve"> the group or groups (the topics for the presentations, at least at first, should be limited to the first and second lessons of the syllabus), depending on the number of students interested in participating, should be prepared and then formed and the organizational and operational details explained in one single session before the end of February; the contacts with the high school teacher/s </w:t>
      </w:r>
      <w:r w:rsidRPr="006814C7">
        <w:rPr>
          <w:rFonts w:ascii="Palatino Linotype" w:hAnsi="Palatino Linotype"/>
        </w:rPr>
        <w:lastRenderedPageBreak/>
        <w:t>would be established as soon as po</w:t>
      </w:r>
      <w:r w:rsidR="00AA646D" w:rsidRPr="006814C7">
        <w:rPr>
          <w:rFonts w:ascii="Palatino Linotype" w:hAnsi="Palatino Linotype"/>
        </w:rPr>
        <w:t>s</w:t>
      </w:r>
      <w:r w:rsidRPr="006814C7">
        <w:rPr>
          <w:rFonts w:ascii="Palatino Linotype" w:hAnsi="Palatino Linotype"/>
        </w:rPr>
        <w:t>sible after the previous explanatory session; at the same time, the teacher (the only one, in our case) will start guiding and supervising the students in the preparation of the presentations at the high schools; finally, at the end of April or, at most, in the first week of May the presentation session/s should be carried out as the term (instructional period) finishes on May 14, 2019.</w:t>
      </w:r>
    </w:p>
    <w:p w14:paraId="0D95F0DA" w14:textId="77777777" w:rsidR="00215C97" w:rsidRPr="006814C7" w:rsidRDefault="00215C97" w:rsidP="00215C97">
      <w:pPr>
        <w:spacing w:line="480" w:lineRule="auto"/>
        <w:jc w:val="both"/>
        <w:rPr>
          <w:rFonts w:ascii="Palatino Linotype" w:hAnsi="Palatino Linotype"/>
        </w:rPr>
      </w:pPr>
    </w:p>
    <w:p w14:paraId="0750328E" w14:textId="4C5D19D9" w:rsidR="00D961C7" w:rsidRPr="006814C7" w:rsidRDefault="00AA646D" w:rsidP="00215C97">
      <w:pPr>
        <w:pStyle w:val="ListParagraph"/>
        <w:numPr>
          <w:ilvl w:val="0"/>
          <w:numId w:val="25"/>
        </w:numPr>
        <w:spacing w:line="480" w:lineRule="auto"/>
        <w:jc w:val="both"/>
        <w:rPr>
          <w:rFonts w:ascii="Palatino Linotype" w:hAnsi="Palatino Linotype"/>
          <w:b/>
        </w:rPr>
      </w:pPr>
      <w:r w:rsidRPr="006814C7">
        <w:rPr>
          <w:rFonts w:ascii="Palatino Linotype" w:hAnsi="Palatino Linotype"/>
          <w:b/>
        </w:rPr>
        <w:t>Assessing the Pilot</w:t>
      </w:r>
    </w:p>
    <w:p w14:paraId="4984257F" w14:textId="23D3425B" w:rsidR="00C278BA" w:rsidRPr="006814C7" w:rsidRDefault="00C278BA" w:rsidP="00215C97">
      <w:pPr>
        <w:spacing w:line="480" w:lineRule="auto"/>
        <w:jc w:val="both"/>
        <w:rPr>
          <w:rFonts w:ascii="Palatino Linotype" w:eastAsia="Times New Roman" w:hAnsi="Palatino Linotype"/>
        </w:rPr>
      </w:pPr>
      <w:r w:rsidRPr="006814C7">
        <w:rPr>
          <w:rFonts w:ascii="Palatino Linotype" w:hAnsi="Palatino Linotype"/>
        </w:rPr>
        <w:t>We plan on implementing these changes in the spring term of 2019.  And to further our goal of institutionalization, or at least sustainability, we of course plan on assessing how we me</w:t>
      </w:r>
      <w:r w:rsidR="00A47DE0" w:rsidRPr="006814C7">
        <w:rPr>
          <w:rFonts w:ascii="Palatino Linotype" w:hAnsi="Palatino Linotype"/>
        </w:rPr>
        <w:t>e</w:t>
      </w:r>
      <w:r w:rsidRPr="006814C7">
        <w:rPr>
          <w:rFonts w:ascii="Palatino Linotype" w:hAnsi="Palatino Linotype"/>
        </w:rPr>
        <w:t>t all our goals.</w:t>
      </w:r>
      <w:r w:rsidRPr="006814C7">
        <w:rPr>
          <w:rStyle w:val="FootnoteReference"/>
          <w:rFonts w:ascii="Palatino Linotype" w:eastAsia="Times New Roman" w:hAnsi="Palatino Linotype"/>
        </w:rPr>
        <w:t xml:space="preserve"> </w:t>
      </w:r>
      <w:r w:rsidRPr="006814C7">
        <w:rPr>
          <w:rStyle w:val="FootnoteReference"/>
          <w:rFonts w:ascii="Palatino Linotype" w:eastAsia="Times New Roman" w:hAnsi="Palatino Linotype"/>
        </w:rPr>
        <w:footnoteReference w:id="50"/>
      </w:r>
    </w:p>
    <w:p w14:paraId="0967D586" w14:textId="23F7EF03" w:rsidR="00C278BA" w:rsidRPr="006814C7" w:rsidRDefault="00C278BA" w:rsidP="00215C97">
      <w:pPr>
        <w:spacing w:line="480" w:lineRule="auto"/>
        <w:jc w:val="both"/>
        <w:rPr>
          <w:rFonts w:ascii="Palatino Linotype" w:hAnsi="Palatino Linotype"/>
        </w:rPr>
      </w:pPr>
    </w:p>
    <w:p w14:paraId="4F46D931" w14:textId="61A3128D" w:rsidR="00076998" w:rsidRPr="006814C7" w:rsidRDefault="009F1DAE" w:rsidP="00215C97">
      <w:pPr>
        <w:spacing w:line="480" w:lineRule="auto"/>
        <w:jc w:val="both"/>
        <w:rPr>
          <w:rFonts w:ascii="Palatino Linotype" w:hAnsi="Palatino Linotype"/>
        </w:rPr>
      </w:pPr>
      <w:r w:rsidRPr="006814C7">
        <w:rPr>
          <w:rFonts w:ascii="Palatino Linotype" w:eastAsia="Times New Roman" w:hAnsi="Palatino Linotype"/>
        </w:rPr>
        <w:t xml:space="preserve">Among such assessments will have to be </w:t>
      </w:r>
      <w:r w:rsidR="00D961C7" w:rsidRPr="006814C7">
        <w:rPr>
          <w:rFonts w:ascii="Palatino Linotype" w:eastAsia="Times New Roman" w:hAnsi="Palatino Linotype"/>
        </w:rPr>
        <w:t xml:space="preserve">surveys </w:t>
      </w:r>
      <w:r w:rsidRPr="006814C7">
        <w:rPr>
          <w:rFonts w:ascii="Palatino Linotype" w:eastAsia="Times New Roman" w:hAnsi="Palatino Linotype"/>
        </w:rPr>
        <w:t>of all the stakeholders</w:t>
      </w:r>
      <w:r w:rsidR="00D961C7" w:rsidRPr="006814C7">
        <w:rPr>
          <w:rFonts w:ascii="Palatino Linotype" w:eastAsia="Times New Roman" w:hAnsi="Palatino Linotype"/>
        </w:rPr>
        <w:t xml:space="preserve">: our law students in the first place, high school students, high school teachers, and other professionals who may occasionally collaborate. </w:t>
      </w:r>
      <w:r w:rsidRPr="006814C7">
        <w:rPr>
          <w:rFonts w:ascii="Palatino Linotype" w:eastAsia="Times New Roman" w:hAnsi="Palatino Linotype"/>
        </w:rPr>
        <w:t xml:space="preserve"> In line with best practices, we will also assess whether students</w:t>
      </w:r>
      <w:r w:rsidR="0047256C" w:rsidRPr="006814C7">
        <w:rPr>
          <w:rFonts w:ascii="Palatino Linotype" w:eastAsia="Times New Roman" w:hAnsi="Palatino Linotype"/>
        </w:rPr>
        <w:t xml:space="preserve"> have achieved their learning outcomes—from </w:t>
      </w:r>
      <w:r w:rsidR="00FC3097" w:rsidRPr="006814C7">
        <w:rPr>
          <w:rFonts w:ascii="Palatino Linotype" w:eastAsia="Times New Roman" w:hAnsi="Palatino Linotype"/>
        </w:rPr>
        <w:t>there</w:t>
      </w:r>
      <w:r w:rsidR="0047256C" w:rsidRPr="006814C7">
        <w:rPr>
          <w:rFonts w:ascii="Palatino Linotype" w:eastAsia="Times New Roman" w:hAnsi="Palatino Linotype"/>
        </w:rPr>
        <w:t xml:space="preserve">, their instructors’, and third-party perspectives.  </w:t>
      </w:r>
      <w:r w:rsidR="00D961C7" w:rsidRPr="006814C7">
        <w:rPr>
          <w:rFonts w:ascii="Palatino Linotype" w:eastAsia="Times New Roman" w:hAnsi="Palatino Linotype"/>
        </w:rPr>
        <w:t xml:space="preserve">As is done in Oviedo: </w:t>
      </w:r>
      <w:r w:rsidR="00D961C7" w:rsidRPr="006814C7">
        <w:rPr>
          <w:rFonts w:ascii="Palatino Linotype" w:hAnsi="Palatino Linotype"/>
        </w:rPr>
        <w:t xml:space="preserve">“Once the activities are carried out in each high school, they are assessed by collecting the opinions of the participants in the group that made the presentation, of the teacher of the Clinic that accompanied them and of the high </w:t>
      </w:r>
      <w:r w:rsidR="00D961C7" w:rsidRPr="006814C7">
        <w:rPr>
          <w:rFonts w:ascii="Palatino Linotype" w:hAnsi="Palatino Linotype"/>
        </w:rPr>
        <w:lastRenderedPageBreak/>
        <w:t>school teachers that attended the presentation, who may also provide us with the impressions of the [high school] students</w:t>
      </w:r>
      <w:r w:rsidR="00F4361F" w:rsidRPr="006814C7">
        <w:rPr>
          <w:rFonts w:ascii="Palatino Linotype" w:hAnsi="Palatino Linotype"/>
        </w:rPr>
        <w:t>.</w:t>
      </w:r>
      <w:r w:rsidR="00D961C7" w:rsidRPr="006814C7">
        <w:rPr>
          <w:rFonts w:ascii="Palatino Linotype" w:hAnsi="Palatino Linotype"/>
        </w:rPr>
        <w:t>”</w:t>
      </w:r>
      <w:r w:rsidR="00F4361F" w:rsidRPr="006814C7">
        <w:rPr>
          <w:rStyle w:val="FootnoteReference"/>
          <w:rFonts w:ascii="Palatino Linotype" w:hAnsi="Palatino Linotype"/>
        </w:rPr>
        <w:footnoteReference w:id="51"/>
      </w:r>
      <w:r w:rsidR="00D961C7" w:rsidRPr="006814C7">
        <w:rPr>
          <w:rFonts w:ascii="Palatino Linotype" w:hAnsi="Palatino Linotype"/>
        </w:rPr>
        <w:t xml:space="preserve"> </w:t>
      </w:r>
      <w:r w:rsidR="00F4361F" w:rsidRPr="006814C7">
        <w:rPr>
          <w:rFonts w:ascii="Palatino Linotype" w:hAnsi="Palatino Linotype"/>
        </w:rPr>
        <w:t xml:space="preserve"> </w:t>
      </w:r>
      <w:r w:rsidR="00AA19AE" w:rsidRPr="006814C7">
        <w:rPr>
          <w:rFonts w:ascii="Palatino Linotype" w:hAnsi="Palatino Linotype"/>
        </w:rPr>
        <w:t>We also will need to assess institutional outcomes, that is, whether we’ve progressed on convincing our law and wider university colleagues of the importance of clinical teaching.  Among other measures, this would be concretized by actual support—financial and otherwise—from the law school, the university, the bar, and the wider community.</w:t>
      </w:r>
    </w:p>
    <w:p w14:paraId="480B9EFD" w14:textId="77777777" w:rsidR="00215C97" w:rsidRPr="006814C7" w:rsidRDefault="00215C97" w:rsidP="00215C97">
      <w:pPr>
        <w:spacing w:line="480" w:lineRule="auto"/>
        <w:jc w:val="both"/>
        <w:rPr>
          <w:rFonts w:ascii="Palatino Linotype" w:hAnsi="Palatino Linotype"/>
        </w:rPr>
      </w:pPr>
    </w:p>
    <w:p w14:paraId="6F98B1D4" w14:textId="0B8C230B" w:rsidR="00DD7A5F" w:rsidRPr="006814C7" w:rsidRDefault="00DD7A5F" w:rsidP="00215C97">
      <w:pPr>
        <w:pStyle w:val="ListParagraph"/>
        <w:numPr>
          <w:ilvl w:val="0"/>
          <w:numId w:val="14"/>
        </w:numPr>
        <w:spacing w:line="480" w:lineRule="auto"/>
        <w:ind w:left="720" w:hanging="360"/>
        <w:jc w:val="both"/>
        <w:rPr>
          <w:rFonts w:ascii="Palatino Linotype" w:eastAsia="Times New Roman" w:hAnsi="Palatino Linotype"/>
          <w:b/>
        </w:rPr>
      </w:pPr>
      <w:r w:rsidRPr="006814C7">
        <w:rPr>
          <w:rFonts w:ascii="Palatino Linotype" w:eastAsia="Times New Roman" w:hAnsi="Palatino Linotype"/>
          <w:b/>
        </w:rPr>
        <w:t>Conclusion</w:t>
      </w:r>
    </w:p>
    <w:p w14:paraId="60326B03" w14:textId="7C9B125A" w:rsidR="007B277E" w:rsidRPr="006814C7" w:rsidRDefault="00AA19AE" w:rsidP="00215C97">
      <w:pPr>
        <w:spacing w:line="480" w:lineRule="auto"/>
        <w:jc w:val="both"/>
        <w:rPr>
          <w:rFonts w:ascii="Palatino Linotype" w:eastAsia="Times New Roman" w:hAnsi="Palatino Linotype"/>
        </w:rPr>
      </w:pPr>
      <w:r w:rsidRPr="006814C7">
        <w:rPr>
          <w:rFonts w:ascii="Palatino Linotype" w:eastAsia="Times New Roman" w:hAnsi="Palatino Linotype"/>
        </w:rPr>
        <w:t>We have a ways to go at the University of Granada.</w:t>
      </w:r>
      <w:r w:rsidR="0001542C" w:rsidRPr="006814C7">
        <w:rPr>
          <w:rFonts w:ascii="Palatino Linotype" w:eastAsia="Times New Roman" w:hAnsi="Palatino Linotype"/>
        </w:rPr>
        <w:t xml:space="preserve">  But we have a deep well from which to draw, empirically, pedagogically, and institutionally.</w:t>
      </w:r>
      <w:r w:rsidR="00576C1B" w:rsidRPr="006814C7">
        <w:rPr>
          <w:rFonts w:ascii="Palatino Linotype" w:eastAsia="Times New Roman" w:hAnsi="Palatino Linotype"/>
        </w:rPr>
        <w:t xml:space="preserve">  We have empirical consensus on what it takes to be a competent practitioner.  We have scholarly consensus on how to teach competence.  And we have consensus on an institutional agenda.  Above all, perhaps, we have a network of active Spanish—and European, U.S., and other international—clinicians as comrades.</w:t>
      </w:r>
      <w:r w:rsidR="00120B7C" w:rsidRPr="006814C7">
        <w:rPr>
          <w:rFonts w:ascii="Palatino Linotype" w:eastAsia="Times New Roman" w:hAnsi="Palatino Linotype"/>
        </w:rPr>
        <w:t xml:space="preserve">  We’ve attempted to sketch a plan for the University of Granada in this article.  With this solid grounding, we are hopeful in taking the first step.</w:t>
      </w:r>
    </w:p>
    <w:sectPr w:rsidR="007B277E" w:rsidRPr="006814C7" w:rsidSect="00B625E3">
      <w:headerReference w:type="default" r:id="rId8"/>
      <w:footerReference w:type="even" r:id="rId9"/>
      <w:footerReference w:type="default" r:id="rId10"/>
      <w:pgSz w:w="12240" w:h="15840"/>
      <w:pgMar w:top="1440" w:right="1440" w:bottom="1440" w:left="1440" w:header="720" w:footer="720" w:gutter="0"/>
      <w:pgNumType w:start="1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2B7CD" w14:textId="77777777" w:rsidR="00A46A8B" w:rsidRDefault="00A46A8B" w:rsidP="00C3784B">
      <w:r>
        <w:separator/>
      </w:r>
    </w:p>
  </w:endnote>
  <w:endnote w:type="continuationSeparator" w:id="0">
    <w:p w14:paraId="24B19427" w14:textId="77777777" w:rsidR="00A46A8B" w:rsidRDefault="00A46A8B" w:rsidP="00C3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Roman">
    <w:altName w:val="Times New Roman"/>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6809666"/>
      <w:docPartObj>
        <w:docPartGallery w:val="Page Numbers (Bottom of Page)"/>
        <w:docPartUnique/>
      </w:docPartObj>
    </w:sdtPr>
    <w:sdtEndPr>
      <w:rPr>
        <w:rStyle w:val="PageNumber"/>
      </w:rPr>
    </w:sdtEndPr>
    <w:sdtContent>
      <w:p w14:paraId="3D131A78" w14:textId="7E4E116A" w:rsidR="00022003" w:rsidRDefault="00022003" w:rsidP="005A37E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573EDA" w14:textId="77777777" w:rsidR="00022003" w:rsidRDefault="00022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088606"/>
      <w:docPartObj>
        <w:docPartGallery w:val="Page Numbers (Bottom of Page)"/>
        <w:docPartUnique/>
      </w:docPartObj>
    </w:sdtPr>
    <w:sdtEndPr>
      <w:rPr>
        <w:noProof/>
      </w:rPr>
    </w:sdtEndPr>
    <w:sdtContent>
      <w:p w14:paraId="31E719F4" w14:textId="7644ED81" w:rsidR="00B625E3" w:rsidRDefault="00B625E3">
        <w:pPr>
          <w:pStyle w:val="Footer"/>
          <w:jc w:val="center"/>
        </w:pPr>
        <w:r>
          <w:fldChar w:fldCharType="begin"/>
        </w:r>
        <w:r>
          <w:instrText xml:space="preserve"> PAGE   \* MERGEFORMAT </w:instrText>
        </w:r>
        <w:r>
          <w:fldChar w:fldCharType="separate"/>
        </w:r>
        <w:r w:rsidR="00C00BAB">
          <w:rPr>
            <w:noProof/>
          </w:rPr>
          <w:t>147</w:t>
        </w:r>
        <w:r>
          <w:rPr>
            <w:noProof/>
          </w:rPr>
          <w:fldChar w:fldCharType="end"/>
        </w:r>
      </w:p>
    </w:sdtContent>
  </w:sdt>
  <w:p w14:paraId="3769BA60" w14:textId="77777777" w:rsidR="00022003" w:rsidRDefault="00022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E6B97" w14:textId="77777777" w:rsidR="00A46A8B" w:rsidRDefault="00A46A8B" w:rsidP="00C3784B">
      <w:r>
        <w:separator/>
      </w:r>
    </w:p>
  </w:footnote>
  <w:footnote w:type="continuationSeparator" w:id="0">
    <w:p w14:paraId="4A586045" w14:textId="77777777" w:rsidR="00A46A8B" w:rsidRDefault="00A46A8B" w:rsidP="00C3784B">
      <w:r>
        <w:continuationSeparator/>
      </w:r>
    </w:p>
  </w:footnote>
  <w:footnote w:id="1">
    <w:p w14:paraId="6F7F27FB" w14:textId="39C96C7F" w:rsidR="00022003" w:rsidRDefault="00022003">
      <w:pPr>
        <w:pStyle w:val="FootnoteText"/>
      </w:pPr>
      <w:r w:rsidRPr="00945D02">
        <w:rPr>
          <w:rStyle w:val="FootnoteReference"/>
        </w:rPr>
        <w:t>i</w:t>
      </w:r>
      <w:r w:rsidRPr="00945D02">
        <w:t xml:space="preserve">  </w:t>
      </w:r>
      <w:r>
        <w:t>Associate Professor of Law, Universidad de Granada.</w:t>
      </w:r>
    </w:p>
  </w:footnote>
  <w:footnote w:id="2">
    <w:p w14:paraId="2987A51C" w14:textId="03C4A3DD" w:rsidR="00022003" w:rsidRPr="003D3FE6" w:rsidRDefault="00022003">
      <w:pPr>
        <w:pStyle w:val="FootnoteText"/>
      </w:pPr>
      <w:r>
        <w:rPr>
          <w:rStyle w:val="FootnoteReference"/>
        </w:rPr>
        <w:t>ii</w:t>
      </w:r>
      <w:r>
        <w:t xml:space="preserve"> </w:t>
      </w:r>
      <w:r w:rsidR="00E27AD7">
        <w:t xml:space="preserve">Professor of Law and Director, Lawyering Program, City University of New York School of Law; formerly </w:t>
      </w:r>
      <w:r>
        <w:t xml:space="preserve">Professor of Law and Associate Dean for Clinical and Experiential Education, University of Montana Alexander </w:t>
      </w:r>
      <w:proofErr w:type="spellStart"/>
      <w:r>
        <w:t>Blewett</w:t>
      </w:r>
      <w:proofErr w:type="spellEnd"/>
      <w:r>
        <w:t xml:space="preserve"> III School of Law, and co-chair of the American Association of Law Schools Section on </w:t>
      </w:r>
      <w:r w:rsidRPr="003D3FE6">
        <w:t>Clinical Legal Education.</w:t>
      </w:r>
    </w:p>
  </w:footnote>
  <w:footnote w:id="3">
    <w:p w14:paraId="0303DD5C" w14:textId="55519C8F" w:rsidR="00022003" w:rsidRPr="003D3FE6" w:rsidRDefault="00022003">
      <w:pPr>
        <w:pStyle w:val="FootnoteText"/>
        <w:rPr>
          <w:highlight w:val="yellow"/>
        </w:rPr>
      </w:pPr>
      <w:r w:rsidRPr="00945D02">
        <w:rPr>
          <w:rStyle w:val="FootnoteReference"/>
        </w:rPr>
        <w:t>iii</w:t>
      </w:r>
      <w:r w:rsidRPr="00945D02">
        <w:t xml:space="preserve">  </w:t>
      </w:r>
      <w:r>
        <w:t xml:space="preserve">Professor of Law, University of Montana Alexander </w:t>
      </w:r>
      <w:proofErr w:type="spellStart"/>
      <w:r>
        <w:t>Blewett</w:t>
      </w:r>
      <w:proofErr w:type="spellEnd"/>
      <w:r>
        <w:t xml:space="preserve"> III School of Law.</w:t>
      </w:r>
    </w:p>
  </w:footnote>
  <w:footnote w:id="4">
    <w:p w14:paraId="7EDD2D9A" w14:textId="36EFEAA6" w:rsidR="00022003" w:rsidRDefault="00022003">
      <w:pPr>
        <w:pStyle w:val="FootnoteText"/>
      </w:pPr>
      <w:r w:rsidRPr="00945D02">
        <w:rPr>
          <w:rStyle w:val="FootnoteReference"/>
        </w:rPr>
        <w:t>iv</w:t>
      </w:r>
      <w:r w:rsidRPr="00945D02">
        <w:t xml:space="preserve">  </w:t>
      </w:r>
      <w:r>
        <w:t xml:space="preserve">Associate Professor of Law </w:t>
      </w:r>
      <w:r w:rsidRPr="00D955E5">
        <w:rPr>
          <w:color w:val="000000" w:themeColor="text1"/>
        </w:rPr>
        <w:t>and Director of the Legal Clinic for Social Justice</w:t>
      </w:r>
      <w:r>
        <w:t>, Universidad de Valencia.</w:t>
      </w:r>
    </w:p>
  </w:footnote>
  <w:footnote w:id="5">
    <w:p w14:paraId="2C950AF5" w14:textId="29CF0611" w:rsidR="00022003" w:rsidRDefault="00022003">
      <w:pPr>
        <w:pStyle w:val="FootnoteText"/>
      </w:pPr>
      <w:r>
        <w:rPr>
          <w:rStyle w:val="FootnoteReference"/>
        </w:rPr>
        <w:footnoteRef/>
      </w:r>
      <w:r>
        <w:t xml:space="preserve"> </w:t>
      </w:r>
      <w:r w:rsidR="00446E4A">
        <w:t>Conference n</w:t>
      </w:r>
      <w:r>
        <w:t>otes on file with authors.</w:t>
      </w:r>
    </w:p>
  </w:footnote>
  <w:footnote w:id="6">
    <w:p w14:paraId="3E297647" w14:textId="77777777" w:rsidR="00326AA0" w:rsidRPr="00CF597B" w:rsidRDefault="00326AA0" w:rsidP="00326AA0">
      <w:pPr>
        <w:pStyle w:val="FootnoteText"/>
        <w:rPr>
          <w:szCs w:val="22"/>
        </w:rPr>
      </w:pPr>
      <w:r w:rsidRPr="00CF597B">
        <w:rPr>
          <w:rStyle w:val="FootnoteReference"/>
          <w:szCs w:val="22"/>
        </w:rPr>
        <w:footnoteRef/>
      </w:r>
      <w:r w:rsidRPr="00CF597B">
        <w:rPr>
          <w:szCs w:val="22"/>
        </w:rPr>
        <w:t xml:space="preserve"> </w:t>
      </w:r>
      <w:r>
        <w:rPr>
          <w:color w:val="000000"/>
        </w:rPr>
        <w:t xml:space="preserve">A brief description of this financial aid can be found in </w:t>
      </w:r>
      <w:r w:rsidRPr="00945D02">
        <w:rPr>
          <w:smallCaps/>
          <w:color w:val="000000"/>
        </w:rPr>
        <w:t xml:space="preserve">Alberto </w:t>
      </w:r>
      <w:proofErr w:type="spellStart"/>
      <w:r w:rsidRPr="00945D02">
        <w:rPr>
          <w:smallCaps/>
          <w:color w:val="000000"/>
        </w:rPr>
        <w:t>Alemanno</w:t>
      </w:r>
      <w:proofErr w:type="spellEnd"/>
      <w:r w:rsidRPr="00945D02">
        <w:rPr>
          <w:smallCaps/>
          <w:color w:val="000000"/>
        </w:rPr>
        <w:t xml:space="preserve"> &amp; </w:t>
      </w:r>
      <w:proofErr w:type="spellStart"/>
      <w:r w:rsidRPr="00945D02">
        <w:rPr>
          <w:smallCaps/>
          <w:color w:val="000000"/>
        </w:rPr>
        <w:t>Lamin</w:t>
      </w:r>
      <w:proofErr w:type="spellEnd"/>
      <w:r w:rsidRPr="00945D02">
        <w:rPr>
          <w:smallCaps/>
          <w:color w:val="000000"/>
        </w:rPr>
        <w:t xml:space="preserve"> </w:t>
      </w:r>
      <w:proofErr w:type="spellStart"/>
      <w:r w:rsidRPr="00945D02">
        <w:rPr>
          <w:smallCaps/>
          <w:color w:val="000000"/>
        </w:rPr>
        <w:t>Khadar</w:t>
      </w:r>
      <w:proofErr w:type="spellEnd"/>
      <w:r w:rsidRPr="00945D02">
        <w:rPr>
          <w:smallCaps/>
          <w:color w:val="000000"/>
        </w:rPr>
        <w:t>, Reinventing Legal Education</w:t>
      </w:r>
      <w:r>
        <w:rPr>
          <w:smallCaps/>
          <w:color w:val="000000"/>
        </w:rPr>
        <w:t>:</w:t>
      </w:r>
      <w:r w:rsidRPr="00945D02">
        <w:rPr>
          <w:smallCaps/>
          <w:color w:val="000000"/>
        </w:rPr>
        <w:t xml:space="preserve"> How Clinical Educati</w:t>
      </w:r>
      <w:r>
        <w:rPr>
          <w:smallCaps/>
          <w:color w:val="000000"/>
        </w:rPr>
        <w:t>o</w:t>
      </w:r>
      <w:r w:rsidRPr="00945D02">
        <w:rPr>
          <w:smallCaps/>
          <w:color w:val="000000"/>
        </w:rPr>
        <w:t>n is Reforming Law Teaching and Practice in Europe</w:t>
      </w:r>
      <w:r>
        <w:rPr>
          <w:color w:val="000000"/>
        </w:rPr>
        <w:t xml:space="preserve">, 9 (Cambridge Univ. Press 2018) [hereinafter </w:t>
      </w:r>
      <w:proofErr w:type="spellStart"/>
      <w:r>
        <w:rPr>
          <w:smallCaps/>
          <w:color w:val="000000"/>
        </w:rPr>
        <w:t>Alemanno</w:t>
      </w:r>
      <w:proofErr w:type="spellEnd"/>
      <w:r>
        <w:rPr>
          <w:smallCaps/>
          <w:color w:val="000000"/>
        </w:rPr>
        <w:t xml:space="preserve"> &amp; </w:t>
      </w:r>
      <w:proofErr w:type="spellStart"/>
      <w:r>
        <w:rPr>
          <w:smallCaps/>
          <w:color w:val="000000"/>
        </w:rPr>
        <w:t>Khadar</w:t>
      </w:r>
      <w:proofErr w:type="spellEnd"/>
      <w:r>
        <w:rPr>
          <w:smallCaps/>
          <w:color w:val="000000"/>
        </w:rPr>
        <w:t>]</w:t>
      </w:r>
      <w:r>
        <w:rPr>
          <w:color w:val="000000"/>
        </w:rPr>
        <w:t>.</w:t>
      </w:r>
    </w:p>
  </w:footnote>
  <w:footnote w:id="7">
    <w:p w14:paraId="5CA4944D" w14:textId="45DF15E8" w:rsidR="00BB2E98" w:rsidRPr="00CF597B" w:rsidRDefault="00BB2E98" w:rsidP="00BB2E98">
      <w:pPr>
        <w:pStyle w:val="FootnoteText"/>
        <w:rPr>
          <w:szCs w:val="22"/>
        </w:rPr>
      </w:pPr>
      <w:r w:rsidRPr="00CF597B">
        <w:rPr>
          <w:rStyle w:val="FootnoteReference"/>
          <w:szCs w:val="22"/>
        </w:rPr>
        <w:footnoteRef/>
      </w:r>
      <w:r w:rsidRPr="00CF597B">
        <w:rPr>
          <w:szCs w:val="22"/>
        </w:rPr>
        <w:t xml:space="preserve"> </w:t>
      </w:r>
      <w:r>
        <w:rPr>
          <w:i/>
          <w:color w:val="000000"/>
        </w:rPr>
        <w:t>S</w:t>
      </w:r>
      <w:r w:rsidRPr="00945D02">
        <w:rPr>
          <w:i/>
          <w:color w:val="000000"/>
        </w:rPr>
        <w:t>ee</w:t>
      </w:r>
      <w:r>
        <w:rPr>
          <w:i/>
          <w:color w:val="000000"/>
        </w:rPr>
        <w:t>, e.g.,</w:t>
      </w:r>
      <w:r>
        <w:rPr>
          <w:color w:val="000000"/>
        </w:rPr>
        <w:t xml:space="preserve"> </w:t>
      </w:r>
      <w:r w:rsidRPr="00112260">
        <w:rPr>
          <w:smallCaps/>
          <w:color w:val="000000"/>
        </w:rPr>
        <w:t xml:space="preserve">Diego </w:t>
      </w:r>
      <w:proofErr w:type="spellStart"/>
      <w:r w:rsidRPr="00112260">
        <w:rPr>
          <w:smallCaps/>
          <w:color w:val="000000"/>
        </w:rPr>
        <w:t>Blázquez</w:t>
      </w:r>
      <w:proofErr w:type="spellEnd"/>
      <w:r w:rsidRPr="00112260">
        <w:rPr>
          <w:smallCaps/>
          <w:color w:val="000000"/>
        </w:rPr>
        <w:t xml:space="preserve">-Martín, </w:t>
      </w:r>
      <w:r w:rsidRPr="00112260">
        <w:rPr>
          <w:i/>
          <w:iCs/>
          <w:smallCaps/>
          <w:color w:val="000000"/>
        </w:rPr>
        <w:t>The Bologna Process and the Future of Clinical Education in Europe: A View from Spain</w:t>
      </w:r>
      <w:r w:rsidRPr="00945D02">
        <w:rPr>
          <w:smallCaps/>
          <w:color w:val="000000"/>
        </w:rPr>
        <w:t>,</w:t>
      </w:r>
      <w:r>
        <w:rPr>
          <w:color w:val="000000"/>
        </w:rPr>
        <w:t xml:space="preserve"> </w:t>
      </w:r>
      <w:r>
        <w:rPr>
          <w:i/>
          <w:iCs/>
          <w:color w:val="000000"/>
        </w:rPr>
        <w:t xml:space="preserve">in </w:t>
      </w:r>
      <w:r w:rsidRPr="00945D02">
        <w:rPr>
          <w:smallCaps/>
          <w:color w:val="000000"/>
        </w:rPr>
        <w:t>Frank S. Bloch, The Global Clinical Movement: Educating Lawyers for Social Justice</w:t>
      </w:r>
      <w:r w:rsidR="00147CE3">
        <w:rPr>
          <w:smallCaps/>
          <w:color w:val="000000"/>
        </w:rPr>
        <w:t xml:space="preserve"> </w:t>
      </w:r>
      <w:r>
        <w:rPr>
          <w:color w:val="000000"/>
        </w:rPr>
        <w:t xml:space="preserve"> 125 (Oxford Univ. Press 2010)</w:t>
      </w:r>
      <w:r w:rsidR="00FC3097">
        <w:rPr>
          <w:color w:val="000000"/>
        </w:rPr>
        <w:t>.</w:t>
      </w:r>
    </w:p>
  </w:footnote>
  <w:footnote w:id="8">
    <w:p w14:paraId="62CF5DE4" w14:textId="13F8DB65" w:rsidR="00F53A2C" w:rsidRPr="00F53A2C" w:rsidRDefault="00F53A2C">
      <w:pPr>
        <w:pStyle w:val="FootnoteText"/>
        <w:rPr>
          <w:i/>
        </w:rPr>
      </w:pPr>
      <w:r>
        <w:rPr>
          <w:rStyle w:val="FootnoteReference"/>
        </w:rPr>
        <w:footnoteRef/>
      </w:r>
      <w:r>
        <w:t xml:space="preserve"> </w:t>
      </w:r>
      <w:r>
        <w:rPr>
          <w:i/>
        </w:rPr>
        <w:t>Id.</w:t>
      </w:r>
    </w:p>
  </w:footnote>
  <w:footnote w:id="9">
    <w:p w14:paraId="2E3765EE" w14:textId="2E0F9D27" w:rsidR="00022003" w:rsidRPr="00CF597B" w:rsidRDefault="00022003" w:rsidP="00404246">
      <w:pPr>
        <w:pStyle w:val="FootnoteText"/>
        <w:rPr>
          <w:szCs w:val="22"/>
        </w:rPr>
      </w:pPr>
      <w:r w:rsidRPr="00CF597B">
        <w:rPr>
          <w:rStyle w:val="FootnoteReference"/>
          <w:szCs w:val="22"/>
        </w:rPr>
        <w:footnoteRef/>
      </w:r>
      <w:r w:rsidRPr="00CF597B">
        <w:rPr>
          <w:szCs w:val="22"/>
        </w:rPr>
        <w:t xml:space="preserve"> </w:t>
      </w:r>
      <w:proofErr w:type="spellStart"/>
      <w:r w:rsidRPr="00945D02">
        <w:rPr>
          <w:smallCaps/>
          <w:szCs w:val="22"/>
        </w:rPr>
        <w:t>Alemanno</w:t>
      </w:r>
      <w:proofErr w:type="spellEnd"/>
      <w:r w:rsidRPr="00945D02">
        <w:rPr>
          <w:smallCaps/>
          <w:szCs w:val="22"/>
        </w:rPr>
        <w:t xml:space="preserve"> &amp; </w:t>
      </w:r>
      <w:proofErr w:type="spellStart"/>
      <w:r w:rsidRPr="00945D02">
        <w:rPr>
          <w:smallCaps/>
          <w:szCs w:val="22"/>
        </w:rPr>
        <w:t>Khadar</w:t>
      </w:r>
      <w:proofErr w:type="spellEnd"/>
      <w:r w:rsidRPr="00CF597B">
        <w:rPr>
          <w:szCs w:val="22"/>
        </w:rPr>
        <w:t xml:space="preserve"> </w:t>
      </w:r>
      <w:r>
        <w:rPr>
          <w:i/>
          <w:iCs/>
          <w:color w:val="000000"/>
        </w:rPr>
        <w:t xml:space="preserve">supra </w:t>
      </w:r>
      <w:r>
        <w:rPr>
          <w:color w:val="000000"/>
        </w:rPr>
        <w:t xml:space="preserve">note </w:t>
      </w:r>
      <w:r w:rsidR="00147CE3">
        <w:rPr>
          <w:color w:val="000000"/>
        </w:rPr>
        <w:t>2</w:t>
      </w:r>
      <w:r>
        <w:rPr>
          <w:color w:val="000000"/>
        </w:rPr>
        <w:t xml:space="preserve">, </w:t>
      </w:r>
      <w:r>
        <w:rPr>
          <w:szCs w:val="22"/>
        </w:rPr>
        <w:t>at</w:t>
      </w:r>
      <w:r w:rsidRPr="00CF597B">
        <w:rPr>
          <w:szCs w:val="22"/>
        </w:rPr>
        <w:t xml:space="preserve"> 17.</w:t>
      </w:r>
    </w:p>
  </w:footnote>
  <w:footnote w:id="10">
    <w:p w14:paraId="64BB4C81" w14:textId="5F0406E2" w:rsidR="006E0030" w:rsidRPr="00CF597B" w:rsidRDefault="006E0030" w:rsidP="006E0030">
      <w:pPr>
        <w:pStyle w:val="FootnoteText"/>
        <w:rPr>
          <w:szCs w:val="22"/>
        </w:rPr>
      </w:pPr>
      <w:r w:rsidRPr="00CF597B">
        <w:rPr>
          <w:rStyle w:val="FootnoteReference"/>
          <w:szCs w:val="22"/>
        </w:rPr>
        <w:footnoteRef/>
      </w:r>
      <w:r w:rsidRPr="00CF597B">
        <w:rPr>
          <w:szCs w:val="22"/>
        </w:rPr>
        <w:t xml:space="preserve"> </w:t>
      </w:r>
      <w:r>
        <w:rPr>
          <w:i/>
          <w:iCs/>
          <w:color w:val="000000"/>
        </w:rPr>
        <w:t xml:space="preserve">See </w:t>
      </w:r>
      <w:proofErr w:type="spellStart"/>
      <w:r w:rsidRPr="00112260">
        <w:rPr>
          <w:smallCaps/>
          <w:color w:val="000000"/>
        </w:rPr>
        <w:t>Pilar</w:t>
      </w:r>
      <w:proofErr w:type="spellEnd"/>
      <w:r w:rsidRPr="00112260">
        <w:rPr>
          <w:smallCaps/>
          <w:color w:val="000000"/>
        </w:rPr>
        <w:t xml:space="preserve"> </w:t>
      </w:r>
      <w:proofErr w:type="spellStart"/>
      <w:r w:rsidRPr="00112260">
        <w:rPr>
          <w:smallCaps/>
          <w:color w:val="000000"/>
        </w:rPr>
        <w:t>Fernández</w:t>
      </w:r>
      <w:proofErr w:type="spellEnd"/>
      <w:r w:rsidRPr="00112260">
        <w:rPr>
          <w:smallCaps/>
          <w:color w:val="000000"/>
        </w:rPr>
        <w:t xml:space="preserve"> </w:t>
      </w:r>
      <w:proofErr w:type="spellStart"/>
      <w:r w:rsidRPr="00112260">
        <w:rPr>
          <w:smallCaps/>
          <w:color w:val="000000"/>
        </w:rPr>
        <w:t>Artiach</w:t>
      </w:r>
      <w:proofErr w:type="spellEnd"/>
      <w:r w:rsidRPr="00112260">
        <w:rPr>
          <w:smallCaps/>
          <w:color w:val="000000"/>
        </w:rPr>
        <w:t xml:space="preserve">, Jose </w:t>
      </w:r>
      <w:proofErr w:type="spellStart"/>
      <w:r w:rsidRPr="00112260">
        <w:rPr>
          <w:smallCaps/>
          <w:color w:val="000000"/>
        </w:rPr>
        <w:t>García</w:t>
      </w:r>
      <w:proofErr w:type="spellEnd"/>
      <w:r w:rsidRPr="00112260">
        <w:rPr>
          <w:smallCaps/>
          <w:color w:val="000000"/>
        </w:rPr>
        <w:t xml:space="preserve"> </w:t>
      </w:r>
      <w:proofErr w:type="spellStart"/>
      <w:r w:rsidRPr="00112260">
        <w:rPr>
          <w:smallCaps/>
          <w:color w:val="000000"/>
        </w:rPr>
        <w:t>Añón</w:t>
      </w:r>
      <w:proofErr w:type="spellEnd"/>
      <w:r w:rsidRPr="00112260">
        <w:rPr>
          <w:smallCaps/>
          <w:color w:val="000000"/>
        </w:rPr>
        <w:t xml:space="preserve"> &amp; Ruth </w:t>
      </w:r>
      <w:proofErr w:type="spellStart"/>
      <w:r w:rsidRPr="00112260">
        <w:rPr>
          <w:smallCaps/>
          <w:color w:val="000000"/>
        </w:rPr>
        <w:t>Mestre</w:t>
      </w:r>
      <w:proofErr w:type="spellEnd"/>
      <w:r w:rsidRPr="00112260">
        <w:rPr>
          <w:smallCaps/>
          <w:color w:val="000000"/>
        </w:rPr>
        <w:t xml:space="preserve"> i </w:t>
      </w:r>
      <w:proofErr w:type="spellStart"/>
      <w:r w:rsidRPr="00112260">
        <w:rPr>
          <w:smallCaps/>
          <w:color w:val="000000"/>
        </w:rPr>
        <w:t>Mestre</w:t>
      </w:r>
      <w:proofErr w:type="spellEnd"/>
      <w:r w:rsidRPr="00112260">
        <w:rPr>
          <w:smallCaps/>
          <w:color w:val="000000"/>
        </w:rPr>
        <w:t xml:space="preserve">, </w:t>
      </w:r>
      <w:r w:rsidRPr="00112260">
        <w:rPr>
          <w:i/>
          <w:iCs/>
          <w:smallCaps/>
          <w:color w:val="000000"/>
        </w:rPr>
        <w:t>The birth, growth and reproduction of clinical legal education in Spain</w:t>
      </w:r>
      <w:r w:rsidRPr="00A16A97">
        <w:rPr>
          <w:i/>
          <w:color w:val="000000"/>
        </w:rPr>
        <w:t>,</w:t>
      </w:r>
      <w:r>
        <w:rPr>
          <w:color w:val="000000"/>
        </w:rPr>
        <w:t xml:space="preserve"> </w:t>
      </w:r>
      <w:r>
        <w:rPr>
          <w:i/>
          <w:color w:val="000000"/>
        </w:rPr>
        <w:t xml:space="preserve">in </w:t>
      </w:r>
      <w:r w:rsidRPr="00A16A97">
        <w:rPr>
          <w:smallCaps/>
          <w:color w:val="000000"/>
        </w:rPr>
        <w:t>Richard Grimes,</w:t>
      </w:r>
      <w:r w:rsidRPr="00A16A97">
        <w:rPr>
          <w:i/>
          <w:iCs/>
          <w:smallCaps/>
          <w:color w:val="000000"/>
        </w:rPr>
        <w:t xml:space="preserve"> </w:t>
      </w:r>
      <w:r w:rsidRPr="00A16A97">
        <w:rPr>
          <w:smallCaps/>
          <w:color w:val="000000"/>
        </w:rPr>
        <w:t>Re-thinking Legal Education under the Civil and Common Law: A Road Map for Constructive Change</w:t>
      </w:r>
      <w:r>
        <w:rPr>
          <w:color w:val="000000"/>
        </w:rPr>
        <w:t xml:space="preserve"> 148 (</w:t>
      </w:r>
      <w:r>
        <w:rPr>
          <w:color w:val="000000"/>
          <w:shd w:val="clear" w:color="auto" w:fill="FFFFFF"/>
        </w:rPr>
        <w:t>Routledge ed., Taylor &amp; Francis Group 2018).</w:t>
      </w:r>
    </w:p>
  </w:footnote>
  <w:footnote w:id="11">
    <w:p w14:paraId="431CC821" w14:textId="42EB23FA" w:rsidR="00022003" w:rsidRPr="00CF597B" w:rsidRDefault="00022003" w:rsidP="00CD0B11">
      <w:pPr>
        <w:pStyle w:val="FootnoteText"/>
        <w:rPr>
          <w:szCs w:val="22"/>
        </w:rPr>
      </w:pPr>
      <w:r w:rsidRPr="00CF597B">
        <w:rPr>
          <w:rStyle w:val="FootnoteReference"/>
          <w:szCs w:val="22"/>
        </w:rPr>
        <w:footnoteRef/>
      </w:r>
      <w:r w:rsidRPr="00CF597B">
        <w:rPr>
          <w:szCs w:val="22"/>
        </w:rPr>
        <w:t xml:space="preserve"> </w:t>
      </w:r>
      <w:r w:rsidR="00F22DBF">
        <w:rPr>
          <w:szCs w:val="22"/>
        </w:rPr>
        <w:t>Notable among these conferences was</w:t>
      </w:r>
      <w:r w:rsidRPr="00CF597B">
        <w:rPr>
          <w:szCs w:val="22"/>
        </w:rPr>
        <w:t xml:space="preserve"> the II National Congress held in Malaga in 2007</w:t>
      </w:r>
      <w:r w:rsidR="00F22DBF">
        <w:rPr>
          <w:szCs w:val="22"/>
        </w:rPr>
        <w:t>—</w:t>
      </w:r>
      <w:r w:rsidRPr="00CF597B">
        <w:rPr>
          <w:szCs w:val="22"/>
        </w:rPr>
        <w:t xml:space="preserve">considered the place and time of </w:t>
      </w:r>
      <w:r w:rsidR="00F22DBF">
        <w:rPr>
          <w:szCs w:val="22"/>
        </w:rPr>
        <w:t xml:space="preserve">the </w:t>
      </w:r>
      <w:r w:rsidRPr="00CF597B">
        <w:rPr>
          <w:szCs w:val="22"/>
        </w:rPr>
        <w:t>official birth of the Spanish clinical movement</w:t>
      </w:r>
      <w:r w:rsidR="00F22DBF">
        <w:rPr>
          <w:szCs w:val="22"/>
        </w:rPr>
        <w:t xml:space="preserve">, </w:t>
      </w:r>
      <w:r w:rsidRPr="00F22DBF">
        <w:rPr>
          <w:i/>
          <w:szCs w:val="22"/>
        </w:rPr>
        <w:t xml:space="preserve">see </w:t>
      </w:r>
      <w:proofErr w:type="spellStart"/>
      <w:r w:rsidRPr="00112260">
        <w:rPr>
          <w:smallCaps/>
          <w:szCs w:val="22"/>
        </w:rPr>
        <w:t>Blázquez</w:t>
      </w:r>
      <w:proofErr w:type="spellEnd"/>
      <w:r w:rsidRPr="00112260">
        <w:rPr>
          <w:smallCaps/>
          <w:szCs w:val="22"/>
        </w:rPr>
        <w:t>-Martín</w:t>
      </w:r>
      <w:r w:rsidRPr="00CF597B">
        <w:rPr>
          <w:szCs w:val="22"/>
        </w:rPr>
        <w:t xml:space="preserve"> </w:t>
      </w:r>
      <w:r>
        <w:rPr>
          <w:i/>
          <w:iCs/>
          <w:color w:val="000000"/>
        </w:rPr>
        <w:t xml:space="preserve">supra </w:t>
      </w:r>
      <w:r>
        <w:rPr>
          <w:color w:val="000000"/>
        </w:rPr>
        <w:t xml:space="preserve">note </w:t>
      </w:r>
      <w:r w:rsidR="00F22DBF">
        <w:rPr>
          <w:color w:val="000000"/>
        </w:rPr>
        <w:t>4</w:t>
      </w:r>
      <w:r>
        <w:rPr>
          <w:color w:val="000000"/>
        </w:rPr>
        <w:t>,</w:t>
      </w:r>
      <w:r w:rsidRPr="00CF597B">
        <w:rPr>
          <w:szCs w:val="22"/>
        </w:rPr>
        <w:t xml:space="preserve"> </w:t>
      </w:r>
      <w:r>
        <w:rPr>
          <w:szCs w:val="22"/>
        </w:rPr>
        <w:t xml:space="preserve">at </w:t>
      </w:r>
      <w:r w:rsidRPr="00CF597B">
        <w:rPr>
          <w:szCs w:val="22"/>
        </w:rPr>
        <w:t>129</w:t>
      </w:r>
      <w:r w:rsidR="00F22DBF">
        <w:rPr>
          <w:szCs w:val="22"/>
        </w:rPr>
        <w:t>,</w:t>
      </w:r>
      <w:r w:rsidRPr="00CF597B">
        <w:rPr>
          <w:szCs w:val="22"/>
        </w:rPr>
        <w:t xml:space="preserve"> and the V National Congress held at the University of Valencia in 2013, w</w:t>
      </w:r>
      <w:r w:rsidR="00A44995">
        <w:rPr>
          <w:szCs w:val="22"/>
        </w:rPr>
        <w:t>hich featured</w:t>
      </w:r>
      <w:r w:rsidRPr="00CF597B">
        <w:rPr>
          <w:szCs w:val="22"/>
        </w:rPr>
        <w:t xml:space="preserve"> panels exclusively devoted to clinical legal education and the presence of foreign professors </w:t>
      </w:r>
      <w:r w:rsidR="00A44995">
        <w:rPr>
          <w:szCs w:val="22"/>
        </w:rPr>
        <w:t xml:space="preserve">who </w:t>
      </w:r>
      <w:r w:rsidRPr="00CF597B">
        <w:rPr>
          <w:szCs w:val="22"/>
        </w:rPr>
        <w:t>specialized in the subject.</w:t>
      </w:r>
    </w:p>
  </w:footnote>
  <w:footnote w:id="12">
    <w:p w14:paraId="423669C9" w14:textId="7672DB97" w:rsidR="00022003" w:rsidRPr="00CF597B" w:rsidRDefault="00022003" w:rsidP="00CD0B11">
      <w:pPr>
        <w:pStyle w:val="FootnoteText"/>
        <w:rPr>
          <w:szCs w:val="22"/>
        </w:rPr>
      </w:pPr>
      <w:r w:rsidRPr="00CF597B">
        <w:rPr>
          <w:rStyle w:val="FootnoteReference"/>
          <w:szCs w:val="22"/>
        </w:rPr>
        <w:footnoteRef/>
      </w:r>
      <w:r w:rsidRPr="00CF597B">
        <w:rPr>
          <w:szCs w:val="22"/>
        </w:rPr>
        <w:t xml:space="preserve"> The network </w:t>
      </w:r>
      <w:r w:rsidR="0007338A">
        <w:rPr>
          <w:szCs w:val="22"/>
        </w:rPr>
        <w:t>was</w:t>
      </w:r>
      <w:r w:rsidRPr="00CF597B">
        <w:rPr>
          <w:szCs w:val="22"/>
        </w:rPr>
        <w:t xml:space="preserve"> established through different meetings held in 2007 at the </w:t>
      </w:r>
      <w:proofErr w:type="spellStart"/>
      <w:r w:rsidRPr="00CF597B">
        <w:rPr>
          <w:szCs w:val="22"/>
        </w:rPr>
        <w:t>Universitat</w:t>
      </w:r>
      <w:proofErr w:type="spellEnd"/>
      <w:r w:rsidRPr="00CF597B">
        <w:rPr>
          <w:szCs w:val="22"/>
        </w:rPr>
        <w:t xml:space="preserve"> </w:t>
      </w:r>
      <w:proofErr w:type="spellStart"/>
      <w:r w:rsidRPr="00CF597B">
        <w:rPr>
          <w:szCs w:val="22"/>
        </w:rPr>
        <w:t>Rovira</w:t>
      </w:r>
      <w:proofErr w:type="spellEnd"/>
      <w:r w:rsidRPr="00CF597B">
        <w:rPr>
          <w:szCs w:val="22"/>
        </w:rPr>
        <w:t xml:space="preserve"> i </w:t>
      </w:r>
      <w:proofErr w:type="spellStart"/>
      <w:r w:rsidRPr="00CF597B">
        <w:rPr>
          <w:szCs w:val="22"/>
        </w:rPr>
        <w:t>Virgili</w:t>
      </w:r>
      <w:proofErr w:type="spellEnd"/>
      <w:r w:rsidRPr="00CF597B">
        <w:rPr>
          <w:szCs w:val="22"/>
        </w:rPr>
        <w:t xml:space="preserve">, in Tarragona; </w:t>
      </w:r>
      <w:r w:rsidR="0007338A">
        <w:rPr>
          <w:szCs w:val="22"/>
        </w:rPr>
        <w:t xml:space="preserve">in </w:t>
      </w:r>
      <w:r w:rsidRPr="00CF597B">
        <w:rPr>
          <w:szCs w:val="22"/>
        </w:rPr>
        <w:t>2010, 2013</w:t>
      </w:r>
      <w:r w:rsidR="0007338A">
        <w:rPr>
          <w:szCs w:val="22"/>
        </w:rPr>
        <w:t>,</w:t>
      </w:r>
      <w:r w:rsidRPr="00CF597B">
        <w:rPr>
          <w:szCs w:val="22"/>
        </w:rPr>
        <w:t xml:space="preserve"> and 2016 at the University of Valencia; </w:t>
      </w:r>
      <w:r w:rsidR="0007338A">
        <w:rPr>
          <w:szCs w:val="22"/>
        </w:rPr>
        <w:t xml:space="preserve">in </w:t>
      </w:r>
      <w:r w:rsidRPr="00CF597B">
        <w:rPr>
          <w:szCs w:val="22"/>
        </w:rPr>
        <w:t xml:space="preserve">2014 at the Carlos III University, in Madrid; </w:t>
      </w:r>
      <w:r w:rsidR="0007338A">
        <w:rPr>
          <w:szCs w:val="22"/>
        </w:rPr>
        <w:t xml:space="preserve">in </w:t>
      </w:r>
      <w:r w:rsidRPr="00CF597B">
        <w:rPr>
          <w:szCs w:val="22"/>
        </w:rPr>
        <w:t xml:space="preserve">2017 at the University of </w:t>
      </w:r>
      <w:proofErr w:type="spellStart"/>
      <w:r w:rsidRPr="00CF597B">
        <w:rPr>
          <w:szCs w:val="22"/>
        </w:rPr>
        <w:t>Alcalá</w:t>
      </w:r>
      <w:proofErr w:type="spellEnd"/>
      <w:r w:rsidRPr="00CF597B">
        <w:rPr>
          <w:szCs w:val="22"/>
        </w:rPr>
        <w:t xml:space="preserve"> in Madrid; and </w:t>
      </w:r>
      <w:r w:rsidR="0007338A">
        <w:rPr>
          <w:szCs w:val="22"/>
        </w:rPr>
        <w:t xml:space="preserve">in </w:t>
      </w:r>
      <w:r w:rsidRPr="00CF597B">
        <w:rPr>
          <w:szCs w:val="22"/>
        </w:rPr>
        <w:t>2018 at the University of Salamanca.</w:t>
      </w:r>
    </w:p>
  </w:footnote>
  <w:footnote w:id="13">
    <w:p w14:paraId="3C852F05" w14:textId="086489DF" w:rsidR="00022003" w:rsidRPr="00945D02" w:rsidRDefault="00022003" w:rsidP="00CD0B11">
      <w:pPr>
        <w:pStyle w:val="FootnoteText"/>
        <w:rPr>
          <w:szCs w:val="22"/>
          <w:lang w:val="es-ES"/>
        </w:rPr>
      </w:pPr>
      <w:r w:rsidRPr="00CF597B">
        <w:rPr>
          <w:rStyle w:val="FootnoteReference"/>
          <w:szCs w:val="22"/>
        </w:rPr>
        <w:footnoteRef/>
      </w:r>
      <w:r w:rsidRPr="00945D02">
        <w:rPr>
          <w:szCs w:val="22"/>
          <w:lang w:val="es-ES"/>
        </w:rPr>
        <w:t xml:space="preserve"> </w:t>
      </w:r>
      <w:r w:rsidRPr="00A42620">
        <w:rPr>
          <w:smallCaps/>
          <w:color w:val="000000"/>
          <w:lang w:val="es-ES"/>
        </w:rPr>
        <w:t>R</w:t>
      </w:r>
      <w:r w:rsidR="00A42620">
        <w:rPr>
          <w:smallCaps/>
          <w:color w:val="000000"/>
          <w:lang w:val="es-ES"/>
        </w:rPr>
        <w:t>ed</w:t>
      </w:r>
      <w:r w:rsidRPr="00A42620">
        <w:rPr>
          <w:smallCaps/>
          <w:color w:val="000000"/>
          <w:lang w:val="es-ES"/>
        </w:rPr>
        <w:t xml:space="preserve"> </w:t>
      </w:r>
      <w:proofErr w:type="spellStart"/>
      <w:r w:rsidRPr="00A42620">
        <w:rPr>
          <w:smallCaps/>
          <w:color w:val="000000"/>
          <w:lang w:val="es-ES"/>
        </w:rPr>
        <w:t>E</w:t>
      </w:r>
      <w:r w:rsidR="00A42620">
        <w:rPr>
          <w:smallCaps/>
          <w:color w:val="000000"/>
          <w:lang w:val="es-ES"/>
        </w:rPr>
        <w:t>spanola</w:t>
      </w:r>
      <w:proofErr w:type="spellEnd"/>
      <w:r w:rsidR="00A42620">
        <w:rPr>
          <w:smallCaps/>
          <w:color w:val="000000"/>
          <w:lang w:val="es-ES"/>
        </w:rPr>
        <w:t xml:space="preserve"> de</w:t>
      </w:r>
      <w:r w:rsidRPr="00A42620">
        <w:rPr>
          <w:smallCaps/>
          <w:color w:val="000000"/>
          <w:lang w:val="es-ES"/>
        </w:rPr>
        <w:t xml:space="preserve"> Clínicas</w:t>
      </w:r>
      <w:r w:rsidRPr="00945D02">
        <w:rPr>
          <w:smallCaps/>
          <w:color w:val="000000"/>
          <w:lang w:val="es-ES"/>
        </w:rPr>
        <w:t xml:space="preserve"> Jurídicas</w:t>
      </w:r>
      <w:r w:rsidRPr="00945D02">
        <w:rPr>
          <w:color w:val="000000"/>
          <w:lang w:val="es-ES"/>
        </w:rPr>
        <w:t xml:space="preserve">, Quienes Somos, </w:t>
      </w:r>
      <w:hyperlink r:id="rId1" w:history="1">
        <w:r w:rsidRPr="00945D02">
          <w:rPr>
            <w:rStyle w:val="Hyperlink"/>
            <w:color w:val="0563C1"/>
            <w:lang w:val="es-ES"/>
          </w:rPr>
          <w:t>http://clinicas-juridicas.blogspot.com/p/quienes-somos.html</w:t>
        </w:r>
      </w:hyperlink>
      <w:r w:rsidRPr="00945D02">
        <w:rPr>
          <w:color w:val="000000"/>
          <w:lang w:val="es-ES"/>
        </w:rPr>
        <w:t xml:space="preserve"> (</w:t>
      </w:r>
      <w:proofErr w:type="spellStart"/>
      <w:r w:rsidRPr="00945D02">
        <w:rPr>
          <w:color w:val="000000"/>
          <w:lang w:val="es-ES"/>
        </w:rPr>
        <w:t>last</w:t>
      </w:r>
      <w:proofErr w:type="spellEnd"/>
      <w:r w:rsidRPr="00945D02">
        <w:rPr>
          <w:color w:val="000000"/>
          <w:lang w:val="es-ES"/>
        </w:rPr>
        <w:t xml:space="preserve"> </w:t>
      </w:r>
      <w:proofErr w:type="spellStart"/>
      <w:r w:rsidRPr="00945D02">
        <w:rPr>
          <w:color w:val="000000"/>
          <w:lang w:val="es-ES"/>
        </w:rPr>
        <w:t>visited</w:t>
      </w:r>
      <w:proofErr w:type="spellEnd"/>
      <w:r w:rsidRPr="00945D02">
        <w:rPr>
          <w:color w:val="000000"/>
          <w:lang w:val="es-ES"/>
        </w:rPr>
        <w:t xml:space="preserve"> </w:t>
      </w:r>
      <w:proofErr w:type="spellStart"/>
      <w:r w:rsidRPr="00945D02">
        <w:rPr>
          <w:color w:val="000000"/>
          <w:lang w:val="es-ES"/>
        </w:rPr>
        <w:t>January</w:t>
      </w:r>
      <w:proofErr w:type="spellEnd"/>
      <w:r w:rsidRPr="00945D02">
        <w:rPr>
          <w:color w:val="000000"/>
          <w:lang w:val="es-ES"/>
        </w:rPr>
        <w:t xml:space="preserve"> 7, 2019).</w:t>
      </w:r>
    </w:p>
  </w:footnote>
  <w:footnote w:id="14">
    <w:p w14:paraId="5C6994FA" w14:textId="579DFC22" w:rsidR="00022003" w:rsidRPr="00CF597B" w:rsidRDefault="00022003" w:rsidP="00CD0B11">
      <w:pPr>
        <w:pStyle w:val="FootnoteText"/>
        <w:rPr>
          <w:szCs w:val="22"/>
        </w:rPr>
      </w:pPr>
      <w:r w:rsidRPr="00CF597B">
        <w:rPr>
          <w:rStyle w:val="FootnoteReference"/>
          <w:szCs w:val="22"/>
        </w:rPr>
        <w:footnoteRef/>
      </w:r>
      <w:r w:rsidRPr="00CF597B">
        <w:rPr>
          <w:szCs w:val="22"/>
        </w:rPr>
        <w:t xml:space="preserve"> In this regard, there are Spanish professors appointed as members of the Board of Directors of the European Network for Clinical Legal Education (ENCLE) </w:t>
      </w:r>
      <w:r w:rsidR="00D40648">
        <w:rPr>
          <w:szCs w:val="22"/>
        </w:rPr>
        <w:t>and</w:t>
      </w:r>
      <w:r w:rsidRPr="00CF597B">
        <w:rPr>
          <w:szCs w:val="22"/>
        </w:rPr>
        <w:t xml:space="preserve"> members of the Steering Committee of the Global Alliance for Justice Education</w:t>
      </w:r>
      <w:r>
        <w:rPr>
          <w:szCs w:val="22"/>
        </w:rPr>
        <w:t xml:space="preserve"> </w:t>
      </w:r>
      <w:r w:rsidRPr="00D40648">
        <w:rPr>
          <w:color w:val="000000" w:themeColor="text1"/>
          <w:szCs w:val="22"/>
        </w:rPr>
        <w:t xml:space="preserve">(GAJE); </w:t>
      </w:r>
      <w:r w:rsidR="00D40648">
        <w:rPr>
          <w:szCs w:val="22"/>
        </w:rPr>
        <w:t>m</w:t>
      </w:r>
      <w:r w:rsidRPr="00CF597B">
        <w:rPr>
          <w:szCs w:val="22"/>
        </w:rPr>
        <w:t xml:space="preserve">eetings or </w:t>
      </w:r>
      <w:r w:rsidR="00D40648">
        <w:rPr>
          <w:szCs w:val="22"/>
        </w:rPr>
        <w:t>c</w:t>
      </w:r>
      <w:r w:rsidRPr="00CF597B">
        <w:rPr>
          <w:szCs w:val="22"/>
        </w:rPr>
        <w:t xml:space="preserve">onferences of these networks have been organized in Spain, specifically </w:t>
      </w:r>
      <w:r w:rsidR="00D40648">
        <w:rPr>
          <w:szCs w:val="22"/>
        </w:rPr>
        <w:t>at</w:t>
      </w:r>
      <w:r w:rsidRPr="00CF597B">
        <w:rPr>
          <w:szCs w:val="22"/>
        </w:rPr>
        <w:t xml:space="preserve"> the University of Valenci</w:t>
      </w:r>
      <w:r w:rsidR="00D40648">
        <w:rPr>
          <w:szCs w:val="22"/>
        </w:rPr>
        <w:t>a, where Spanish clinicians</w:t>
      </w:r>
      <w:r w:rsidRPr="00CF597B">
        <w:rPr>
          <w:szCs w:val="22"/>
        </w:rPr>
        <w:t xml:space="preserve"> actively participate as panelists or</w:t>
      </w:r>
      <w:r w:rsidR="00D40648">
        <w:rPr>
          <w:szCs w:val="22"/>
        </w:rPr>
        <w:t xml:space="preserve"> lecturers</w:t>
      </w:r>
      <w:r w:rsidRPr="00CF597B">
        <w:rPr>
          <w:szCs w:val="22"/>
        </w:rPr>
        <w:t>.</w:t>
      </w:r>
    </w:p>
  </w:footnote>
  <w:footnote w:id="15">
    <w:p w14:paraId="11880341" w14:textId="18766C99" w:rsidR="00022003" w:rsidRPr="00945D02" w:rsidRDefault="00022003" w:rsidP="00CD0B11">
      <w:pPr>
        <w:rPr>
          <w:sz w:val="20"/>
          <w:szCs w:val="20"/>
        </w:rPr>
      </w:pPr>
      <w:r w:rsidRPr="00945D02">
        <w:rPr>
          <w:rStyle w:val="FootnoteReference"/>
          <w:sz w:val="20"/>
          <w:szCs w:val="20"/>
        </w:rPr>
        <w:footnoteRef/>
      </w:r>
      <w:r w:rsidRPr="00945D02">
        <w:rPr>
          <w:sz w:val="20"/>
          <w:szCs w:val="20"/>
        </w:rPr>
        <w:t xml:space="preserve"> </w:t>
      </w:r>
      <w:r w:rsidR="0033235E">
        <w:rPr>
          <w:sz w:val="20"/>
          <w:szCs w:val="20"/>
        </w:rPr>
        <w:t xml:space="preserve">The text of the Declaration reads, </w:t>
      </w:r>
      <w:r w:rsidRPr="00945D02">
        <w:rPr>
          <w:sz w:val="20"/>
          <w:szCs w:val="20"/>
        </w:rPr>
        <w:t>“DECLARATION OF SALAMANCA</w:t>
      </w:r>
      <w:r w:rsidR="0033235E">
        <w:rPr>
          <w:sz w:val="20"/>
          <w:szCs w:val="20"/>
        </w:rPr>
        <w:t xml:space="preserve"> </w:t>
      </w:r>
      <w:r w:rsidRPr="00945D02">
        <w:rPr>
          <w:sz w:val="20"/>
          <w:szCs w:val="20"/>
        </w:rPr>
        <w:t>LEGAL CLINICS AND UNIVERSITY SOCIAL RESPONSIBILITY</w:t>
      </w:r>
      <w:r w:rsidR="0033235E">
        <w:rPr>
          <w:sz w:val="20"/>
          <w:szCs w:val="20"/>
        </w:rPr>
        <w:t xml:space="preserve"> (</w:t>
      </w:r>
      <w:r w:rsidRPr="00945D02">
        <w:rPr>
          <w:sz w:val="20"/>
          <w:szCs w:val="20"/>
        </w:rPr>
        <w:t>October 19, 2018</w:t>
      </w:r>
      <w:r w:rsidR="0033235E">
        <w:rPr>
          <w:sz w:val="20"/>
          <w:szCs w:val="20"/>
        </w:rPr>
        <w:t xml:space="preserve">). </w:t>
      </w:r>
      <w:r w:rsidRPr="00945D02">
        <w:rPr>
          <w:sz w:val="20"/>
          <w:szCs w:val="20"/>
        </w:rPr>
        <w:t>Members of the Spanish University Network of Legal Clinics, gathered in Salamanca on October 19, 2018, in the context of the 7</w:t>
      </w:r>
      <w:r w:rsidRPr="00945D02">
        <w:rPr>
          <w:sz w:val="20"/>
          <w:szCs w:val="20"/>
          <w:vertAlign w:val="superscript"/>
        </w:rPr>
        <w:t>th</w:t>
      </w:r>
      <w:r w:rsidRPr="00945D02">
        <w:rPr>
          <w:sz w:val="20"/>
          <w:szCs w:val="20"/>
        </w:rPr>
        <w:t xml:space="preserve"> National Meeting of Legal Clinics and the 8</w:t>
      </w:r>
      <w:r w:rsidRPr="00945D02">
        <w:rPr>
          <w:sz w:val="20"/>
          <w:szCs w:val="20"/>
          <w:vertAlign w:val="superscript"/>
        </w:rPr>
        <w:t>th</w:t>
      </w:r>
      <w:r w:rsidRPr="00945D02">
        <w:rPr>
          <w:sz w:val="20"/>
          <w:szCs w:val="20"/>
        </w:rPr>
        <w:t xml:space="preserve"> centenary of the University of Salamanca, joining the European and global movement that defends the relevance and necessity of clinical legal education, and considering:</w:t>
      </w:r>
    </w:p>
    <w:p w14:paraId="29F1961A" w14:textId="77777777" w:rsidR="00022003" w:rsidRPr="00945D02" w:rsidRDefault="00022003" w:rsidP="00CD0B11">
      <w:pPr>
        <w:rPr>
          <w:sz w:val="20"/>
          <w:szCs w:val="20"/>
        </w:rPr>
      </w:pPr>
      <w:r w:rsidRPr="00945D02">
        <w:rPr>
          <w:sz w:val="20"/>
          <w:szCs w:val="20"/>
        </w:rPr>
        <w:t>That society needs professionals who, in addition to having solid technical knowledge, exhibit and deploy a critical thinking for the defense and guarantee of our system of rights and freedoms.</w:t>
      </w:r>
    </w:p>
    <w:p w14:paraId="341833D8" w14:textId="77777777" w:rsidR="00022003" w:rsidRPr="00945D02" w:rsidRDefault="00022003" w:rsidP="00CD0B11">
      <w:pPr>
        <w:rPr>
          <w:sz w:val="20"/>
          <w:szCs w:val="20"/>
        </w:rPr>
      </w:pPr>
      <w:r w:rsidRPr="00945D02">
        <w:rPr>
          <w:sz w:val="20"/>
          <w:szCs w:val="20"/>
        </w:rPr>
        <w:t>That the need to train professionals with an open and creative mind should be vindicated to address the new challenges that contemporary societies face, with special attention to the situation of the most vulnerable groups.</w:t>
      </w:r>
    </w:p>
    <w:p w14:paraId="1F89BB7D" w14:textId="77777777" w:rsidR="00022003" w:rsidRPr="00945D02" w:rsidRDefault="00022003" w:rsidP="00CD0B11">
      <w:pPr>
        <w:rPr>
          <w:sz w:val="20"/>
          <w:szCs w:val="20"/>
        </w:rPr>
      </w:pPr>
      <w:r w:rsidRPr="00945D02">
        <w:rPr>
          <w:sz w:val="20"/>
          <w:szCs w:val="20"/>
        </w:rPr>
        <w:t>That the clinical legal method promotes the acquisition of skills, abilities and competences that are essential for a rigorous and committed performance of the legal profession.</w:t>
      </w:r>
    </w:p>
    <w:p w14:paraId="01EA71F9" w14:textId="77777777" w:rsidR="00022003" w:rsidRPr="00945D02" w:rsidRDefault="00022003" w:rsidP="00CD0B11">
      <w:pPr>
        <w:rPr>
          <w:sz w:val="20"/>
          <w:szCs w:val="20"/>
        </w:rPr>
      </w:pPr>
      <w:r w:rsidRPr="00945D02">
        <w:rPr>
          <w:sz w:val="20"/>
          <w:szCs w:val="20"/>
        </w:rPr>
        <w:t>That the University, for the sake of its social responsibility, may and should contribute to building a more equitable and just society, in which the principles and values ​​associated with the social and democratic State of Law inform its action.</w:t>
      </w:r>
    </w:p>
    <w:p w14:paraId="1A22FC7B" w14:textId="77777777" w:rsidR="00022003" w:rsidRPr="00945D02" w:rsidRDefault="00022003" w:rsidP="00CD0B11">
      <w:pPr>
        <w:rPr>
          <w:sz w:val="20"/>
          <w:szCs w:val="20"/>
        </w:rPr>
      </w:pPr>
      <w:r w:rsidRPr="00945D02">
        <w:rPr>
          <w:sz w:val="20"/>
          <w:szCs w:val="20"/>
        </w:rPr>
        <w:t>We proclaim the following commitments:</w:t>
      </w:r>
    </w:p>
    <w:p w14:paraId="4B3CB5CE" w14:textId="77777777" w:rsidR="00022003" w:rsidRPr="00945D02" w:rsidRDefault="00022003" w:rsidP="00CD0B11">
      <w:pPr>
        <w:rPr>
          <w:sz w:val="20"/>
          <w:szCs w:val="20"/>
        </w:rPr>
      </w:pPr>
      <w:r w:rsidRPr="00945D02">
        <w:rPr>
          <w:sz w:val="20"/>
          <w:szCs w:val="20"/>
        </w:rPr>
        <w:t>First: To promote and improve active and experiential learning and practical training of students, through clinical legal education.</w:t>
      </w:r>
    </w:p>
    <w:p w14:paraId="73177660" w14:textId="77777777" w:rsidR="00022003" w:rsidRPr="00945D02" w:rsidRDefault="00022003" w:rsidP="00CD0B11">
      <w:pPr>
        <w:rPr>
          <w:sz w:val="20"/>
          <w:szCs w:val="20"/>
        </w:rPr>
      </w:pPr>
      <w:r w:rsidRPr="00945D02">
        <w:rPr>
          <w:sz w:val="20"/>
          <w:szCs w:val="20"/>
        </w:rPr>
        <w:t>Second: To contribute to the training of critical of the system professionals and sensitive to the idea of ​​social justice in the current socio-political context, linking learning to social needs existing in the vicinity.</w:t>
      </w:r>
    </w:p>
    <w:p w14:paraId="66253935" w14:textId="77777777" w:rsidR="00022003" w:rsidRPr="00945D02" w:rsidRDefault="00022003" w:rsidP="00CD0B11">
      <w:pPr>
        <w:rPr>
          <w:sz w:val="20"/>
          <w:szCs w:val="20"/>
        </w:rPr>
      </w:pPr>
      <w:r w:rsidRPr="00945D02">
        <w:rPr>
          <w:sz w:val="20"/>
          <w:szCs w:val="20"/>
        </w:rPr>
        <w:t>Third: To promote the defense of the rights of persons and less favored groups, at risk of social exclusion, in a situation of special vulnerability, or who have been subjected to some form of inhuman or degrading treatment or discrimination.</w:t>
      </w:r>
    </w:p>
    <w:p w14:paraId="3D109BAB" w14:textId="39F70FE5" w:rsidR="00022003" w:rsidRPr="00945D02" w:rsidRDefault="00022003" w:rsidP="00CD0B11">
      <w:pPr>
        <w:rPr>
          <w:sz w:val="20"/>
          <w:szCs w:val="20"/>
        </w:rPr>
      </w:pPr>
      <w:r>
        <w:rPr>
          <w:sz w:val="20"/>
          <w:szCs w:val="20"/>
        </w:rPr>
        <w:t>Fourth</w:t>
      </w:r>
      <w:r w:rsidRPr="00945D02">
        <w:rPr>
          <w:sz w:val="20"/>
          <w:szCs w:val="20"/>
        </w:rPr>
        <w:t>: To promote in students the social conscience, ethical values ​​and commitment in the defense of human rights and the Rule of Law in the local, state and international context.</w:t>
      </w:r>
    </w:p>
    <w:p w14:paraId="4130BACD" w14:textId="77777777" w:rsidR="00022003" w:rsidRPr="00945D02" w:rsidRDefault="00022003" w:rsidP="00CD0B11">
      <w:pPr>
        <w:rPr>
          <w:sz w:val="20"/>
          <w:szCs w:val="20"/>
        </w:rPr>
      </w:pPr>
      <w:r w:rsidRPr="00945D02">
        <w:rPr>
          <w:sz w:val="20"/>
          <w:szCs w:val="20"/>
        </w:rPr>
        <w:t>Fifth: To promote the creation of joint knowledge, between civil society and the University, as well as to promote the transfer of knowledge and research generated at the University.</w:t>
      </w:r>
    </w:p>
    <w:p w14:paraId="057B0F7C" w14:textId="77777777" w:rsidR="00022003" w:rsidRPr="00945D02" w:rsidRDefault="00022003" w:rsidP="00CD0B11">
      <w:pPr>
        <w:rPr>
          <w:sz w:val="20"/>
          <w:szCs w:val="20"/>
        </w:rPr>
      </w:pPr>
      <w:r w:rsidRPr="00945D02">
        <w:rPr>
          <w:sz w:val="20"/>
          <w:szCs w:val="20"/>
        </w:rPr>
        <w:t>Sixth: To contribute to the development of university social responsibility as a strategic factor for the involvement of the University in society and the presence of society in the University.</w:t>
      </w:r>
    </w:p>
    <w:p w14:paraId="5D0DC6AF" w14:textId="35C317C5" w:rsidR="00022003" w:rsidRPr="00183282" w:rsidRDefault="00022003" w:rsidP="00CD0B11">
      <w:r w:rsidRPr="00945D02">
        <w:rPr>
          <w:sz w:val="20"/>
          <w:szCs w:val="20"/>
        </w:rPr>
        <w:t>Seventh: To promote the networking and collaborative work of the Legal Clinics in the state, European and international context, encouraging new Universities to join the clinical legal movement and sharing experiences and knowledge</w:t>
      </w:r>
      <w:r>
        <w:rPr>
          <w:sz w:val="20"/>
          <w:szCs w:val="20"/>
        </w:rPr>
        <w:t>.</w:t>
      </w:r>
      <w:r w:rsidRPr="00945D02">
        <w:rPr>
          <w:sz w:val="20"/>
          <w:szCs w:val="20"/>
        </w:rPr>
        <w:t xml:space="preserve">” </w:t>
      </w:r>
      <w:r w:rsidRPr="007E6C53">
        <w:rPr>
          <w:sz w:val="20"/>
          <w:szCs w:val="20"/>
        </w:rPr>
        <w:t>(The translation are the authors’</w:t>
      </w:r>
      <w:r w:rsidR="007E6C53">
        <w:rPr>
          <w:sz w:val="20"/>
          <w:szCs w:val="20"/>
        </w:rPr>
        <w:t>.</w:t>
      </w:r>
      <w:r w:rsidRPr="007E6C53">
        <w:rPr>
          <w:sz w:val="20"/>
          <w:szCs w:val="20"/>
        </w:rPr>
        <w:t>)</w:t>
      </w:r>
    </w:p>
  </w:footnote>
  <w:footnote w:id="16">
    <w:p w14:paraId="748C2214" w14:textId="6C150A09" w:rsidR="00022003" w:rsidRPr="0068170A" w:rsidRDefault="00022003" w:rsidP="00CD0B11">
      <w:pPr>
        <w:pStyle w:val="FootnoteText"/>
        <w:rPr>
          <w:szCs w:val="22"/>
        </w:rPr>
      </w:pPr>
      <w:r w:rsidRPr="00CF597B">
        <w:rPr>
          <w:rStyle w:val="FootnoteReference"/>
          <w:szCs w:val="22"/>
        </w:rPr>
        <w:footnoteRef/>
      </w:r>
      <w:r w:rsidRPr="0068170A">
        <w:rPr>
          <w:szCs w:val="22"/>
        </w:rPr>
        <w:t xml:space="preserve"> </w:t>
      </w:r>
      <w:r>
        <w:rPr>
          <w:szCs w:val="22"/>
        </w:rPr>
        <w:t xml:space="preserve">In Spanish, </w:t>
      </w:r>
      <w:proofErr w:type="spellStart"/>
      <w:r w:rsidRPr="0068170A">
        <w:rPr>
          <w:i/>
          <w:szCs w:val="22"/>
        </w:rPr>
        <w:t>Consejo</w:t>
      </w:r>
      <w:proofErr w:type="spellEnd"/>
      <w:r w:rsidRPr="0068170A">
        <w:rPr>
          <w:i/>
          <w:szCs w:val="22"/>
        </w:rPr>
        <w:t xml:space="preserve"> General de la </w:t>
      </w:r>
      <w:proofErr w:type="spellStart"/>
      <w:r w:rsidRPr="0068170A">
        <w:rPr>
          <w:i/>
          <w:szCs w:val="22"/>
        </w:rPr>
        <w:t>Abogacía</w:t>
      </w:r>
      <w:proofErr w:type="spellEnd"/>
      <w:r w:rsidRPr="0068170A">
        <w:rPr>
          <w:i/>
          <w:szCs w:val="22"/>
        </w:rPr>
        <w:t xml:space="preserve"> Española</w:t>
      </w:r>
      <w:r w:rsidR="00BB7903">
        <w:rPr>
          <w:szCs w:val="22"/>
        </w:rPr>
        <w:t xml:space="preserve">, </w:t>
      </w:r>
      <w:r>
        <w:rPr>
          <w:szCs w:val="22"/>
        </w:rPr>
        <w:t>a</w:t>
      </w:r>
      <w:r w:rsidRPr="0068170A">
        <w:rPr>
          <w:szCs w:val="22"/>
        </w:rPr>
        <w:t xml:space="preserve"> body similar to a </w:t>
      </w:r>
      <w:r w:rsidR="00BB7903">
        <w:rPr>
          <w:szCs w:val="22"/>
        </w:rPr>
        <w:t>n</w:t>
      </w:r>
      <w:r w:rsidRPr="0068170A">
        <w:rPr>
          <w:szCs w:val="22"/>
        </w:rPr>
        <w:t xml:space="preserve">ational </w:t>
      </w:r>
      <w:r w:rsidR="00BB7903">
        <w:rPr>
          <w:szCs w:val="22"/>
        </w:rPr>
        <w:t>b</w:t>
      </w:r>
      <w:r w:rsidRPr="0068170A">
        <w:rPr>
          <w:szCs w:val="22"/>
        </w:rPr>
        <w:t xml:space="preserve">ar </w:t>
      </w:r>
      <w:r w:rsidR="00BB7903">
        <w:rPr>
          <w:szCs w:val="22"/>
        </w:rPr>
        <w:t>a</w:t>
      </w:r>
      <w:r w:rsidRPr="0068170A">
        <w:rPr>
          <w:szCs w:val="22"/>
        </w:rPr>
        <w:t>ssociation.</w:t>
      </w:r>
    </w:p>
  </w:footnote>
  <w:footnote w:id="17">
    <w:p w14:paraId="5794086A" w14:textId="7EAC2E93" w:rsidR="00022003" w:rsidRDefault="00022003">
      <w:pPr>
        <w:pStyle w:val="FootnoteText"/>
      </w:pPr>
      <w:r>
        <w:rPr>
          <w:rStyle w:val="FootnoteReference"/>
        </w:rPr>
        <w:footnoteRef/>
      </w:r>
      <w:r>
        <w:t xml:space="preserve"> </w:t>
      </w:r>
      <w:r>
        <w:rPr>
          <w:i/>
          <w:iCs/>
          <w:color w:val="000000"/>
        </w:rPr>
        <w:t xml:space="preserve">See </w:t>
      </w:r>
      <w:r w:rsidRPr="00945D02">
        <w:rPr>
          <w:smallCaps/>
          <w:color w:val="000000"/>
        </w:rPr>
        <w:t>William M. Sullivan, After Ten Years: the Carnegie Report and Contemporary Legal Education</w:t>
      </w:r>
      <w:r>
        <w:rPr>
          <w:color w:val="000000"/>
        </w:rPr>
        <w:t xml:space="preserve">, 14 Univ. of St. Thomas L J. 331, 332-33 (2018) (discussing </w:t>
      </w:r>
      <w:r>
        <w:rPr>
          <w:i/>
          <w:iCs/>
          <w:color w:val="000000"/>
        </w:rPr>
        <w:t>inter alia</w:t>
      </w:r>
      <w:r>
        <w:rPr>
          <w:color w:val="000000"/>
        </w:rPr>
        <w:t xml:space="preserve"> 1914 and 1921 Carnegie Reports).</w:t>
      </w:r>
    </w:p>
  </w:footnote>
  <w:footnote w:id="18">
    <w:p w14:paraId="117446CF" w14:textId="5163F259" w:rsidR="00022003" w:rsidRDefault="00022003">
      <w:pPr>
        <w:pStyle w:val="FootnoteText"/>
      </w:pPr>
      <w:r>
        <w:rPr>
          <w:rStyle w:val="FootnoteReference"/>
        </w:rPr>
        <w:footnoteRef/>
      </w:r>
      <w:r>
        <w:t xml:space="preserve"> </w:t>
      </w:r>
      <w:r w:rsidRPr="00945D02">
        <w:rPr>
          <w:i/>
        </w:rPr>
        <w:t>Id</w:t>
      </w:r>
      <w:r>
        <w:t>.</w:t>
      </w:r>
    </w:p>
  </w:footnote>
  <w:footnote w:id="19">
    <w:p w14:paraId="0CBC4C05" w14:textId="2E83BC55" w:rsidR="00022003" w:rsidRDefault="00022003">
      <w:pPr>
        <w:pStyle w:val="FootnoteText"/>
      </w:pPr>
      <w:r>
        <w:rPr>
          <w:rStyle w:val="FootnoteReference"/>
        </w:rPr>
        <w:footnoteRef/>
      </w:r>
      <w:r>
        <w:t xml:space="preserve"> </w:t>
      </w:r>
      <w:r>
        <w:rPr>
          <w:i/>
          <w:iCs/>
          <w:color w:val="000000"/>
        </w:rPr>
        <w:t>See also</w:t>
      </w:r>
      <w:r>
        <w:rPr>
          <w:color w:val="000000"/>
        </w:rPr>
        <w:t xml:space="preserve"> </w:t>
      </w:r>
      <w:r w:rsidRPr="00945D02">
        <w:rPr>
          <w:smallCaps/>
          <w:color w:val="000000"/>
        </w:rPr>
        <w:t xml:space="preserve">Deborah </w:t>
      </w:r>
      <w:proofErr w:type="spellStart"/>
      <w:r w:rsidRPr="00945D02">
        <w:rPr>
          <w:smallCaps/>
          <w:color w:val="000000"/>
        </w:rPr>
        <w:t>Maranville</w:t>
      </w:r>
      <w:proofErr w:type="spellEnd"/>
      <w:r w:rsidRPr="00945D02">
        <w:rPr>
          <w:smallCaps/>
          <w:color w:val="000000"/>
        </w:rPr>
        <w:t xml:space="preserve">, Lisa </w:t>
      </w:r>
      <w:proofErr w:type="spellStart"/>
      <w:r w:rsidRPr="00945D02">
        <w:rPr>
          <w:smallCaps/>
          <w:color w:val="000000"/>
        </w:rPr>
        <w:t>Radtke</w:t>
      </w:r>
      <w:proofErr w:type="spellEnd"/>
      <w:r w:rsidRPr="00945D02">
        <w:rPr>
          <w:smallCaps/>
          <w:color w:val="000000"/>
        </w:rPr>
        <w:t xml:space="preserve"> Bliss, Carolyn Wilkes </w:t>
      </w:r>
      <w:proofErr w:type="spellStart"/>
      <w:r w:rsidRPr="00945D02">
        <w:rPr>
          <w:smallCaps/>
          <w:color w:val="000000"/>
        </w:rPr>
        <w:t>Kaas</w:t>
      </w:r>
      <w:proofErr w:type="spellEnd"/>
      <w:r w:rsidRPr="00945D02">
        <w:rPr>
          <w:smallCaps/>
          <w:color w:val="000000"/>
        </w:rPr>
        <w:t xml:space="preserve"> &amp; Antoinette </w:t>
      </w:r>
      <w:proofErr w:type="spellStart"/>
      <w:r w:rsidRPr="00945D02">
        <w:rPr>
          <w:smallCaps/>
          <w:color w:val="000000"/>
        </w:rPr>
        <w:t>Sedillo</w:t>
      </w:r>
      <w:proofErr w:type="spellEnd"/>
      <w:r w:rsidRPr="00945D02">
        <w:rPr>
          <w:smallCaps/>
          <w:color w:val="000000"/>
        </w:rPr>
        <w:t xml:space="preserve"> Lopez, Building on Best Practices: Transforming Legal Education in a Changing World</w:t>
      </w:r>
      <w:r>
        <w:rPr>
          <w:color w:val="000000"/>
        </w:rPr>
        <w:t xml:space="preserve"> (Carolina Academic Press eds., 2015).</w:t>
      </w:r>
    </w:p>
  </w:footnote>
  <w:footnote w:id="20">
    <w:p w14:paraId="5837E7EF" w14:textId="06EC323B" w:rsidR="00022003" w:rsidRPr="00147CE3" w:rsidRDefault="00022003">
      <w:pPr>
        <w:pStyle w:val="FootnoteText"/>
        <w:rPr>
          <w:smallCaps/>
        </w:rPr>
      </w:pPr>
      <w:r>
        <w:rPr>
          <w:rStyle w:val="FootnoteReference"/>
        </w:rPr>
        <w:footnoteRef/>
      </w:r>
      <w:r>
        <w:t xml:space="preserve"> </w:t>
      </w:r>
      <w:r w:rsidRPr="00945D02">
        <w:rPr>
          <w:smallCaps/>
        </w:rPr>
        <w:t>Richard J. Wilson, The Global Evolution of Clinical Legal Education</w:t>
      </w:r>
      <w:r>
        <w:t xml:space="preserve"> (Cambridge Univ. Press 2018)</w:t>
      </w:r>
      <w:r w:rsidR="00147CE3">
        <w:t xml:space="preserve"> [hereinafter </w:t>
      </w:r>
      <w:r w:rsidR="00147CE3">
        <w:rPr>
          <w:smallCaps/>
        </w:rPr>
        <w:t>Wilson].</w:t>
      </w:r>
    </w:p>
  </w:footnote>
  <w:footnote w:id="21">
    <w:p w14:paraId="13F809A1" w14:textId="71CC4B79" w:rsidR="00022003" w:rsidRPr="00953AEA" w:rsidRDefault="00022003">
      <w:pPr>
        <w:pStyle w:val="FootnoteText"/>
        <w:rPr>
          <w:smallCaps/>
        </w:rPr>
      </w:pPr>
      <w:r>
        <w:rPr>
          <w:rStyle w:val="FootnoteReference"/>
        </w:rPr>
        <w:footnoteRef/>
      </w:r>
      <w:r>
        <w:t xml:space="preserve"> </w:t>
      </w:r>
      <w:r w:rsidRPr="00945D02">
        <w:rPr>
          <w:i/>
        </w:rPr>
        <w:t>Id</w:t>
      </w:r>
      <w:r>
        <w:t xml:space="preserve">. at 18-19; </w:t>
      </w:r>
      <w:r>
        <w:rPr>
          <w:i/>
          <w:iCs/>
          <w:color w:val="000000"/>
        </w:rPr>
        <w:t xml:space="preserve">see </w:t>
      </w:r>
      <w:r w:rsidRPr="00945D02">
        <w:rPr>
          <w:iCs/>
          <w:smallCaps/>
          <w:color w:val="000000"/>
        </w:rPr>
        <w:t xml:space="preserve">Marjorie M. Shultz &amp; Sheldon </w:t>
      </w:r>
      <w:proofErr w:type="spellStart"/>
      <w:r w:rsidRPr="00945D02">
        <w:rPr>
          <w:iCs/>
          <w:smallCaps/>
          <w:color w:val="000000"/>
        </w:rPr>
        <w:t>Zedeck</w:t>
      </w:r>
      <w:proofErr w:type="spellEnd"/>
      <w:r w:rsidRPr="00945D02">
        <w:rPr>
          <w:i/>
          <w:iCs/>
          <w:smallCaps/>
          <w:color w:val="000000"/>
        </w:rPr>
        <w:t xml:space="preserve">, </w:t>
      </w:r>
      <w:r w:rsidRPr="00945D02">
        <w:rPr>
          <w:smallCaps/>
          <w:color w:val="000000"/>
        </w:rPr>
        <w:t>Final Report: Identification, Development, and Validation of Predictors for Successful Lawyering</w:t>
      </w:r>
      <w:r w:rsidRPr="00A84FCB">
        <w:rPr>
          <w:color w:val="000000"/>
        </w:rPr>
        <w:t>,</w:t>
      </w:r>
      <w:r>
        <w:rPr>
          <w:color w:val="000000"/>
        </w:rPr>
        <w:t xml:space="preserve"> 24-25, (Sept., 2008), </w:t>
      </w:r>
      <w:hyperlink r:id="rId2" w:history="1">
        <w:r w:rsidRPr="00945D02">
          <w:rPr>
            <w:rStyle w:val="Hyperlink"/>
          </w:rPr>
          <w:t>https://www.law.berkeley</w:t>
        </w:r>
        <w:r w:rsidRPr="00A84FCB">
          <w:rPr>
            <w:rStyle w:val="Hyperlink"/>
          </w:rPr>
          <w:br/>
        </w:r>
        <w:r w:rsidRPr="00945D02">
          <w:rPr>
            <w:rStyle w:val="Hyperlink"/>
          </w:rPr>
          <w:t>.</w:t>
        </w:r>
        <w:proofErr w:type="spellStart"/>
        <w:r w:rsidRPr="00945D02">
          <w:rPr>
            <w:rStyle w:val="Hyperlink"/>
          </w:rPr>
          <w:t>edu</w:t>
        </w:r>
        <w:proofErr w:type="spellEnd"/>
        <w:r w:rsidRPr="00945D02">
          <w:rPr>
            <w:rStyle w:val="Hyperlink"/>
          </w:rPr>
          <w:t>/files/LSACREPORTfinal-12.pdf</w:t>
        </w:r>
      </w:hyperlink>
      <w:r>
        <w:t xml:space="preserve"> </w:t>
      </w:r>
      <w:r w:rsidR="00953AEA">
        <w:t xml:space="preserve">[hereinafter </w:t>
      </w:r>
      <w:r w:rsidR="00953AEA">
        <w:rPr>
          <w:smallCaps/>
        </w:rPr>
        <w:t xml:space="preserve">Shultz &amp; </w:t>
      </w:r>
      <w:proofErr w:type="spellStart"/>
      <w:r w:rsidR="00953AEA">
        <w:rPr>
          <w:smallCaps/>
        </w:rPr>
        <w:t>Zedeck</w:t>
      </w:r>
      <w:proofErr w:type="spellEnd"/>
      <w:r w:rsidR="00953AEA">
        <w:rPr>
          <w:smallCaps/>
        </w:rPr>
        <w:t>].</w:t>
      </w:r>
    </w:p>
  </w:footnote>
  <w:footnote w:id="22">
    <w:p w14:paraId="7C6F773A" w14:textId="04A8F06D" w:rsidR="00022003" w:rsidRDefault="00022003">
      <w:pPr>
        <w:pStyle w:val="FootnoteText"/>
      </w:pPr>
      <w:r>
        <w:rPr>
          <w:rStyle w:val="FootnoteReference"/>
        </w:rPr>
        <w:footnoteRef/>
      </w:r>
      <w:r>
        <w:t xml:space="preserve"> </w:t>
      </w:r>
      <w:r w:rsidRPr="00945D02">
        <w:rPr>
          <w:i/>
        </w:rPr>
        <w:t>Id</w:t>
      </w:r>
      <w:r>
        <w:t>. at 20.</w:t>
      </w:r>
    </w:p>
  </w:footnote>
  <w:footnote w:id="23">
    <w:p w14:paraId="6E2BAB78" w14:textId="4A02A559" w:rsidR="00022003" w:rsidRDefault="00022003">
      <w:pPr>
        <w:pStyle w:val="FootnoteText"/>
      </w:pPr>
      <w:r>
        <w:rPr>
          <w:rStyle w:val="FootnoteReference"/>
        </w:rPr>
        <w:footnoteRef/>
      </w:r>
      <w:r>
        <w:t xml:space="preserve"> </w:t>
      </w:r>
      <w:r w:rsidRPr="00945D02">
        <w:rPr>
          <w:i/>
        </w:rPr>
        <w:t>Id</w:t>
      </w:r>
      <w:r>
        <w:t>. at 21.</w:t>
      </w:r>
    </w:p>
  </w:footnote>
  <w:footnote w:id="24">
    <w:p w14:paraId="2E5511A0" w14:textId="048DBB6A" w:rsidR="00022003" w:rsidRDefault="00022003">
      <w:pPr>
        <w:pStyle w:val="FootnoteText"/>
      </w:pPr>
      <w:r>
        <w:rPr>
          <w:rStyle w:val="FootnoteReference"/>
        </w:rPr>
        <w:footnoteRef/>
      </w:r>
      <w:r>
        <w:t xml:space="preserve"> </w:t>
      </w:r>
      <w:r w:rsidRPr="00945D02">
        <w:rPr>
          <w:i/>
        </w:rPr>
        <w:t>Id</w:t>
      </w:r>
      <w:r>
        <w:t>. at 21-22.</w:t>
      </w:r>
    </w:p>
  </w:footnote>
  <w:footnote w:id="25">
    <w:p w14:paraId="52F2AD2C" w14:textId="41946F0F" w:rsidR="00022003" w:rsidRDefault="00022003">
      <w:pPr>
        <w:pStyle w:val="FootnoteText"/>
      </w:pPr>
      <w:r>
        <w:rPr>
          <w:rStyle w:val="FootnoteReference"/>
        </w:rPr>
        <w:footnoteRef/>
      </w:r>
      <w:r>
        <w:t xml:space="preserve"> </w:t>
      </w:r>
      <w:r w:rsidRPr="00945D02">
        <w:rPr>
          <w:smallCaps/>
          <w:color w:val="000000"/>
        </w:rPr>
        <w:t xml:space="preserve">Shultz &amp; </w:t>
      </w:r>
      <w:proofErr w:type="spellStart"/>
      <w:r w:rsidRPr="00945D02">
        <w:rPr>
          <w:smallCaps/>
          <w:color w:val="000000"/>
        </w:rPr>
        <w:t>Zedeck</w:t>
      </w:r>
      <w:proofErr w:type="spellEnd"/>
      <w:r>
        <w:rPr>
          <w:color w:val="000000"/>
        </w:rPr>
        <w:t xml:space="preserve">, </w:t>
      </w:r>
      <w:r>
        <w:rPr>
          <w:i/>
          <w:iCs/>
          <w:color w:val="000000"/>
        </w:rPr>
        <w:t xml:space="preserve">supra </w:t>
      </w:r>
      <w:r>
        <w:rPr>
          <w:color w:val="000000"/>
        </w:rPr>
        <w:t>note 1</w:t>
      </w:r>
      <w:r w:rsidR="00147CE3">
        <w:rPr>
          <w:color w:val="000000"/>
        </w:rPr>
        <w:t>7</w:t>
      </w:r>
      <w:r>
        <w:rPr>
          <w:color w:val="000000"/>
        </w:rPr>
        <w:t>.</w:t>
      </w:r>
    </w:p>
  </w:footnote>
  <w:footnote w:id="26">
    <w:p w14:paraId="57797AF9" w14:textId="0D156A29" w:rsidR="00022003" w:rsidRPr="00147CE3" w:rsidRDefault="00022003">
      <w:pPr>
        <w:pStyle w:val="FootnoteText"/>
        <w:rPr>
          <w:smallCaps/>
        </w:rPr>
      </w:pPr>
      <w:r>
        <w:rPr>
          <w:rStyle w:val="FootnoteReference"/>
        </w:rPr>
        <w:footnoteRef/>
      </w:r>
      <w:r>
        <w:t xml:space="preserve"> </w:t>
      </w:r>
      <w:r w:rsidRPr="00945D02">
        <w:rPr>
          <w:smallCaps/>
          <w:color w:val="000000"/>
        </w:rPr>
        <w:t xml:space="preserve">Roy Stuckey, </w:t>
      </w:r>
      <w:r w:rsidRPr="00945D02">
        <w:rPr>
          <w:iCs/>
          <w:smallCaps/>
          <w:color w:val="000000"/>
        </w:rPr>
        <w:t>Best Practices for Legal Education: A Vision and a Road Map</w:t>
      </w:r>
      <w:r>
        <w:rPr>
          <w:color w:val="000000"/>
        </w:rPr>
        <w:t xml:space="preserve"> 53-54 (</w:t>
      </w:r>
      <w:r>
        <w:t xml:space="preserve">Clinical Legal Education Association 1st eds. 2007) </w:t>
      </w:r>
      <w:r w:rsidR="00147CE3">
        <w:t xml:space="preserve">at </w:t>
      </w:r>
      <w:hyperlink r:id="rId3" w:history="1">
        <w:r w:rsidR="00147CE3" w:rsidRPr="0061217B">
          <w:rPr>
            <w:rStyle w:val="Hyperlink"/>
          </w:rPr>
          <w:t>http://www.cleaweb.org/Resources/Documents/best_practices-full.pdf</w:t>
        </w:r>
      </w:hyperlink>
      <w:r>
        <w:t>,</w:t>
      </w:r>
      <w:r w:rsidR="00147CE3">
        <w:t xml:space="preserve"> </w:t>
      </w:r>
      <w:r>
        <w:t xml:space="preserve"> </w:t>
      </w:r>
      <w:r w:rsidRPr="00945D02">
        <w:rPr>
          <w:i/>
        </w:rPr>
        <w:t>citing</w:t>
      </w:r>
      <w:r>
        <w:t xml:space="preserve"> </w:t>
      </w:r>
      <w:r w:rsidRPr="00945D02">
        <w:rPr>
          <w:smallCaps/>
        </w:rPr>
        <w:t>The Law Society, Second Consultation on a New Training Framework for Solicitors</w:t>
      </w:r>
      <w:r>
        <w:t>, § 4, ¶ 46 2003)</w:t>
      </w:r>
      <w:r w:rsidR="00147CE3">
        <w:t xml:space="preserve"> [hereinafter </w:t>
      </w:r>
      <w:r w:rsidR="00147CE3">
        <w:rPr>
          <w:smallCaps/>
        </w:rPr>
        <w:t>Stuckey].</w:t>
      </w:r>
    </w:p>
  </w:footnote>
  <w:footnote w:id="27">
    <w:p w14:paraId="76D99DA4" w14:textId="1185848C" w:rsidR="00022003" w:rsidRPr="00D607FE" w:rsidRDefault="00022003" w:rsidP="00D607FE">
      <w:pPr>
        <w:pStyle w:val="CommentText"/>
        <w:rPr>
          <w:iCs/>
          <w:smallCaps/>
          <w:color w:val="000000" w:themeColor="text1"/>
        </w:rPr>
      </w:pPr>
      <w:r>
        <w:rPr>
          <w:rStyle w:val="FootnoteReference"/>
        </w:rPr>
        <w:footnoteRef/>
      </w:r>
      <w:r>
        <w:t xml:space="preserve"> </w:t>
      </w:r>
      <w:r w:rsidRPr="00945D02">
        <w:rPr>
          <w:i/>
        </w:rPr>
        <w:t>Id</w:t>
      </w:r>
      <w:r>
        <w:t>. at 52-53.</w:t>
      </w:r>
      <w:r w:rsidR="00D607FE">
        <w:t xml:space="preserve">  </w:t>
      </w:r>
      <w:r w:rsidR="00D607FE">
        <w:rPr>
          <w:i/>
        </w:rPr>
        <w:t xml:space="preserve">See also </w:t>
      </w:r>
      <w:r w:rsidR="00D607FE">
        <w:rPr>
          <w:iCs/>
          <w:smallCaps/>
          <w:color w:val="000000" w:themeColor="text1"/>
        </w:rPr>
        <w:t>G</w:t>
      </w:r>
      <w:r w:rsidR="00D607FE" w:rsidRPr="001E0E01">
        <w:rPr>
          <w:iCs/>
          <w:smallCaps/>
          <w:color w:val="000000" w:themeColor="text1"/>
        </w:rPr>
        <w:t xml:space="preserve">old, </w:t>
      </w:r>
      <w:r w:rsidR="00D607FE">
        <w:rPr>
          <w:iCs/>
          <w:smallCaps/>
          <w:color w:val="000000" w:themeColor="text1"/>
        </w:rPr>
        <w:t>M</w:t>
      </w:r>
      <w:r w:rsidR="00D607FE" w:rsidRPr="001E0E01">
        <w:rPr>
          <w:iCs/>
          <w:smallCaps/>
          <w:color w:val="000000" w:themeColor="text1"/>
        </w:rPr>
        <w:t>ackie,</w:t>
      </w:r>
      <w:r w:rsidR="00D607FE">
        <w:rPr>
          <w:iCs/>
          <w:smallCaps/>
          <w:color w:val="000000" w:themeColor="text1"/>
        </w:rPr>
        <w:t xml:space="preserve"> &amp;</w:t>
      </w:r>
      <w:r w:rsidR="00D607FE" w:rsidRPr="001E0E01">
        <w:rPr>
          <w:iCs/>
          <w:smallCaps/>
          <w:color w:val="000000" w:themeColor="text1"/>
        </w:rPr>
        <w:t xml:space="preserve"> </w:t>
      </w:r>
      <w:r w:rsidR="00D607FE">
        <w:rPr>
          <w:iCs/>
          <w:smallCaps/>
          <w:color w:val="000000" w:themeColor="text1"/>
        </w:rPr>
        <w:t>T</w:t>
      </w:r>
      <w:r w:rsidR="00D607FE" w:rsidRPr="001E0E01">
        <w:rPr>
          <w:iCs/>
          <w:smallCaps/>
          <w:color w:val="000000" w:themeColor="text1"/>
        </w:rPr>
        <w:t xml:space="preserve">wining, w. (eds.), </w:t>
      </w:r>
      <w:r w:rsidR="00D607FE">
        <w:rPr>
          <w:iCs/>
          <w:smallCaps/>
          <w:color w:val="000000" w:themeColor="text1"/>
        </w:rPr>
        <w:t>L</w:t>
      </w:r>
      <w:r w:rsidR="00D607FE" w:rsidRPr="001E0E01">
        <w:rPr>
          <w:iCs/>
          <w:smallCaps/>
          <w:color w:val="000000" w:themeColor="text1"/>
        </w:rPr>
        <w:t xml:space="preserve">earning </w:t>
      </w:r>
      <w:r w:rsidR="00D607FE">
        <w:rPr>
          <w:iCs/>
          <w:smallCaps/>
          <w:color w:val="000000" w:themeColor="text1"/>
        </w:rPr>
        <w:t>L</w:t>
      </w:r>
      <w:r w:rsidR="00D607FE" w:rsidRPr="001E0E01">
        <w:rPr>
          <w:iCs/>
          <w:smallCaps/>
          <w:color w:val="000000" w:themeColor="text1"/>
        </w:rPr>
        <w:t xml:space="preserve">awyers’ </w:t>
      </w:r>
      <w:r w:rsidR="00D607FE">
        <w:rPr>
          <w:iCs/>
          <w:smallCaps/>
          <w:color w:val="000000" w:themeColor="text1"/>
        </w:rPr>
        <w:t>S</w:t>
      </w:r>
      <w:r w:rsidR="00D607FE" w:rsidRPr="001E0E01">
        <w:rPr>
          <w:iCs/>
          <w:smallCaps/>
          <w:color w:val="000000" w:themeColor="text1"/>
        </w:rPr>
        <w:t>kills</w:t>
      </w:r>
      <w:r w:rsidR="00D607FE">
        <w:rPr>
          <w:iCs/>
          <w:smallCaps/>
          <w:color w:val="000000" w:themeColor="text1"/>
        </w:rPr>
        <w:t xml:space="preserve"> (</w:t>
      </w:r>
      <w:proofErr w:type="spellStart"/>
      <w:r w:rsidR="00D607FE">
        <w:rPr>
          <w:iCs/>
          <w:color w:val="000000" w:themeColor="text1"/>
        </w:rPr>
        <w:t>B</w:t>
      </w:r>
      <w:r w:rsidR="00D607FE" w:rsidRPr="001E0E01">
        <w:rPr>
          <w:iCs/>
          <w:color w:val="000000" w:themeColor="text1"/>
        </w:rPr>
        <w:t>utterworths</w:t>
      </w:r>
      <w:proofErr w:type="spellEnd"/>
      <w:r w:rsidR="00D607FE">
        <w:rPr>
          <w:iCs/>
          <w:color w:val="000000" w:themeColor="text1"/>
        </w:rPr>
        <w:t>: London</w:t>
      </w:r>
      <w:r w:rsidR="00D607FE" w:rsidRPr="001E0E01">
        <w:rPr>
          <w:iCs/>
          <w:smallCaps/>
          <w:color w:val="000000" w:themeColor="text1"/>
        </w:rPr>
        <w:t xml:space="preserve"> 1988</w:t>
      </w:r>
      <w:r w:rsidR="00D607FE">
        <w:rPr>
          <w:iCs/>
          <w:smallCaps/>
          <w:color w:val="000000" w:themeColor="text1"/>
        </w:rPr>
        <w:t>)</w:t>
      </w:r>
      <w:r w:rsidR="00D607FE" w:rsidRPr="001E0E01">
        <w:rPr>
          <w:iCs/>
          <w:smallCaps/>
          <w:color w:val="000000" w:themeColor="text1"/>
        </w:rPr>
        <w:t>;</w:t>
      </w:r>
      <w:r w:rsidR="00D607FE">
        <w:rPr>
          <w:iCs/>
          <w:smallCaps/>
          <w:color w:val="000000" w:themeColor="text1"/>
        </w:rPr>
        <w:t xml:space="preserve"> C</w:t>
      </w:r>
      <w:r w:rsidR="00D607FE" w:rsidRPr="001E0E01">
        <w:rPr>
          <w:iCs/>
          <w:smallCaps/>
          <w:color w:val="000000" w:themeColor="text1"/>
        </w:rPr>
        <w:t xml:space="preserve">aroline </w:t>
      </w:r>
      <w:proofErr w:type="spellStart"/>
      <w:r w:rsidR="00D607FE" w:rsidRPr="001E0E01">
        <w:rPr>
          <w:iCs/>
          <w:smallCaps/>
          <w:color w:val="000000" w:themeColor="text1"/>
        </w:rPr>
        <w:t>maughan</w:t>
      </w:r>
      <w:proofErr w:type="spellEnd"/>
      <w:r w:rsidR="00D607FE" w:rsidRPr="001E0E01">
        <w:rPr>
          <w:iCs/>
          <w:smallCaps/>
          <w:color w:val="000000" w:themeColor="text1"/>
        </w:rPr>
        <w:t xml:space="preserve"> </w:t>
      </w:r>
      <w:r w:rsidR="00D607FE">
        <w:rPr>
          <w:iCs/>
          <w:smallCaps/>
          <w:color w:val="000000" w:themeColor="text1"/>
        </w:rPr>
        <w:t>&amp;</w:t>
      </w:r>
      <w:r w:rsidR="00D607FE" w:rsidRPr="001E0E01">
        <w:rPr>
          <w:iCs/>
          <w:smallCaps/>
          <w:color w:val="000000" w:themeColor="text1"/>
        </w:rPr>
        <w:t xml:space="preserve"> </w:t>
      </w:r>
      <w:r w:rsidR="00D607FE">
        <w:rPr>
          <w:iCs/>
          <w:smallCaps/>
          <w:color w:val="000000" w:themeColor="text1"/>
        </w:rPr>
        <w:t>J</w:t>
      </w:r>
      <w:r w:rsidR="00D607FE" w:rsidRPr="001E0E01">
        <w:rPr>
          <w:iCs/>
          <w:smallCaps/>
          <w:color w:val="000000" w:themeColor="text1"/>
        </w:rPr>
        <w:t xml:space="preserve">ulian </w:t>
      </w:r>
      <w:proofErr w:type="spellStart"/>
      <w:r w:rsidR="00D607FE" w:rsidRPr="001E0E01">
        <w:rPr>
          <w:iCs/>
          <w:smallCaps/>
          <w:color w:val="000000" w:themeColor="text1"/>
        </w:rPr>
        <w:t>webb</w:t>
      </w:r>
      <w:proofErr w:type="spellEnd"/>
      <w:r w:rsidR="00D607FE" w:rsidRPr="001E0E01">
        <w:rPr>
          <w:iCs/>
          <w:smallCaps/>
          <w:color w:val="000000" w:themeColor="text1"/>
        </w:rPr>
        <w:t xml:space="preserve">, </w:t>
      </w:r>
      <w:r w:rsidR="00D607FE">
        <w:rPr>
          <w:iCs/>
          <w:smallCaps/>
          <w:color w:val="000000" w:themeColor="text1"/>
        </w:rPr>
        <w:t>L</w:t>
      </w:r>
      <w:r w:rsidR="00D607FE" w:rsidRPr="001E0E01">
        <w:rPr>
          <w:iCs/>
          <w:smallCaps/>
          <w:color w:val="000000" w:themeColor="text1"/>
        </w:rPr>
        <w:t xml:space="preserve">awyering skills </w:t>
      </w:r>
      <w:r w:rsidR="00D607FE">
        <w:rPr>
          <w:iCs/>
          <w:smallCaps/>
          <w:color w:val="000000" w:themeColor="text1"/>
        </w:rPr>
        <w:t>&amp;</w:t>
      </w:r>
      <w:r w:rsidR="00D607FE" w:rsidRPr="001E0E01">
        <w:rPr>
          <w:iCs/>
          <w:smallCaps/>
          <w:color w:val="000000" w:themeColor="text1"/>
        </w:rPr>
        <w:t xml:space="preserve"> the </w:t>
      </w:r>
      <w:r w:rsidR="00D607FE">
        <w:rPr>
          <w:iCs/>
          <w:smallCaps/>
          <w:color w:val="000000" w:themeColor="text1"/>
        </w:rPr>
        <w:t>Le</w:t>
      </w:r>
      <w:r w:rsidR="00D607FE" w:rsidRPr="001E0E01">
        <w:rPr>
          <w:iCs/>
          <w:smallCaps/>
          <w:color w:val="000000" w:themeColor="text1"/>
        </w:rPr>
        <w:t xml:space="preserve">gal </w:t>
      </w:r>
      <w:r w:rsidR="00D607FE">
        <w:rPr>
          <w:iCs/>
          <w:smallCaps/>
          <w:color w:val="000000" w:themeColor="text1"/>
        </w:rPr>
        <w:t>P</w:t>
      </w:r>
      <w:r w:rsidR="00D607FE" w:rsidRPr="001E0E01">
        <w:rPr>
          <w:iCs/>
          <w:smallCaps/>
          <w:color w:val="000000" w:themeColor="text1"/>
        </w:rPr>
        <w:t>rocess</w:t>
      </w:r>
      <w:r w:rsidR="00D607FE">
        <w:rPr>
          <w:iCs/>
          <w:smallCaps/>
          <w:color w:val="000000" w:themeColor="text1"/>
        </w:rPr>
        <w:t xml:space="preserve"> (C</w:t>
      </w:r>
      <w:r w:rsidR="00D607FE" w:rsidRPr="001E0E01">
        <w:rPr>
          <w:iCs/>
          <w:color w:val="000000" w:themeColor="text1"/>
        </w:rPr>
        <w:t xml:space="preserve">ambridge </w:t>
      </w:r>
      <w:r w:rsidR="00D607FE">
        <w:rPr>
          <w:iCs/>
          <w:color w:val="000000" w:themeColor="text1"/>
        </w:rPr>
        <w:t>U</w:t>
      </w:r>
      <w:r w:rsidR="00D607FE" w:rsidRPr="001E0E01">
        <w:rPr>
          <w:iCs/>
          <w:color w:val="000000" w:themeColor="text1"/>
        </w:rPr>
        <w:t>niv</w:t>
      </w:r>
      <w:r w:rsidR="00D607FE">
        <w:rPr>
          <w:iCs/>
          <w:color w:val="000000" w:themeColor="text1"/>
        </w:rPr>
        <w:t>.</w:t>
      </w:r>
      <w:r w:rsidR="00D607FE" w:rsidRPr="001E0E01">
        <w:rPr>
          <w:iCs/>
          <w:color w:val="000000" w:themeColor="text1"/>
        </w:rPr>
        <w:t xml:space="preserve"> </w:t>
      </w:r>
      <w:r w:rsidR="00D607FE">
        <w:rPr>
          <w:iCs/>
          <w:color w:val="000000" w:themeColor="text1"/>
        </w:rPr>
        <w:t>P</w:t>
      </w:r>
      <w:r w:rsidR="00D607FE" w:rsidRPr="001E0E01">
        <w:rPr>
          <w:iCs/>
          <w:color w:val="000000" w:themeColor="text1"/>
        </w:rPr>
        <w:t xml:space="preserve">ress </w:t>
      </w:r>
      <w:r w:rsidR="00D607FE" w:rsidRPr="001E0E01">
        <w:rPr>
          <w:iCs/>
          <w:smallCaps/>
          <w:color w:val="000000" w:themeColor="text1"/>
        </w:rPr>
        <w:t>2005</w:t>
      </w:r>
      <w:r w:rsidR="00D607FE">
        <w:rPr>
          <w:iCs/>
          <w:smallCaps/>
          <w:color w:val="000000" w:themeColor="text1"/>
        </w:rPr>
        <w:t>)</w:t>
      </w:r>
      <w:r w:rsidR="00D607FE" w:rsidRPr="001E0E01">
        <w:rPr>
          <w:iCs/>
          <w:smallCaps/>
          <w:color w:val="000000" w:themeColor="text1"/>
        </w:rPr>
        <w:t>.</w:t>
      </w:r>
    </w:p>
  </w:footnote>
  <w:footnote w:id="28">
    <w:p w14:paraId="23F39544" w14:textId="56B1AEAC" w:rsidR="00022003" w:rsidRDefault="00022003">
      <w:pPr>
        <w:pStyle w:val="FootnoteText"/>
      </w:pPr>
      <w:r>
        <w:rPr>
          <w:rStyle w:val="FootnoteReference"/>
        </w:rPr>
        <w:footnoteRef/>
      </w:r>
      <w:r>
        <w:t xml:space="preserve"> </w:t>
      </w:r>
      <w:proofErr w:type="spellStart"/>
      <w:r w:rsidRPr="00945D02">
        <w:rPr>
          <w:smallCaps/>
        </w:rPr>
        <w:t>Alli</w:t>
      </w:r>
      <w:proofErr w:type="spellEnd"/>
      <w:r w:rsidRPr="00945D02">
        <w:rPr>
          <w:smallCaps/>
        </w:rPr>
        <w:t xml:space="preserve"> </w:t>
      </w:r>
      <w:proofErr w:type="spellStart"/>
      <w:r w:rsidRPr="00945D02">
        <w:rPr>
          <w:smallCaps/>
        </w:rPr>
        <w:t>Gerkman</w:t>
      </w:r>
      <w:proofErr w:type="spellEnd"/>
      <w:r w:rsidRPr="00945D02">
        <w:rPr>
          <w:smallCaps/>
        </w:rPr>
        <w:t xml:space="preserve"> &amp; Zachariah </w:t>
      </w:r>
      <w:proofErr w:type="spellStart"/>
      <w:r w:rsidRPr="00945D02">
        <w:rPr>
          <w:smallCaps/>
        </w:rPr>
        <w:t>DeMeola</w:t>
      </w:r>
      <w:proofErr w:type="spellEnd"/>
      <w:r w:rsidRPr="00945D02">
        <w:rPr>
          <w:smallCaps/>
        </w:rPr>
        <w:t>, The Bar Examiner: Foundations for Practice</w:t>
      </w:r>
      <w:r>
        <w:t xml:space="preserve">, 17 (Summer ed. 2018), </w:t>
      </w:r>
      <w:hyperlink r:id="rId4" w:history="1">
        <w:r w:rsidRPr="00BA7C8B">
          <w:rPr>
            <w:rStyle w:val="Hyperlink"/>
          </w:rPr>
          <w:t>http://www.ncbex.org/assets/media_files/Bar-Examiner/issues/BE-870218-Online.pdf</w:t>
        </w:r>
      </w:hyperlink>
      <w:r w:rsidR="009A518B">
        <w:t xml:space="preserve"> [hereinafter </w:t>
      </w:r>
      <w:proofErr w:type="spellStart"/>
      <w:r w:rsidR="009A518B" w:rsidRPr="00945D02">
        <w:rPr>
          <w:smallCaps/>
        </w:rPr>
        <w:t>Gerkman</w:t>
      </w:r>
      <w:proofErr w:type="spellEnd"/>
      <w:r w:rsidR="009A518B" w:rsidRPr="00945D02">
        <w:rPr>
          <w:smallCaps/>
        </w:rPr>
        <w:t xml:space="preserve"> &amp; </w:t>
      </w:r>
      <w:proofErr w:type="spellStart"/>
      <w:r w:rsidR="009A518B" w:rsidRPr="00945D02">
        <w:rPr>
          <w:smallCaps/>
        </w:rPr>
        <w:t>DeMeola</w:t>
      </w:r>
      <w:proofErr w:type="spellEnd"/>
      <w:r w:rsidR="009A518B">
        <w:rPr>
          <w:smallCaps/>
        </w:rPr>
        <w:t>].</w:t>
      </w:r>
    </w:p>
  </w:footnote>
  <w:footnote w:id="29">
    <w:p w14:paraId="0DDC9C89" w14:textId="2C323CB4" w:rsidR="00022003" w:rsidRDefault="00022003">
      <w:pPr>
        <w:pStyle w:val="FootnoteText"/>
      </w:pPr>
      <w:r>
        <w:rPr>
          <w:rStyle w:val="FootnoteReference"/>
        </w:rPr>
        <w:footnoteRef/>
      </w:r>
      <w:r>
        <w:t xml:space="preserve"> </w:t>
      </w:r>
      <w:r w:rsidRPr="00945D02">
        <w:rPr>
          <w:i/>
        </w:rPr>
        <w:t>Id</w:t>
      </w:r>
      <w:r>
        <w:t>. at 18.</w:t>
      </w:r>
    </w:p>
  </w:footnote>
  <w:footnote w:id="30">
    <w:p w14:paraId="68F40426" w14:textId="27A4BE9A" w:rsidR="00022003" w:rsidRDefault="00022003">
      <w:pPr>
        <w:pStyle w:val="FootnoteText"/>
      </w:pPr>
      <w:r>
        <w:rPr>
          <w:rStyle w:val="FootnoteReference"/>
        </w:rPr>
        <w:footnoteRef/>
      </w:r>
      <w:r>
        <w:t xml:space="preserve"> </w:t>
      </w:r>
      <w:r w:rsidRPr="00945D02">
        <w:rPr>
          <w:i/>
        </w:rPr>
        <w:t>Id</w:t>
      </w:r>
      <w:r>
        <w:t>. at 25.</w:t>
      </w:r>
    </w:p>
  </w:footnote>
  <w:footnote w:id="31">
    <w:p w14:paraId="743FA2DE" w14:textId="1321150A" w:rsidR="00022003" w:rsidRDefault="00022003">
      <w:pPr>
        <w:pStyle w:val="FootnoteText"/>
      </w:pPr>
      <w:r>
        <w:rPr>
          <w:rStyle w:val="FootnoteReference"/>
        </w:rPr>
        <w:footnoteRef/>
      </w:r>
      <w:r>
        <w:t xml:space="preserve"> </w:t>
      </w:r>
      <w:proofErr w:type="spellStart"/>
      <w:r w:rsidRPr="00BF2116">
        <w:rPr>
          <w:smallCaps/>
          <w:color w:val="000000"/>
        </w:rPr>
        <w:t>Alemanno</w:t>
      </w:r>
      <w:proofErr w:type="spellEnd"/>
      <w:r w:rsidRPr="00BF2116">
        <w:rPr>
          <w:smallCaps/>
          <w:color w:val="000000"/>
        </w:rPr>
        <w:t xml:space="preserve"> &amp; </w:t>
      </w:r>
      <w:proofErr w:type="spellStart"/>
      <w:r w:rsidRPr="00BF2116">
        <w:rPr>
          <w:smallCaps/>
          <w:color w:val="000000"/>
        </w:rPr>
        <w:t>Khadar</w:t>
      </w:r>
      <w:proofErr w:type="spellEnd"/>
      <w:r w:rsidRPr="00BF2116">
        <w:rPr>
          <w:smallCaps/>
          <w:color w:val="000000"/>
        </w:rPr>
        <w:t xml:space="preserve">, </w:t>
      </w:r>
      <w:r w:rsidR="008072CC">
        <w:rPr>
          <w:i/>
          <w:color w:val="000000"/>
        </w:rPr>
        <w:t xml:space="preserve">supra </w:t>
      </w:r>
      <w:r w:rsidR="008072CC">
        <w:rPr>
          <w:color w:val="000000"/>
        </w:rPr>
        <w:t>note</w:t>
      </w:r>
      <w:r w:rsidR="000C43A6">
        <w:rPr>
          <w:color w:val="000000"/>
        </w:rPr>
        <w:t xml:space="preserve"> </w:t>
      </w:r>
      <w:r w:rsidR="00147CE3">
        <w:rPr>
          <w:color w:val="000000"/>
        </w:rPr>
        <w:t>2</w:t>
      </w:r>
      <w:r w:rsidR="008072CC">
        <w:rPr>
          <w:color w:val="000000"/>
        </w:rPr>
        <w:t xml:space="preserve"> at</w:t>
      </w:r>
      <w:r>
        <w:rPr>
          <w:color w:val="000000"/>
        </w:rPr>
        <w:t xml:space="preserve"> 13</w:t>
      </w:r>
      <w:r w:rsidR="008072CC">
        <w:rPr>
          <w:color w:val="000000"/>
        </w:rPr>
        <w:t>.</w:t>
      </w:r>
    </w:p>
  </w:footnote>
  <w:footnote w:id="32">
    <w:p w14:paraId="7CC56869" w14:textId="53C0DE8F" w:rsidR="00022003" w:rsidRDefault="00022003">
      <w:pPr>
        <w:pStyle w:val="FootnoteText"/>
      </w:pPr>
      <w:r>
        <w:rPr>
          <w:rStyle w:val="FootnoteReference"/>
        </w:rPr>
        <w:footnoteRef/>
      </w:r>
      <w:r>
        <w:t xml:space="preserve"> “The new legal professions include compliance officers, regularly affairs specialists, and in-house lawyers, as well as policy-makers and legal consultants (e.g. tax experts, lobbyists, regulatory affairs).”   </w:t>
      </w:r>
      <w:r w:rsidRPr="00945D02">
        <w:rPr>
          <w:i/>
        </w:rPr>
        <w:t>Id</w:t>
      </w:r>
      <w:r>
        <w:t>. at 15.</w:t>
      </w:r>
    </w:p>
  </w:footnote>
  <w:footnote w:id="33">
    <w:p w14:paraId="7D0ECCDB" w14:textId="2926F056" w:rsidR="00022003" w:rsidRDefault="00022003">
      <w:pPr>
        <w:pStyle w:val="FootnoteText"/>
      </w:pPr>
      <w:r>
        <w:rPr>
          <w:rStyle w:val="FootnoteReference"/>
        </w:rPr>
        <w:footnoteRef/>
      </w:r>
      <w:r>
        <w:t xml:space="preserve"> </w:t>
      </w:r>
      <w:r w:rsidRPr="00945D02">
        <w:rPr>
          <w:i/>
        </w:rPr>
        <w:t>Id</w:t>
      </w:r>
      <w:r>
        <w:t>. at 17-23.</w:t>
      </w:r>
    </w:p>
  </w:footnote>
  <w:footnote w:id="34">
    <w:p w14:paraId="146FA3E4" w14:textId="762B8EEE" w:rsidR="00022003" w:rsidRPr="00147CE3" w:rsidRDefault="00022003">
      <w:pPr>
        <w:pStyle w:val="FootnoteText"/>
      </w:pPr>
      <w:r>
        <w:rPr>
          <w:rStyle w:val="FootnoteReference"/>
        </w:rPr>
        <w:footnoteRef/>
      </w:r>
      <w:r>
        <w:t xml:space="preserve"> </w:t>
      </w:r>
      <w:r w:rsidRPr="00BF2116">
        <w:rPr>
          <w:smallCaps/>
          <w:color w:val="000000"/>
        </w:rPr>
        <w:t xml:space="preserve">Stuckey, </w:t>
      </w:r>
      <w:r w:rsidR="00147CE3">
        <w:rPr>
          <w:i/>
          <w:iCs/>
          <w:color w:val="000000"/>
        </w:rPr>
        <w:t xml:space="preserve">supra </w:t>
      </w:r>
      <w:r w:rsidR="00147CE3">
        <w:rPr>
          <w:iCs/>
          <w:color w:val="000000"/>
        </w:rPr>
        <w:t>note 22.</w:t>
      </w:r>
    </w:p>
  </w:footnote>
  <w:footnote w:id="35">
    <w:p w14:paraId="64FC8265" w14:textId="45036B6F" w:rsidR="00022003" w:rsidRPr="009A518B" w:rsidRDefault="00022003">
      <w:pPr>
        <w:pStyle w:val="FootnoteText"/>
      </w:pPr>
      <w:r>
        <w:rPr>
          <w:rStyle w:val="FootnoteReference"/>
        </w:rPr>
        <w:footnoteRef/>
      </w:r>
      <w:r>
        <w:t xml:space="preserve"> </w:t>
      </w:r>
      <w:r w:rsidRPr="00945D02">
        <w:rPr>
          <w:i/>
        </w:rPr>
        <w:t>Id</w:t>
      </w:r>
      <w:r>
        <w:t>.</w:t>
      </w:r>
      <w:r w:rsidR="009A518B">
        <w:t xml:space="preserve">; </w:t>
      </w:r>
      <w:r w:rsidR="009A518B">
        <w:rPr>
          <w:i/>
        </w:rPr>
        <w:t xml:space="preserve">see also </w:t>
      </w:r>
      <w:proofErr w:type="spellStart"/>
      <w:r w:rsidR="009A518B" w:rsidRPr="00945D02">
        <w:rPr>
          <w:smallCaps/>
        </w:rPr>
        <w:t>Gerkman</w:t>
      </w:r>
      <w:proofErr w:type="spellEnd"/>
      <w:r w:rsidR="009A518B" w:rsidRPr="00945D02">
        <w:rPr>
          <w:smallCaps/>
        </w:rPr>
        <w:t xml:space="preserve"> &amp; </w:t>
      </w:r>
      <w:proofErr w:type="spellStart"/>
      <w:r w:rsidR="009A518B" w:rsidRPr="00945D02">
        <w:rPr>
          <w:smallCaps/>
        </w:rPr>
        <w:t>DeMeol</w:t>
      </w:r>
      <w:r w:rsidR="009A518B">
        <w:rPr>
          <w:smallCaps/>
        </w:rPr>
        <w:t>a</w:t>
      </w:r>
      <w:proofErr w:type="spellEnd"/>
      <w:r w:rsidR="009A518B">
        <w:rPr>
          <w:smallCaps/>
        </w:rPr>
        <w:t xml:space="preserve">, </w:t>
      </w:r>
      <w:r w:rsidR="009A518B">
        <w:rPr>
          <w:i/>
        </w:rPr>
        <w:t xml:space="preserve">supra </w:t>
      </w:r>
      <w:r w:rsidR="009A518B">
        <w:t>note 2</w:t>
      </w:r>
      <w:r w:rsidR="00147CE3">
        <w:t>4</w:t>
      </w:r>
      <w:r w:rsidR="009A518B">
        <w:t>.</w:t>
      </w:r>
    </w:p>
  </w:footnote>
  <w:footnote w:id="36">
    <w:p w14:paraId="5533F294" w14:textId="0B135BC8" w:rsidR="00022003" w:rsidRDefault="00022003">
      <w:pPr>
        <w:pStyle w:val="FootnoteText"/>
      </w:pPr>
      <w:r>
        <w:rPr>
          <w:rStyle w:val="FootnoteReference"/>
        </w:rPr>
        <w:footnoteRef/>
      </w:r>
      <w:r>
        <w:t xml:space="preserve"> </w:t>
      </w:r>
      <w:r w:rsidRPr="00945D02">
        <w:rPr>
          <w:i/>
        </w:rPr>
        <w:t>Id</w:t>
      </w:r>
      <w:r>
        <w:t>. at 122.</w:t>
      </w:r>
    </w:p>
  </w:footnote>
  <w:footnote w:id="37">
    <w:p w14:paraId="31189E67" w14:textId="29930CEC" w:rsidR="00022003" w:rsidRDefault="00022003">
      <w:pPr>
        <w:pStyle w:val="FootnoteText"/>
      </w:pPr>
      <w:r>
        <w:rPr>
          <w:rStyle w:val="FootnoteReference"/>
        </w:rPr>
        <w:footnoteRef/>
      </w:r>
      <w:r>
        <w:t xml:space="preserve"> </w:t>
      </w:r>
      <w:r w:rsidRPr="00945D02">
        <w:rPr>
          <w:i/>
        </w:rPr>
        <w:t>Id</w:t>
      </w:r>
      <w:r>
        <w:t xml:space="preserve">. at 123 </w:t>
      </w:r>
      <w:r w:rsidRPr="00945D02">
        <w:rPr>
          <w:i/>
        </w:rPr>
        <w:t>citing</w:t>
      </w:r>
      <w:r>
        <w:t xml:space="preserve"> </w:t>
      </w:r>
      <w:r w:rsidRPr="00945D02">
        <w:rPr>
          <w:smallCaps/>
        </w:rPr>
        <w:t>William M. Sullivan, Anne Colby, Judith Welch Wegner, Lloyd Bond &amp; Lee S. Shulman, Educating Lawyers</w:t>
      </w:r>
      <w:r>
        <w:t xml:space="preserve"> 98 (Draft July, 2006).</w:t>
      </w:r>
    </w:p>
  </w:footnote>
  <w:footnote w:id="38">
    <w:p w14:paraId="2F90AC6F" w14:textId="1692D4D9" w:rsidR="00022003" w:rsidRDefault="00022003">
      <w:pPr>
        <w:pStyle w:val="FootnoteText"/>
      </w:pPr>
      <w:r>
        <w:rPr>
          <w:rStyle w:val="FootnoteReference"/>
        </w:rPr>
        <w:footnoteRef/>
      </w:r>
      <w:r>
        <w:t xml:space="preserve"> </w:t>
      </w:r>
      <w:r w:rsidRPr="00945D02">
        <w:rPr>
          <w:i/>
        </w:rPr>
        <w:t>Id</w:t>
      </w:r>
      <w:r>
        <w:t xml:space="preserve"> at 123.</w:t>
      </w:r>
    </w:p>
  </w:footnote>
  <w:footnote w:id="39">
    <w:p w14:paraId="350F2D11" w14:textId="0628772C" w:rsidR="006D0BC3" w:rsidRDefault="00022003">
      <w:pPr>
        <w:pStyle w:val="FootnoteText"/>
      </w:pPr>
      <w:r>
        <w:rPr>
          <w:rStyle w:val="FootnoteReference"/>
        </w:rPr>
        <w:footnoteRef/>
      </w:r>
      <w:r>
        <w:t xml:space="preserve"> </w:t>
      </w:r>
      <w:r w:rsidRPr="00945D02">
        <w:rPr>
          <w:smallCaps/>
        </w:rPr>
        <w:t>ABA Standard and Rules of Procedure for Approval of Law Schools 2018-2019</w:t>
      </w:r>
      <w:r>
        <w:t xml:space="preserve">, 16 (2018) </w:t>
      </w:r>
      <w:hyperlink r:id="rId5" w:history="1">
        <w:r w:rsidRPr="00BA7C8B">
          <w:rPr>
            <w:rStyle w:val="Hyperlink"/>
          </w:rPr>
          <w:t>https://www.americanbar.org/content/dam/aba/publications/misc/legal_education/Standards/2018-2019</w:t>
        </w:r>
      </w:hyperlink>
      <w:r w:rsidR="00027964">
        <w:t>.</w:t>
      </w:r>
    </w:p>
  </w:footnote>
  <w:footnote w:id="40">
    <w:p w14:paraId="22E6F0AB" w14:textId="33CCE3E5" w:rsidR="00022003" w:rsidRDefault="00022003">
      <w:pPr>
        <w:pStyle w:val="FootnoteText"/>
      </w:pPr>
      <w:r>
        <w:rPr>
          <w:rStyle w:val="FootnoteReference"/>
        </w:rPr>
        <w:footnoteRef/>
      </w:r>
      <w:r>
        <w:t xml:space="preserve"> </w:t>
      </w:r>
      <w:r w:rsidRPr="00945D02">
        <w:rPr>
          <w:i/>
        </w:rPr>
        <w:t>Id</w:t>
      </w:r>
      <w:r>
        <w:t>. at 17.</w:t>
      </w:r>
    </w:p>
  </w:footnote>
  <w:footnote w:id="41">
    <w:p w14:paraId="65CD357A" w14:textId="74E1DBCE" w:rsidR="00022003" w:rsidRPr="0088280B" w:rsidRDefault="00022003">
      <w:pPr>
        <w:pStyle w:val="FootnoteText"/>
      </w:pPr>
      <w:r>
        <w:rPr>
          <w:rStyle w:val="FootnoteReference"/>
        </w:rPr>
        <w:footnoteRef/>
      </w:r>
      <w:r>
        <w:t xml:space="preserve"> </w:t>
      </w:r>
      <w:r w:rsidRPr="00945D02">
        <w:rPr>
          <w:smallCaps/>
        </w:rPr>
        <w:t>Stuckey</w:t>
      </w:r>
      <w:r>
        <w:t xml:space="preserve"> </w:t>
      </w:r>
      <w:r>
        <w:rPr>
          <w:i/>
        </w:rPr>
        <w:t xml:space="preserve">supra </w:t>
      </w:r>
      <w:r>
        <w:t xml:space="preserve">note </w:t>
      </w:r>
      <w:r w:rsidR="00147CE3">
        <w:t>22,</w:t>
      </w:r>
      <w:r>
        <w:t xml:space="preserve"> at 124.</w:t>
      </w:r>
    </w:p>
  </w:footnote>
  <w:footnote w:id="42">
    <w:p w14:paraId="120BA5C0" w14:textId="1333CEEF" w:rsidR="00022003" w:rsidRDefault="00022003">
      <w:pPr>
        <w:pStyle w:val="FootnoteText"/>
      </w:pPr>
      <w:r>
        <w:rPr>
          <w:rStyle w:val="FootnoteReference"/>
        </w:rPr>
        <w:footnoteRef/>
      </w:r>
      <w:r>
        <w:t xml:space="preserve"> </w:t>
      </w:r>
      <w:r w:rsidRPr="00945D02">
        <w:rPr>
          <w:i/>
        </w:rPr>
        <w:t>Id</w:t>
      </w:r>
      <w:r>
        <w:t>. at 1.</w:t>
      </w:r>
    </w:p>
  </w:footnote>
  <w:footnote w:id="43">
    <w:p w14:paraId="0FDFCB88" w14:textId="3FBE5AB5" w:rsidR="00022003" w:rsidRPr="00147CE3" w:rsidRDefault="00022003" w:rsidP="00FB7D99">
      <w:pPr>
        <w:pStyle w:val="FootnoteText"/>
      </w:pPr>
      <w:r>
        <w:rPr>
          <w:rStyle w:val="FootnoteReference"/>
        </w:rPr>
        <w:footnoteRef/>
      </w:r>
      <w:r>
        <w:t xml:space="preserve"> </w:t>
      </w:r>
      <w:r w:rsidRPr="00112260">
        <w:rPr>
          <w:smallCaps/>
        </w:rPr>
        <w:t xml:space="preserve">Maria </w:t>
      </w:r>
      <w:proofErr w:type="spellStart"/>
      <w:r w:rsidRPr="00112260">
        <w:rPr>
          <w:smallCaps/>
        </w:rPr>
        <w:t>Marquès</w:t>
      </w:r>
      <w:proofErr w:type="spellEnd"/>
      <w:r w:rsidRPr="00112260">
        <w:rPr>
          <w:smallCaps/>
        </w:rPr>
        <w:t xml:space="preserve"> i </w:t>
      </w:r>
      <w:proofErr w:type="spellStart"/>
      <w:r w:rsidRPr="00112260">
        <w:rPr>
          <w:smallCaps/>
        </w:rPr>
        <w:t>Banqué</w:t>
      </w:r>
      <w:proofErr w:type="spellEnd"/>
      <w:r w:rsidRPr="00112260">
        <w:rPr>
          <w:smallCaps/>
          <w:color w:val="000000"/>
        </w:rPr>
        <w:t xml:space="preserve"> </w:t>
      </w:r>
      <w:r w:rsidRPr="00112260">
        <w:rPr>
          <w:smallCaps/>
        </w:rPr>
        <w:t xml:space="preserve">, </w:t>
      </w:r>
      <w:r w:rsidRPr="00112260">
        <w:rPr>
          <w:i/>
          <w:smallCaps/>
        </w:rPr>
        <w:t>Towards the Institutionalization of Legal Clinics in Spain</w:t>
      </w:r>
      <w:r>
        <w:t>,</w:t>
      </w:r>
      <w:r w:rsidR="00147CE3">
        <w:t xml:space="preserve"> </w:t>
      </w:r>
      <w:r w:rsidRPr="00945D02">
        <w:rPr>
          <w:i/>
        </w:rPr>
        <w:t>in</w:t>
      </w:r>
      <w:r>
        <w:t xml:space="preserve"> </w:t>
      </w:r>
      <w:proofErr w:type="spellStart"/>
      <w:r w:rsidRPr="00BF2116">
        <w:rPr>
          <w:smallCaps/>
          <w:color w:val="000000"/>
        </w:rPr>
        <w:t>Alemanno</w:t>
      </w:r>
      <w:proofErr w:type="spellEnd"/>
      <w:r w:rsidRPr="00BF2116">
        <w:rPr>
          <w:smallCaps/>
          <w:color w:val="000000"/>
        </w:rPr>
        <w:t xml:space="preserve"> &amp; </w:t>
      </w:r>
      <w:proofErr w:type="spellStart"/>
      <w:r w:rsidRPr="00BF2116">
        <w:rPr>
          <w:smallCaps/>
          <w:color w:val="000000"/>
        </w:rPr>
        <w:t>Khadar</w:t>
      </w:r>
      <w:proofErr w:type="spellEnd"/>
      <w:r w:rsidR="00147CE3">
        <w:rPr>
          <w:smallCaps/>
          <w:color w:val="000000"/>
        </w:rPr>
        <w:t xml:space="preserve">, </w:t>
      </w:r>
      <w:r w:rsidR="00147CE3">
        <w:rPr>
          <w:i/>
          <w:color w:val="000000"/>
        </w:rPr>
        <w:t xml:space="preserve">supra </w:t>
      </w:r>
      <w:r w:rsidR="00147CE3">
        <w:rPr>
          <w:color w:val="000000"/>
        </w:rPr>
        <w:t>note 2.</w:t>
      </w:r>
    </w:p>
  </w:footnote>
  <w:footnote w:id="44">
    <w:p w14:paraId="20DF7659" w14:textId="16D22B1E" w:rsidR="00022003" w:rsidRDefault="00022003" w:rsidP="00504DB4">
      <w:pPr>
        <w:pStyle w:val="FootnoteText"/>
      </w:pPr>
      <w:r>
        <w:rPr>
          <w:rStyle w:val="FootnoteReference"/>
        </w:rPr>
        <w:footnoteRef/>
      </w:r>
      <w:r>
        <w:t xml:space="preserve"> </w:t>
      </w:r>
      <w:r w:rsidR="00147CE3">
        <w:t xml:space="preserve">See, e.g., </w:t>
      </w:r>
      <w:r w:rsidRPr="00147CE3">
        <w:rPr>
          <w:smallCaps/>
        </w:rPr>
        <w:t>Wilson</w:t>
      </w:r>
      <w:r w:rsidR="00147CE3">
        <w:t xml:space="preserve">, </w:t>
      </w:r>
      <w:r w:rsidR="00147CE3">
        <w:rPr>
          <w:i/>
        </w:rPr>
        <w:t xml:space="preserve">supra </w:t>
      </w:r>
      <w:r w:rsidR="00147CE3">
        <w:t>note 16</w:t>
      </w:r>
      <w:r>
        <w:t>.</w:t>
      </w:r>
    </w:p>
  </w:footnote>
  <w:footnote w:id="45">
    <w:p w14:paraId="291AAD3D" w14:textId="13E753E9" w:rsidR="00022003" w:rsidRPr="00EF2057" w:rsidRDefault="00022003" w:rsidP="00EF2057">
      <w:pPr>
        <w:pStyle w:val="ListParagraph"/>
        <w:spacing w:line="480" w:lineRule="auto"/>
        <w:ind w:left="0"/>
        <w:rPr>
          <w:rFonts w:eastAsia="Times New Roman"/>
          <w:sz w:val="20"/>
          <w:szCs w:val="20"/>
        </w:rPr>
      </w:pPr>
      <w:r w:rsidRPr="00590E52">
        <w:rPr>
          <w:rStyle w:val="FootnoteReference"/>
          <w:sz w:val="20"/>
          <w:szCs w:val="20"/>
        </w:rPr>
        <w:footnoteRef/>
      </w:r>
      <w:r w:rsidRPr="00590E52">
        <w:rPr>
          <w:sz w:val="20"/>
          <w:szCs w:val="20"/>
        </w:rPr>
        <w:t xml:space="preserve"> </w:t>
      </w:r>
      <w:proofErr w:type="spellStart"/>
      <w:r w:rsidRPr="00945D02">
        <w:rPr>
          <w:smallCaps/>
          <w:sz w:val="20"/>
          <w:szCs w:val="20"/>
        </w:rPr>
        <w:t>Banque</w:t>
      </w:r>
      <w:proofErr w:type="spellEnd"/>
      <w:r>
        <w:rPr>
          <w:sz w:val="20"/>
          <w:szCs w:val="20"/>
        </w:rPr>
        <w:t xml:space="preserve"> </w:t>
      </w:r>
      <w:r>
        <w:rPr>
          <w:i/>
          <w:sz w:val="20"/>
          <w:szCs w:val="20"/>
        </w:rPr>
        <w:t xml:space="preserve">supra </w:t>
      </w:r>
      <w:r>
        <w:rPr>
          <w:sz w:val="20"/>
          <w:szCs w:val="20"/>
        </w:rPr>
        <w:t>note 39</w:t>
      </w:r>
      <w:r w:rsidRPr="00590E52">
        <w:rPr>
          <w:sz w:val="20"/>
          <w:szCs w:val="20"/>
        </w:rPr>
        <w:t>, at 98.</w:t>
      </w:r>
    </w:p>
  </w:footnote>
  <w:footnote w:id="46">
    <w:p w14:paraId="59ED41A2" w14:textId="7896F375" w:rsidR="00022003" w:rsidRDefault="00022003">
      <w:pPr>
        <w:pStyle w:val="FootnoteText"/>
      </w:pPr>
      <w:r>
        <w:rPr>
          <w:rStyle w:val="FootnoteReference"/>
        </w:rPr>
        <w:footnoteRef/>
      </w:r>
      <w:r>
        <w:t xml:space="preserve"> </w:t>
      </w:r>
      <w:r w:rsidRPr="00945D02">
        <w:rPr>
          <w:smallCaps/>
        </w:rPr>
        <w:t>Frank S. Bloch, The Global Clinical Movement: Educating Lawyers for Social Justice</w:t>
      </w:r>
      <w:r>
        <w:t xml:space="preserve"> (Oxford Scholarship Online 2011).</w:t>
      </w:r>
    </w:p>
  </w:footnote>
  <w:footnote w:id="47">
    <w:p w14:paraId="47FF0092" w14:textId="2CFEFFA8" w:rsidR="00022003" w:rsidRPr="006814C7" w:rsidRDefault="00022003">
      <w:pPr>
        <w:pStyle w:val="FootnoteText"/>
        <w:rPr>
          <w:lang w:val="es-ES_tradnl"/>
        </w:rPr>
      </w:pPr>
      <w:r>
        <w:rPr>
          <w:rStyle w:val="FootnoteReference"/>
        </w:rPr>
        <w:footnoteRef/>
      </w:r>
      <w:r w:rsidRPr="006814C7">
        <w:rPr>
          <w:lang w:val="es-ES_tradnl"/>
        </w:rPr>
        <w:t xml:space="preserve"> </w:t>
      </w:r>
      <w:proofErr w:type="spellStart"/>
      <w:r w:rsidRPr="006814C7">
        <w:rPr>
          <w:smallCaps/>
          <w:color w:val="000000"/>
          <w:lang w:val="es-ES_tradnl"/>
        </w:rPr>
        <w:t>Alemanno</w:t>
      </w:r>
      <w:proofErr w:type="spellEnd"/>
      <w:r w:rsidRPr="006814C7">
        <w:rPr>
          <w:smallCaps/>
          <w:color w:val="000000"/>
          <w:lang w:val="es-ES_tradnl"/>
        </w:rPr>
        <w:t xml:space="preserve"> &amp; </w:t>
      </w:r>
      <w:proofErr w:type="spellStart"/>
      <w:r w:rsidRPr="006814C7">
        <w:rPr>
          <w:smallCaps/>
          <w:color w:val="000000"/>
          <w:lang w:val="es-ES_tradnl"/>
        </w:rPr>
        <w:t>Khadar</w:t>
      </w:r>
      <w:proofErr w:type="spellEnd"/>
      <w:r w:rsidRPr="006814C7">
        <w:rPr>
          <w:smallCaps/>
          <w:color w:val="000000"/>
          <w:lang w:val="es-ES_tradnl"/>
        </w:rPr>
        <w:t xml:space="preserve">, </w:t>
      </w:r>
      <w:r w:rsidR="00700DEE" w:rsidRPr="006814C7">
        <w:rPr>
          <w:i/>
          <w:color w:val="000000"/>
          <w:lang w:val="es-ES_tradnl"/>
        </w:rPr>
        <w:t xml:space="preserve">supra </w:t>
      </w:r>
      <w:r w:rsidR="00700DEE" w:rsidRPr="006814C7">
        <w:rPr>
          <w:color w:val="000000"/>
          <w:lang w:val="es-ES_tradnl"/>
        </w:rPr>
        <w:t xml:space="preserve">note 2, at </w:t>
      </w:r>
      <w:r w:rsidRPr="006814C7">
        <w:rPr>
          <w:color w:val="000000"/>
          <w:lang w:val="es-ES_tradnl"/>
        </w:rPr>
        <w:t>13</w:t>
      </w:r>
      <w:r w:rsidR="00700DEE" w:rsidRPr="006814C7">
        <w:rPr>
          <w:color w:val="000000"/>
          <w:lang w:val="es-ES_tradnl"/>
        </w:rPr>
        <w:t>.</w:t>
      </w:r>
    </w:p>
  </w:footnote>
  <w:footnote w:id="48">
    <w:p w14:paraId="6ABB5892" w14:textId="30A70EF5" w:rsidR="00022003" w:rsidRPr="00384617" w:rsidRDefault="00022003" w:rsidP="00D961C7">
      <w:pPr>
        <w:widowControl w:val="0"/>
        <w:autoSpaceDE w:val="0"/>
        <w:autoSpaceDN w:val="0"/>
        <w:adjustRightInd w:val="0"/>
        <w:spacing w:after="240" w:line="260" w:lineRule="atLeast"/>
        <w:rPr>
          <w:rFonts w:ascii="Times Roman" w:hAnsi="Times Roman" w:cs="Times Roman"/>
          <w:color w:val="000000"/>
          <w:sz w:val="20"/>
          <w:lang w:val="es-ES"/>
        </w:rPr>
      </w:pPr>
      <w:r w:rsidRPr="00384617">
        <w:rPr>
          <w:rStyle w:val="FootnoteReference"/>
          <w:sz w:val="20"/>
        </w:rPr>
        <w:footnoteRef/>
      </w:r>
      <w:r w:rsidRPr="00945D02">
        <w:rPr>
          <w:sz w:val="20"/>
          <w:lang w:val="es-ES"/>
        </w:rPr>
        <w:t xml:space="preserve"> 8 </w:t>
      </w:r>
      <w:r w:rsidRPr="00945D02">
        <w:rPr>
          <w:smallCaps/>
          <w:sz w:val="20"/>
          <w:szCs w:val="20"/>
          <w:lang w:val="es-ES"/>
        </w:rPr>
        <w:t xml:space="preserve">Miguel Ángel </w:t>
      </w:r>
      <w:proofErr w:type="spellStart"/>
      <w:r w:rsidRPr="00945D02">
        <w:rPr>
          <w:smallCaps/>
          <w:sz w:val="20"/>
          <w:szCs w:val="20"/>
          <w:lang w:val="es-ES"/>
        </w:rPr>
        <w:t>Presno</w:t>
      </w:r>
      <w:proofErr w:type="spellEnd"/>
      <w:r w:rsidRPr="00945D02">
        <w:rPr>
          <w:smallCaps/>
          <w:sz w:val="20"/>
          <w:szCs w:val="20"/>
          <w:lang w:val="es-ES"/>
        </w:rPr>
        <w:t xml:space="preserve"> Linera, Un Proyecto De Innovación Docente Y De Transformación Social: La Clínica Del Máster En Protección Jurídica De Las Personas Y Los Grupos Vulnerables De La Universidad De Oviedo (A </w:t>
      </w:r>
      <w:proofErr w:type="spellStart"/>
      <w:r w:rsidRPr="00945D02">
        <w:rPr>
          <w:smallCaps/>
          <w:sz w:val="20"/>
          <w:szCs w:val="20"/>
          <w:lang w:val="es-ES"/>
        </w:rPr>
        <w:t>Teaching</w:t>
      </w:r>
      <w:proofErr w:type="spellEnd"/>
      <w:r w:rsidRPr="00945D02">
        <w:rPr>
          <w:smallCaps/>
          <w:sz w:val="20"/>
          <w:szCs w:val="20"/>
          <w:lang w:val="es-ES"/>
        </w:rPr>
        <w:t xml:space="preserve"> </w:t>
      </w:r>
      <w:proofErr w:type="spellStart"/>
      <w:r w:rsidRPr="00945D02">
        <w:rPr>
          <w:smallCaps/>
          <w:sz w:val="20"/>
          <w:szCs w:val="20"/>
          <w:lang w:val="es-ES"/>
        </w:rPr>
        <w:t>Innovation</w:t>
      </w:r>
      <w:proofErr w:type="spellEnd"/>
      <w:r w:rsidRPr="00945D02">
        <w:rPr>
          <w:smallCaps/>
          <w:sz w:val="20"/>
          <w:szCs w:val="20"/>
          <w:lang w:val="es-ES"/>
        </w:rPr>
        <w:t xml:space="preserve"> and Social </w:t>
      </w:r>
      <w:proofErr w:type="spellStart"/>
      <w:r w:rsidRPr="00945D02">
        <w:rPr>
          <w:smallCaps/>
          <w:sz w:val="20"/>
          <w:szCs w:val="20"/>
          <w:lang w:val="es-ES"/>
        </w:rPr>
        <w:t>Transformation</w:t>
      </w:r>
      <w:proofErr w:type="spellEnd"/>
      <w:r w:rsidRPr="00945D02">
        <w:rPr>
          <w:smallCaps/>
          <w:sz w:val="20"/>
          <w:szCs w:val="20"/>
          <w:lang w:val="es-ES"/>
        </w:rPr>
        <w:t xml:space="preserve"> Project: </w:t>
      </w:r>
      <w:proofErr w:type="spellStart"/>
      <w:r w:rsidRPr="00945D02">
        <w:rPr>
          <w:smallCaps/>
          <w:sz w:val="20"/>
          <w:szCs w:val="20"/>
          <w:lang w:val="es-ES"/>
        </w:rPr>
        <w:t>The</w:t>
      </w:r>
      <w:proofErr w:type="spellEnd"/>
      <w:r w:rsidRPr="00945D02">
        <w:rPr>
          <w:smallCaps/>
          <w:sz w:val="20"/>
          <w:szCs w:val="20"/>
          <w:lang w:val="es-ES"/>
        </w:rPr>
        <w:t xml:space="preserve"> </w:t>
      </w:r>
      <w:proofErr w:type="spellStart"/>
      <w:r w:rsidRPr="00945D02">
        <w:rPr>
          <w:smallCaps/>
          <w:sz w:val="20"/>
          <w:szCs w:val="20"/>
          <w:lang w:val="es-ES"/>
        </w:rPr>
        <w:t>Clinic</w:t>
      </w:r>
      <w:proofErr w:type="spellEnd"/>
      <w:r w:rsidRPr="00945D02">
        <w:rPr>
          <w:smallCaps/>
          <w:sz w:val="20"/>
          <w:szCs w:val="20"/>
          <w:lang w:val="es-ES"/>
        </w:rPr>
        <w:t xml:space="preserve"> of </w:t>
      </w:r>
      <w:proofErr w:type="spellStart"/>
      <w:r w:rsidRPr="00945D02">
        <w:rPr>
          <w:smallCaps/>
          <w:sz w:val="20"/>
          <w:szCs w:val="20"/>
          <w:lang w:val="es-ES"/>
        </w:rPr>
        <w:t>the</w:t>
      </w:r>
      <w:proofErr w:type="spellEnd"/>
      <w:r w:rsidRPr="00945D02">
        <w:rPr>
          <w:smallCaps/>
          <w:sz w:val="20"/>
          <w:szCs w:val="20"/>
          <w:lang w:val="es-ES"/>
        </w:rPr>
        <w:t xml:space="preserve"> Master </w:t>
      </w:r>
      <w:proofErr w:type="spellStart"/>
      <w:r w:rsidRPr="00945D02">
        <w:rPr>
          <w:smallCaps/>
          <w:sz w:val="20"/>
          <w:szCs w:val="20"/>
          <w:lang w:val="es-ES"/>
        </w:rPr>
        <w:t>on</w:t>
      </w:r>
      <w:proofErr w:type="spellEnd"/>
      <w:r w:rsidRPr="00945D02">
        <w:rPr>
          <w:smallCaps/>
          <w:sz w:val="20"/>
          <w:szCs w:val="20"/>
          <w:lang w:val="es-ES"/>
        </w:rPr>
        <w:t xml:space="preserve"> Legal </w:t>
      </w:r>
      <w:proofErr w:type="spellStart"/>
      <w:r w:rsidRPr="00945D02">
        <w:rPr>
          <w:smallCaps/>
          <w:sz w:val="20"/>
          <w:szCs w:val="20"/>
          <w:lang w:val="es-ES"/>
        </w:rPr>
        <w:t>Protection</w:t>
      </w:r>
      <w:proofErr w:type="spellEnd"/>
      <w:r w:rsidRPr="00945D02">
        <w:rPr>
          <w:smallCaps/>
          <w:sz w:val="20"/>
          <w:szCs w:val="20"/>
          <w:lang w:val="es-ES"/>
        </w:rPr>
        <w:t xml:space="preserve"> of Vulnerable </w:t>
      </w:r>
      <w:proofErr w:type="spellStart"/>
      <w:r w:rsidRPr="00945D02">
        <w:rPr>
          <w:smallCaps/>
          <w:sz w:val="20"/>
          <w:szCs w:val="20"/>
          <w:lang w:val="es-ES"/>
        </w:rPr>
        <w:t>People</w:t>
      </w:r>
      <w:proofErr w:type="spellEnd"/>
      <w:r w:rsidRPr="00945D02">
        <w:rPr>
          <w:smallCaps/>
          <w:sz w:val="20"/>
          <w:szCs w:val="20"/>
          <w:lang w:val="es-ES"/>
        </w:rPr>
        <w:t xml:space="preserve"> and </w:t>
      </w:r>
      <w:proofErr w:type="spellStart"/>
      <w:r w:rsidRPr="00945D02">
        <w:rPr>
          <w:smallCaps/>
          <w:sz w:val="20"/>
          <w:szCs w:val="20"/>
          <w:lang w:val="es-ES"/>
        </w:rPr>
        <w:t>Groups</w:t>
      </w:r>
      <w:proofErr w:type="spellEnd"/>
      <w:r w:rsidRPr="00945D02">
        <w:rPr>
          <w:smallCaps/>
          <w:sz w:val="20"/>
          <w:szCs w:val="20"/>
          <w:lang w:val="es-ES"/>
        </w:rPr>
        <w:t xml:space="preserve"> </w:t>
      </w:r>
      <w:proofErr w:type="spellStart"/>
      <w:r w:rsidRPr="00945D02">
        <w:rPr>
          <w:smallCaps/>
          <w:sz w:val="20"/>
          <w:szCs w:val="20"/>
          <w:lang w:val="es-ES"/>
        </w:rPr>
        <w:t>from</w:t>
      </w:r>
      <w:proofErr w:type="spellEnd"/>
      <w:r w:rsidRPr="00945D02">
        <w:rPr>
          <w:smallCaps/>
          <w:sz w:val="20"/>
          <w:szCs w:val="20"/>
          <w:lang w:val="es-ES"/>
        </w:rPr>
        <w:t xml:space="preserve"> Oviedo University)</w:t>
      </w:r>
      <w:r w:rsidRPr="00945D02">
        <w:rPr>
          <w:sz w:val="20"/>
          <w:szCs w:val="20"/>
          <w:lang w:val="es-ES"/>
        </w:rPr>
        <w:t xml:space="preserve"> (</w:t>
      </w:r>
      <w:proofErr w:type="spellStart"/>
      <w:r w:rsidRPr="00945D02">
        <w:rPr>
          <w:sz w:val="20"/>
          <w:szCs w:val="20"/>
          <w:lang w:val="es-ES"/>
        </w:rPr>
        <w:t>Oñati</w:t>
      </w:r>
      <w:proofErr w:type="spellEnd"/>
      <w:r w:rsidRPr="00945D02">
        <w:rPr>
          <w:sz w:val="20"/>
          <w:szCs w:val="20"/>
          <w:lang w:val="es-ES"/>
        </w:rPr>
        <w:t xml:space="preserve"> Socio-legal Series 2018) http://ssrn.com/abstract=3126178</w:t>
      </w:r>
    </w:p>
  </w:footnote>
  <w:footnote w:id="49">
    <w:p w14:paraId="3041D4E6" w14:textId="02E3A84F" w:rsidR="00022003" w:rsidRPr="00945D02" w:rsidRDefault="00022003" w:rsidP="00D961C7">
      <w:pPr>
        <w:pStyle w:val="FootnoteText"/>
        <w:rPr>
          <w:color w:val="FF0000"/>
        </w:rPr>
      </w:pPr>
      <w:r>
        <w:rPr>
          <w:rStyle w:val="FootnoteReference"/>
        </w:rPr>
        <w:footnoteRef/>
      </w:r>
      <w:r>
        <w:t xml:space="preserve"> </w:t>
      </w:r>
      <w:r w:rsidRPr="006C7E6E">
        <w:rPr>
          <w:i/>
        </w:rPr>
        <w:t>I</w:t>
      </w:r>
      <w:r w:rsidR="00F00EC5">
        <w:rPr>
          <w:i/>
        </w:rPr>
        <w:t xml:space="preserve">d. </w:t>
      </w:r>
      <w:r w:rsidR="00F00EC5">
        <w:t>at</w:t>
      </w:r>
      <w:r>
        <w:t xml:space="preserve"> </w:t>
      </w:r>
      <w:r w:rsidR="00F00EC5">
        <w:t>3-</w:t>
      </w:r>
      <w:r>
        <w:t>4.</w:t>
      </w:r>
    </w:p>
  </w:footnote>
  <w:footnote w:id="50">
    <w:p w14:paraId="6D9F4EB4" w14:textId="43CE38B7" w:rsidR="00022003" w:rsidRDefault="00022003" w:rsidP="00C278BA">
      <w:r w:rsidRPr="00B61CB3">
        <w:rPr>
          <w:rStyle w:val="FootnoteReference"/>
          <w:sz w:val="20"/>
          <w:szCs w:val="20"/>
        </w:rPr>
        <w:footnoteRef/>
      </w:r>
      <w:r w:rsidRPr="00B61CB3">
        <w:rPr>
          <w:sz w:val="20"/>
          <w:szCs w:val="20"/>
        </w:rPr>
        <w:t xml:space="preserve"> </w:t>
      </w:r>
      <w:r w:rsidRPr="00945D02">
        <w:rPr>
          <w:i/>
          <w:sz w:val="20"/>
          <w:szCs w:val="20"/>
        </w:rPr>
        <w:t>See</w:t>
      </w:r>
      <w:r>
        <w:rPr>
          <w:sz w:val="20"/>
          <w:szCs w:val="20"/>
        </w:rPr>
        <w:t xml:space="preserve"> </w:t>
      </w:r>
      <w:r w:rsidRPr="00945D02">
        <w:rPr>
          <w:rFonts w:eastAsia="Times New Roman"/>
          <w:smallCaps/>
          <w:sz w:val="20"/>
          <w:szCs w:val="20"/>
        </w:rPr>
        <w:t xml:space="preserve">Jose Garcia </w:t>
      </w:r>
      <w:proofErr w:type="spellStart"/>
      <w:r w:rsidRPr="00945D02">
        <w:rPr>
          <w:rFonts w:eastAsia="Times New Roman"/>
          <w:smallCaps/>
          <w:sz w:val="20"/>
          <w:szCs w:val="20"/>
        </w:rPr>
        <w:t>Añon</w:t>
      </w:r>
      <w:proofErr w:type="spellEnd"/>
      <w:r w:rsidRPr="00945D02">
        <w:rPr>
          <w:rFonts w:eastAsia="Times New Roman"/>
          <w:smallCaps/>
          <w:sz w:val="20"/>
          <w:szCs w:val="20"/>
        </w:rPr>
        <w:t xml:space="preserve">, </w:t>
      </w:r>
      <w:r w:rsidRPr="00112260">
        <w:rPr>
          <w:rFonts w:eastAsia="Times New Roman"/>
          <w:i/>
          <w:smallCaps/>
          <w:sz w:val="20"/>
          <w:szCs w:val="20"/>
        </w:rPr>
        <w:t xml:space="preserve">How Do We Assess in Clinical Legal Education: A Reflection about </w:t>
      </w:r>
      <w:r w:rsidRPr="00112260">
        <w:rPr>
          <w:i/>
          <w:smallCaps/>
          <w:sz w:val="20"/>
          <w:szCs w:val="20"/>
        </w:rPr>
        <w:t>Reflective Learning</w:t>
      </w:r>
      <w:r w:rsidRPr="00112260">
        <w:rPr>
          <w:smallCaps/>
          <w:sz w:val="20"/>
          <w:szCs w:val="20"/>
        </w:rPr>
        <w:t>,</w:t>
      </w:r>
      <w:r w:rsidRPr="00B61CB3">
        <w:rPr>
          <w:sz w:val="20"/>
          <w:szCs w:val="20"/>
        </w:rPr>
        <w:t xml:space="preserve"> 23 </w:t>
      </w:r>
      <w:r w:rsidRPr="00A47DE0">
        <w:rPr>
          <w:smallCaps/>
          <w:sz w:val="20"/>
          <w:szCs w:val="20"/>
        </w:rPr>
        <w:t>Int'l J. Clinical Legal Educ.</w:t>
      </w:r>
      <w:r w:rsidRPr="00B61CB3">
        <w:rPr>
          <w:sz w:val="20"/>
          <w:szCs w:val="20"/>
        </w:rPr>
        <w:t xml:space="preserve"> 48 (2016)</w:t>
      </w:r>
      <w:r>
        <w:rPr>
          <w:sz w:val="20"/>
          <w:szCs w:val="20"/>
        </w:rPr>
        <w:t>.</w:t>
      </w:r>
    </w:p>
  </w:footnote>
  <w:footnote w:id="51">
    <w:p w14:paraId="40BEBB47" w14:textId="597080EA" w:rsidR="00F4361F" w:rsidRDefault="00F4361F">
      <w:pPr>
        <w:pStyle w:val="FootnoteText"/>
      </w:pPr>
      <w:r>
        <w:rPr>
          <w:rStyle w:val="FootnoteReference"/>
        </w:rPr>
        <w:footnoteRef/>
      </w:r>
      <w:r>
        <w:t xml:space="preserve"> </w:t>
      </w:r>
      <w:r w:rsidR="00401A2D" w:rsidRPr="00D44A31">
        <w:rPr>
          <w:i/>
        </w:rPr>
        <w:t>See N.44</w:t>
      </w:r>
      <w:r w:rsidRPr="00D44A31">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31D3" w14:textId="23B67C28" w:rsidR="00B625E3" w:rsidRPr="00B625E3" w:rsidRDefault="00B625E3" w:rsidP="00B625E3">
    <w:pPr>
      <w:spacing w:line="480" w:lineRule="auto"/>
      <w:rPr>
        <w:rFonts w:ascii="Palatino Linotype" w:hAnsi="Palatino Linotype"/>
        <w:i/>
      </w:rPr>
    </w:pPr>
    <w:r>
      <w:rPr>
        <w:rFonts w:ascii="Palatino Linotype" w:hAnsi="Palatino Linotype"/>
        <w:i/>
      </w:rPr>
      <w:t>Special Issue: European Network for Clinical Legal Education 6</w:t>
    </w:r>
    <w:r>
      <w:rPr>
        <w:rFonts w:ascii="Palatino Linotype" w:hAnsi="Palatino Linotype"/>
        <w:i/>
        <w:vertAlign w:val="superscript"/>
      </w:rPr>
      <w:t>th</w:t>
    </w:r>
    <w:r>
      <w:rPr>
        <w:rFonts w:ascii="Palatino Linotype" w:hAnsi="Palatino Linotype"/>
        <w:i/>
      </w:rPr>
      <w:t xml:space="preserve"> Conference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194"/>
    <w:multiLevelType w:val="hybridMultilevel"/>
    <w:tmpl w:val="2CEC9F90"/>
    <w:lvl w:ilvl="0" w:tplc="0656930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312C45"/>
    <w:multiLevelType w:val="hybridMultilevel"/>
    <w:tmpl w:val="E4A2AA1A"/>
    <w:lvl w:ilvl="0" w:tplc="7C4870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E17958"/>
    <w:multiLevelType w:val="hybridMultilevel"/>
    <w:tmpl w:val="75F6D996"/>
    <w:lvl w:ilvl="0" w:tplc="D700BD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AC7AA6"/>
    <w:multiLevelType w:val="hybridMultilevel"/>
    <w:tmpl w:val="F40C215A"/>
    <w:lvl w:ilvl="0" w:tplc="E5126F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F5D90"/>
    <w:multiLevelType w:val="hybridMultilevel"/>
    <w:tmpl w:val="EC4A96D8"/>
    <w:lvl w:ilvl="0" w:tplc="35C8B4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E979A4"/>
    <w:multiLevelType w:val="hybridMultilevel"/>
    <w:tmpl w:val="0D54908A"/>
    <w:lvl w:ilvl="0" w:tplc="ADBA69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4E0FF4"/>
    <w:multiLevelType w:val="hybridMultilevel"/>
    <w:tmpl w:val="203CF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4467F"/>
    <w:multiLevelType w:val="hybridMultilevel"/>
    <w:tmpl w:val="986A8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F4C2B"/>
    <w:multiLevelType w:val="multilevel"/>
    <w:tmpl w:val="84727D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501B2E"/>
    <w:multiLevelType w:val="hybridMultilevel"/>
    <w:tmpl w:val="81343C12"/>
    <w:lvl w:ilvl="0" w:tplc="61F2062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E39744B"/>
    <w:multiLevelType w:val="hybridMultilevel"/>
    <w:tmpl w:val="BB66ADE8"/>
    <w:lvl w:ilvl="0" w:tplc="65E0CD9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57F48"/>
    <w:multiLevelType w:val="hybridMultilevel"/>
    <w:tmpl w:val="054C938C"/>
    <w:lvl w:ilvl="0" w:tplc="622A4150">
      <w:start w:val="1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F40196"/>
    <w:multiLevelType w:val="hybridMultilevel"/>
    <w:tmpl w:val="409C1952"/>
    <w:lvl w:ilvl="0" w:tplc="37D66B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A16FF4"/>
    <w:multiLevelType w:val="hybridMultilevel"/>
    <w:tmpl w:val="B060FE92"/>
    <w:lvl w:ilvl="0" w:tplc="0EF2BA5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D582C88"/>
    <w:multiLevelType w:val="hybridMultilevel"/>
    <w:tmpl w:val="FA5C4002"/>
    <w:lvl w:ilvl="0" w:tplc="93802438">
      <w:start w:val="4"/>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E12D3"/>
    <w:multiLevelType w:val="hybridMultilevel"/>
    <w:tmpl w:val="5B52C73C"/>
    <w:lvl w:ilvl="0" w:tplc="7E90D18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9DE5834"/>
    <w:multiLevelType w:val="hybridMultilevel"/>
    <w:tmpl w:val="30EC5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56A71"/>
    <w:multiLevelType w:val="hybridMultilevel"/>
    <w:tmpl w:val="B33E08DA"/>
    <w:lvl w:ilvl="0" w:tplc="6174FF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EE5E5F"/>
    <w:multiLevelType w:val="hybridMultilevel"/>
    <w:tmpl w:val="E126EEBE"/>
    <w:lvl w:ilvl="0" w:tplc="1BFA9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4EA3F10"/>
    <w:multiLevelType w:val="hybridMultilevel"/>
    <w:tmpl w:val="81343C12"/>
    <w:lvl w:ilvl="0" w:tplc="61F2062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75D3048"/>
    <w:multiLevelType w:val="hybridMultilevel"/>
    <w:tmpl w:val="96AA7B14"/>
    <w:lvl w:ilvl="0" w:tplc="09846F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901A3B"/>
    <w:multiLevelType w:val="hybridMultilevel"/>
    <w:tmpl w:val="F1EA5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AB77E2"/>
    <w:multiLevelType w:val="hybridMultilevel"/>
    <w:tmpl w:val="1F16FAB6"/>
    <w:lvl w:ilvl="0" w:tplc="61FA21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E26867"/>
    <w:multiLevelType w:val="hybridMultilevel"/>
    <w:tmpl w:val="0B6A5808"/>
    <w:lvl w:ilvl="0" w:tplc="FDFC509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7F9553C"/>
    <w:multiLevelType w:val="hybridMultilevel"/>
    <w:tmpl w:val="15A494D0"/>
    <w:lvl w:ilvl="0" w:tplc="747AFB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9"/>
  </w:num>
  <w:num w:numId="3">
    <w:abstractNumId w:val="4"/>
  </w:num>
  <w:num w:numId="4">
    <w:abstractNumId w:val="10"/>
  </w:num>
  <w:num w:numId="5">
    <w:abstractNumId w:val="18"/>
  </w:num>
  <w:num w:numId="6">
    <w:abstractNumId w:val="13"/>
  </w:num>
  <w:num w:numId="7">
    <w:abstractNumId w:val="1"/>
  </w:num>
  <w:num w:numId="8">
    <w:abstractNumId w:val="15"/>
  </w:num>
  <w:num w:numId="9">
    <w:abstractNumId w:val="0"/>
  </w:num>
  <w:num w:numId="10">
    <w:abstractNumId w:val="9"/>
  </w:num>
  <w:num w:numId="11">
    <w:abstractNumId w:val="23"/>
  </w:num>
  <w:num w:numId="12">
    <w:abstractNumId w:val="5"/>
  </w:num>
  <w:num w:numId="13">
    <w:abstractNumId w:val="3"/>
  </w:num>
  <w:num w:numId="14">
    <w:abstractNumId w:val="20"/>
  </w:num>
  <w:num w:numId="15">
    <w:abstractNumId w:val="22"/>
  </w:num>
  <w:num w:numId="16">
    <w:abstractNumId w:val="24"/>
  </w:num>
  <w:num w:numId="17">
    <w:abstractNumId w:val="21"/>
  </w:num>
  <w:num w:numId="18">
    <w:abstractNumId w:val="6"/>
  </w:num>
  <w:num w:numId="19">
    <w:abstractNumId w:val="12"/>
  </w:num>
  <w:num w:numId="20">
    <w:abstractNumId w:val="16"/>
  </w:num>
  <w:num w:numId="21">
    <w:abstractNumId w:val="14"/>
  </w:num>
  <w:num w:numId="22">
    <w:abstractNumId w:val="7"/>
  </w:num>
  <w:num w:numId="23">
    <w:abstractNumId w:val="8"/>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Q0NTEzNTYzsTQzNbNU0lEKTi0uzszPAykwrAUA8+/KCywAAAA="/>
  </w:docVars>
  <w:rsids>
    <w:rsidRoot w:val="00C10055"/>
    <w:rsid w:val="00011727"/>
    <w:rsid w:val="00011B8F"/>
    <w:rsid w:val="00011E4D"/>
    <w:rsid w:val="0001542C"/>
    <w:rsid w:val="00016387"/>
    <w:rsid w:val="00020859"/>
    <w:rsid w:val="00022003"/>
    <w:rsid w:val="00024C15"/>
    <w:rsid w:val="00027964"/>
    <w:rsid w:val="00036786"/>
    <w:rsid w:val="00036B98"/>
    <w:rsid w:val="00041C28"/>
    <w:rsid w:val="000465D0"/>
    <w:rsid w:val="00047843"/>
    <w:rsid w:val="00063558"/>
    <w:rsid w:val="00066B12"/>
    <w:rsid w:val="000672C8"/>
    <w:rsid w:val="00070EE9"/>
    <w:rsid w:val="00072FD8"/>
    <w:rsid w:val="00073213"/>
    <w:rsid w:val="0007338A"/>
    <w:rsid w:val="00076925"/>
    <w:rsid w:val="00076998"/>
    <w:rsid w:val="0008676E"/>
    <w:rsid w:val="0008696C"/>
    <w:rsid w:val="0008715A"/>
    <w:rsid w:val="00090FD8"/>
    <w:rsid w:val="00093804"/>
    <w:rsid w:val="00093AFE"/>
    <w:rsid w:val="000971E5"/>
    <w:rsid w:val="000A1443"/>
    <w:rsid w:val="000A767D"/>
    <w:rsid w:val="000B0314"/>
    <w:rsid w:val="000B0852"/>
    <w:rsid w:val="000B7503"/>
    <w:rsid w:val="000C0258"/>
    <w:rsid w:val="000C24B5"/>
    <w:rsid w:val="000C3127"/>
    <w:rsid w:val="000C43A6"/>
    <w:rsid w:val="000C5BCF"/>
    <w:rsid w:val="000C7F27"/>
    <w:rsid w:val="000D27C5"/>
    <w:rsid w:val="000D4DDC"/>
    <w:rsid w:val="000E02DB"/>
    <w:rsid w:val="000E3620"/>
    <w:rsid w:val="000E4F5F"/>
    <w:rsid w:val="000E53AD"/>
    <w:rsid w:val="000E653B"/>
    <w:rsid w:val="000E73F8"/>
    <w:rsid w:val="000E77B6"/>
    <w:rsid w:val="000F4183"/>
    <w:rsid w:val="000F5C87"/>
    <w:rsid w:val="000F6810"/>
    <w:rsid w:val="00111E0B"/>
    <w:rsid w:val="00112260"/>
    <w:rsid w:val="00116DB2"/>
    <w:rsid w:val="00120B7C"/>
    <w:rsid w:val="00126A52"/>
    <w:rsid w:val="0013252D"/>
    <w:rsid w:val="00141477"/>
    <w:rsid w:val="00147CE3"/>
    <w:rsid w:val="00151424"/>
    <w:rsid w:val="00152B33"/>
    <w:rsid w:val="0015343C"/>
    <w:rsid w:val="0016447E"/>
    <w:rsid w:val="00164D63"/>
    <w:rsid w:val="0016582A"/>
    <w:rsid w:val="00165853"/>
    <w:rsid w:val="00170231"/>
    <w:rsid w:val="00171298"/>
    <w:rsid w:val="0018291B"/>
    <w:rsid w:val="00190C3F"/>
    <w:rsid w:val="001A68FC"/>
    <w:rsid w:val="001B28E7"/>
    <w:rsid w:val="001C1658"/>
    <w:rsid w:val="001C5B51"/>
    <w:rsid w:val="001D1F3C"/>
    <w:rsid w:val="001D2AF7"/>
    <w:rsid w:val="001D36F9"/>
    <w:rsid w:val="001D66C4"/>
    <w:rsid w:val="001D7872"/>
    <w:rsid w:val="001E0E01"/>
    <w:rsid w:val="001E205E"/>
    <w:rsid w:val="001F0060"/>
    <w:rsid w:val="001F37CD"/>
    <w:rsid w:val="00200C51"/>
    <w:rsid w:val="00203BAB"/>
    <w:rsid w:val="0020502F"/>
    <w:rsid w:val="00205BAF"/>
    <w:rsid w:val="00215C97"/>
    <w:rsid w:val="00215D65"/>
    <w:rsid w:val="002207FC"/>
    <w:rsid w:val="00220C2F"/>
    <w:rsid w:val="0022732C"/>
    <w:rsid w:val="0023213A"/>
    <w:rsid w:val="00234D7D"/>
    <w:rsid w:val="00236678"/>
    <w:rsid w:val="00240846"/>
    <w:rsid w:val="002456CD"/>
    <w:rsid w:val="0024766C"/>
    <w:rsid w:val="00264F5C"/>
    <w:rsid w:val="00265AF0"/>
    <w:rsid w:val="00266C2A"/>
    <w:rsid w:val="00270C9D"/>
    <w:rsid w:val="002720DD"/>
    <w:rsid w:val="002769C2"/>
    <w:rsid w:val="00281499"/>
    <w:rsid w:val="002823BF"/>
    <w:rsid w:val="0028250B"/>
    <w:rsid w:val="0029048D"/>
    <w:rsid w:val="00291EBD"/>
    <w:rsid w:val="002A1910"/>
    <w:rsid w:val="002A2AE7"/>
    <w:rsid w:val="002A3AF5"/>
    <w:rsid w:val="002A4860"/>
    <w:rsid w:val="002B4091"/>
    <w:rsid w:val="002B518A"/>
    <w:rsid w:val="002D0FD2"/>
    <w:rsid w:val="002D140B"/>
    <w:rsid w:val="002E34C4"/>
    <w:rsid w:val="002E573A"/>
    <w:rsid w:val="002F1128"/>
    <w:rsid w:val="002F5618"/>
    <w:rsid w:val="002F7DD5"/>
    <w:rsid w:val="00301E6A"/>
    <w:rsid w:val="003061E7"/>
    <w:rsid w:val="00311185"/>
    <w:rsid w:val="003119DA"/>
    <w:rsid w:val="00311AB4"/>
    <w:rsid w:val="00311E67"/>
    <w:rsid w:val="00321723"/>
    <w:rsid w:val="00322E33"/>
    <w:rsid w:val="0032678D"/>
    <w:rsid w:val="00326AA0"/>
    <w:rsid w:val="003307BD"/>
    <w:rsid w:val="0033235E"/>
    <w:rsid w:val="00345391"/>
    <w:rsid w:val="003550A4"/>
    <w:rsid w:val="00361488"/>
    <w:rsid w:val="00363914"/>
    <w:rsid w:val="00363B4A"/>
    <w:rsid w:val="00365F87"/>
    <w:rsid w:val="00367E04"/>
    <w:rsid w:val="00373B73"/>
    <w:rsid w:val="0038212E"/>
    <w:rsid w:val="003835DD"/>
    <w:rsid w:val="00392CD4"/>
    <w:rsid w:val="00397553"/>
    <w:rsid w:val="003A3AC3"/>
    <w:rsid w:val="003A53D9"/>
    <w:rsid w:val="003A5D69"/>
    <w:rsid w:val="003A66DF"/>
    <w:rsid w:val="003A7241"/>
    <w:rsid w:val="003B4687"/>
    <w:rsid w:val="003B5C0E"/>
    <w:rsid w:val="003C4047"/>
    <w:rsid w:val="003D2BC0"/>
    <w:rsid w:val="003D3FE6"/>
    <w:rsid w:val="003D4F09"/>
    <w:rsid w:val="003D6F56"/>
    <w:rsid w:val="003E34B0"/>
    <w:rsid w:val="003E4346"/>
    <w:rsid w:val="003F482C"/>
    <w:rsid w:val="00401A2D"/>
    <w:rsid w:val="00402A1B"/>
    <w:rsid w:val="00404246"/>
    <w:rsid w:val="00404B87"/>
    <w:rsid w:val="0041108E"/>
    <w:rsid w:val="00416C83"/>
    <w:rsid w:val="0042330A"/>
    <w:rsid w:val="004305C4"/>
    <w:rsid w:val="0043592F"/>
    <w:rsid w:val="00445C23"/>
    <w:rsid w:val="00446E4A"/>
    <w:rsid w:val="00447061"/>
    <w:rsid w:val="004560AA"/>
    <w:rsid w:val="004577F6"/>
    <w:rsid w:val="00460889"/>
    <w:rsid w:val="00462BFD"/>
    <w:rsid w:val="0047256C"/>
    <w:rsid w:val="00477460"/>
    <w:rsid w:val="004806A2"/>
    <w:rsid w:val="00485700"/>
    <w:rsid w:val="00485985"/>
    <w:rsid w:val="0049170A"/>
    <w:rsid w:val="004926FA"/>
    <w:rsid w:val="0049483C"/>
    <w:rsid w:val="004A5394"/>
    <w:rsid w:val="004A5C32"/>
    <w:rsid w:val="004A699B"/>
    <w:rsid w:val="004B36D8"/>
    <w:rsid w:val="004B63A2"/>
    <w:rsid w:val="004B69BF"/>
    <w:rsid w:val="004C19CD"/>
    <w:rsid w:val="004C2321"/>
    <w:rsid w:val="004C2A53"/>
    <w:rsid w:val="004C719B"/>
    <w:rsid w:val="004D40EA"/>
    <w:rsid w:val="004D4F5B"/>
    <w:rsid w:val="004D5740"/>
    <w:rsid w:val="004D6476"/>
    <w:rsid w:val="004E0E69"/>
    <w:rsid w:val="00501E84"/>
    <w:rsid w:val="00504DB4"/>
    <w:rsid w:val="00505F95"/>
    <w:rsid w:val="00510357"/>
    <w:rsid w:val="005179AB"/>
    <w:rsid w:val="00523DEC"/>
    <w:rsid w:val="00523E02"/>
    <w:rsid w:val="00523FEE"/>
    <w:rsid w:val="005256A8"/>
    <w:rsid w:val="00532513"/>
    <w:rsid w:val="00542C85"/>
    <w:rsid w:val="005559CE"/>
    <w:rsid w:val="0057328D"/>
    <w:rsid w:val="00576C1B"/>
    <w:rsid w:val="0058047D"/>
    <w:rsid w:val="00582EB2"/>
    <w:rsid w:val="005832EE"/>
    <w:rsid w:val="00590E52"/>
    <w:rsid w:val="00596409"/>
    <w:rsid w:val="00597069"/>
    <w:rsid w:val="005A37EC"/>
    <w:rsid w:val="005A45BE"/>
    <w:rsid w:val="005B03EC"/>
    <w:rsid w:val="005B37F3"/>
    <w:rsid w:val="005B595F"/>
    <w:rsid w:val="005B5BE0"/>
    <w:rsid w:val="005C23B7"/>
    <w:rsid w:val="005C4319"/>
    <w:rsid w:val="005D276D"/>
    <w:rsid w:val="005D3503"/>
    <w:rsid w:val="005D69A6"/>
    <w:rsid w:val="005D7107"/>
    <w:rsid w:val="005E5D2A"/>
    <w:rsid w:val="005E74AE"/>
    <w:rsid w:val="005F455C"/>
    <w:rsid w:val="0060298E"/>
    <w:rsid w:val="00602B0E"/>
    <w:rsid w:val="006067BB"/>
    <w:rsid w:val="00615D14"/>
    <w:rsid w:val="00633650"/>
    <w:rsid w:val="00633FB5"/>
    <w:rsid w:val="00634C34"/>
    <w:rsid w:val="00644352"/>
    <w:rsid w:val="0064464C"/>
    <w:rsid w:val="006520F4"/>
    <w:rsid w:val="00653E18"/>
    <w:rsid w:val="0065664D"/>
    <w:rsid w:val="00667B8F"/>
    <w:rsid w:val="006733F4"/>
    <w:rsid w:val="00674CD6"/>
    <w:rsid w:val="006759C6"/>
    <w:rsid w:val="00676902"/>
    <w:rsid w:val="006814C7"/>
    <w:rsid w:val="006856F5"/>
    <w:rsid w:val="00686094"/>
    <w:rsid w:val="0068649D"/>
    <w:rsid w:val="006A49A7"/>
    <w:rsid w:val="006A618C"/>
    <w:rsid w:val="006A6B82"/>
    <w:rsid w:val="006B21E4"/>
    <w:rsid w:val="006B480A"/>
    <w:rsid w:val="006C076F"/>
    <w:rsid w:val="006C366E"/>
    <w:rsid w:val="006C3A04"/>
    <w:rsid w:val="006C7EC2"/>
    <w:rsid w:val="006D0BC3"/>
    <w:rsid w:val="006D311C"/>
    <w:rsid w:val="006D3A21"/>
    <w:rsid w:val="006D7746"/>
    <w:rsid w:val="006D79FC"/>
    <w:rsid w:val="006E0030"/>
    <w:rsid w:val="006E58E8"/>
    <w:rsid w:val="006E5EB4"/>
    <w:rsid w:val="006E6543"/>
    <w:rsid w:val="006F0176"/>
    <w:rsid w:val="006F4116"/>
    <w:rsid w:val="00700DEE"/>
    <w:rsid w:val="00702D79"/>
    <w:rsid w:val="00705143"/>
    <w:rsid w:val="00710737"/>
    <w:rsid w:val="00710B5F"/>
    <w:rsid w:val="0071623A"/>
    <w:rsid w:val="00723E17"/>
    <w:rsid w:val="00724A85"/>
    <w:rsid w:val="007252E2"/>
    <w:rsid w:val="00733CCA"/>
    <w:rsid w:val="00745458"/>
    <w:rsid w:val="00752838"/>
    <w:rsid w:val="007568B4"/>
    <w:rsid w:val="00760AB3"/>
    <w:rsid w:val="00766FDA"/>
    <w:rsid w:val="00767493"/>
    <w:rsid w:val="007752F7"/>
    <w:rsid w:val="00777276"/>
    <w:rsid w:val="00780076"/>
    <w:rsid w:val="00780419"/>
    <w:rsid w:val="00782B34"/>
    <w:rsid w:val="00783174"/>
    <w:rsid w:val="0079251C"/>
    <w:rsid w:val="00793ED1"/>
    <w:rsid w:val="00795F0D"/>
    <w:rsid w:val="0079735D"/>
    <w:rsid w:val="007A051A"/>
    <w:rsid w:val="007A143B"/>
    <w:rsid w:val="007B277E"/>
    <w:rsid w:val="007B2AE9"/>
    <w:rsid w:val="007B4204"/>
    <w:rsid w:val="007C0C6F"/>
    <w:rsid w:val="007C42A8"/>
    <w:rsid w:val="007C4367"/>
    <w:rsid w:val="007C5626"/>
    <w:rsid w:val="007D53DA"/>
    <w:rsid w:val="007D73AF"/>
    <w:rsid w:val="007D78D7"/>
    <w:rsid w:val="007E6C53"/>
    <w:rsid w:val="007E717E"/>
    <w:rsid w:val="007F0812"/>
    <w:rsid w:val="007F1A4D"/>
    <w:rsid w:val="007F1EEB"/>
    <w:rsid w:val="007F37AB"/>
    <w:rsid w:val="00800AA5"/>
    <w:rsid w:val="008052B2"/>
    <w:rsid w:val="00806716"/>
    <w:rsid w:val="008072CC"/>
    <w:rsid w:val="00807BEE"/>
    <w:rsid w:val="00811812"/>
    <w:rsid w:val="00811C17"/>
    <w:rsid w:val="00813BBB"/>
    <w:rsid w:val="00815952"/>
    <w:rsid w:val="0082077C"/>
    <w:rsid w:val="00821A13"/>
    <w:rsid w:val="00822530"/>
    <w:rsid w:val="008243C3"/>
    <w:rsid w:val="008313A9"/>
    <w:rsid w:val="00841B9F"/>
    <w:rsid w:val="00851114"/>
    <w:rsid w:val="0085488C"/>
    <w:rsid w:val="00854D84"/>
    <w:rsid w:val="00862970"/>
    <w:rsid w:val="00864791"/>
    <w:rsid w:val="00866901"/>
    <w:rsid w:val="00875F77"/>
    <w:rsid w:val="0088280B"/>
    <w:rsid w:val="008C52D1"/>
    <w:rsid w:val="008C62B6"/>
    <w:rsid w:val="008D3D4C"/>
    <w:rsid w:val="008E1BC7"/>
    <w:rsid w:val="008E5900"/>
    <w:rsid w:val="008E669F"/>
    <w:rsid w:val="008E7956"/>
    <w:rsid w:val="008F2705"/>
    <w:rsid w:val="008F4435"/>
    <w:rsid w:val="008F4967"/>
    <w:rsid w:val="00912258"/>
    <w:rsid w:val="009144CF"/>
    <w:rsid w:val="0091648A"/>
    <w:rsid w:val="00920B97"/>
    <w:rsid w:val="0092518F"/>
    <w:rsid w:val="00936F44"/>
    <w:rsid w:val="00944148"/>
    <w:rsid w:val="0094481E"/>
    <w:rsid w:val="00945D02"/>
    <w:rsid w:val="00945F5D"/>
    <w:rsid w:val="00953AEA"/>
    <w:rsid w:val="009621DD"/>
    <w:rsid w:val="00962463"/>
    <w:rsid w:val="0097028F"/>
    <w:rsid w:val="009727E0"/>
    <w:rsid w:val="009779FE"/>
    <w:rsid w:val="0098070E"/>
    <w:rsid w:val="009870BF"/>
    <w:rsid w:val="009918E1"/>
    <w:rsid w:val="009934EF"/>
    <w:rsid w:val="009977C6"/>
    <w:rsid w:val="009A2EB1"/>
    <w:rsid w:val="009A518B"/>
    <w:rsid w:val="009A54CD"/>
    <w:rsid w:val="009B1C99"/>
    <w:rsid w:val="009C2C56"/>
    <w:rsid w:val="009E5DCC"/>
    <w:rsid w:val="009F1DAE"/>
    <w:rsid w:val="009F6F66"/>
    <w:rsid w:val="00A00BB9"/>
    <w:rsid w:val="00A06734"/>
    <w:rsid w:val="00A06FFC"/>
    <w:rsid w:val="00A1048E"/>
    <w:rsid w:val="00A13BBE"/>
    <w:rsid w:val="00A14960"/>
    <w:rsid w:val="00A16A97"/>
    <w:rsid w:val="00A20FB8"/>
    <w:rsid w:val="00A271B5"/>
    <w:rsid w:val="00A33AF8"/>
    <w:rsid w:val="00A34E76"/>
    <w:rsid w:val="00A42620"/>
    <w:rsid w:val="00A44550"/>
    <w:rsid w:val="00A44995"/>
    <w:rsid w:val="00A462A0"/>
    <w:rsid w:val="00A46A8B"/>
    <w:rsid w:val="00A47DE0"/>
    <w:rsid w:val="00A6099E"/>
    <w:rsid w:val="00A63B61"/>
    <w:rsid w:val="00A65FF8"/>
    <w:rsid w:val="00A71C2F"/>
    <w:rsid w:val="00A7684C"/>
    <w:rsid w:val="00A77A9B"/>
    <w:rsid w:val="00A803B1"/>
    <w:rsid w:val="00A805B2"/>
    <w:rsid w:val="00A81F65"/>
    <w:rsid w:val="00A83631"/>
    <w:rsid w:val="00A84FCB"/>
    <w:rsid w:val="00A86D42"/>
    <w:rsid w:val="00A87C87"/>
    <w:rsid w:val="00A9188B"/>
    <w:rsid w:val="00A91CBA"/>
    <w:rsid w:val="00AA1175"/>
    <w:rsid w:val="00AA19AE"/>
    <w:rsid w:val="00AA5E6A"/>
    <w:rsid w:val="00AA5E82"/>
    <w:rsid w:val="00AA646D"/>
    <w:rsid w:val="00AB1B6E"/>
    <w:rsid w:val="00AB2877"/>
    <w:rsid w:val="00AB3C7F"/>
    <w:rsid w:val="00AB6B6C"/>
    <w:rsid w:val="00AC4FA7"/>
    <w:rsid w:val="00AC4FD7"/>
    <w:rsid w:val="00AC515F"/>
    <w:rsid w:val="00AC7CCD"/>
    <w:rsid w:val="00AD2620"/>
    <w:rsid w:val="00AE043B"/>
    <w:rsid w:val="00AE281F"/>
    <w:rsid w:val="00AE58C9"/>
    <w:rsid w:val="00AE615D"/>
    <w:rsid w:val="00AF1964"/>
    <w:rsid w:val="00AF5436"/>
    <w:rsid w:val="00B00430"/>
    <w:rsid w:val="00B01066"/>
    <w:rsid w:val="00B02B3A"/>
    <w:rsid w:val="00B04272"/>
    <w:rsid w:val="00B05FB9"/>
    <w:rsid w:val="00B1476C"/>
    <w:rsid w:val="00B16036"/>
    <w:rsid w:val="00B16055"/>
    <w:rsid w:val="00B16788"/>
    <w:rsid w:val="00B17629"/>
    <w:rsid w:val="00B261C8"/>
    <w:rsid w:val="00B3488D"/>
    <w:rsid w:val="00B41478"/>
    <w:rsid w:val="00B41528"/>
    <w:rsid w:val="00B423E3"/>
    <w:rsid w:val="00B43C4D"/>
    <w:rsid w:val="00B510E1"/>
    <w:rsid w:val="00B516F7"/>
    <w:rsid w:val="00B52F56"/>
    <w:rsid w:val="00B53A4C"/>
    <w:rsid w:val="00B611AE"/>
    <w:rsid w:val="00B625E3"/>
    <w:rsid w:val="00B74CEF"/>
    <w:rsid w:val="00B8019C"/>
    <w:rsid w:val="00B813AC"/>
    <w:rsid w:val="00B81F2B"/>
    <w:rsid w:val="00B82424"/>
    <w:rsid w:val="00B841E1"/>
    <w:rsid w:val="00B85B43"/>
    <w:rsid w:val="00B86C38"/>
    <w:rsid w:val="00B97DC6"/>
    <w:rsid w:val="00BA641B"/>
    <w:rsid w:val="00BB0938"/>
    <w:rsid w:val="00BB2BF5"/>
    <w:rsid w:val="00BB2E98"/>
    <w:rsid w:val="00BB327F"/>
    <w:rsid w:val="00BB75B6"/>
    <w:rsid w:val="00BB7903"/>
    <w:rsid w:val="00BC3300"/>
    <w:rsid w:val="00BC44EC"/>
    <w:rsid w:val="00BC48D3"/>
    <w:rsid w:val="00BD2E2E"/>
    <w:rsid w:val="00BD4359"/>
    <w:rsid w:val="00BD5BA0"/>
    <w:rsid w:val="00BD64AE"/>
    <w:rsid w:val="00BE435B"/>
    <w:rsid w:val="00BE5C8B"/>
    <w:rsid w:val="00BF3DA0"/>
    <w:rsid w:val="00BF5318"/>
    <w:rsid w:val="00BF59DC"/>
    <w:rsid w:val="00BF7134"/>
    <w:rsid w:val="00BF757C"/>
    <w:rsid w:val="00C00BAB"/>
    <w:rsid w:val="00C00FB0"/>
    <w:rsid w:val="00C01733"/>
    <w:rsid w:val="00C023B8"/>
    <w:rsid w:val="00C02D2F"/>
    <w:rsid w:val="00C064CB"/>
    <w:rsid w:val="00C10055"/>
    <w:rsid w:val="00C12015"/>
    <w:rsid w:val="00C25759"/>
    <w:rsid w:val="00C26C0F"/>
    <w:rsid w:val="00C278BA"/>
    <w:rsid w:val="00C34AB3"/>
    <w:rsid w:val="00C3784B"/>
    <w:rsid w:val="00C423DE"/>
    <w:rsid w:val="00C44A9F"/>
    <w:rsid w:val="00C5100B"/>
    <w:rsid w:val="00C519F1"/>
    <w:rsid w:val="00C54946"/>
    <w:rsid w:val="00C563E0"/>
    <w:rsid w:val="00C579A5"/>
    <w:rsid w:val="00C64D6E"/>
    <w:rsid w:val="00C7186F"/>
    <w:rsid w:val="00C7187C"/>
    <w:rsid w:val="00C72A9A"/>
    <w:rsid w:val="00C8587A"/>
    <w:rsid w:val="00C87CE7"/>
    <w:rsid w:val="00C916A8"/>
    <w:rsid w:val="00C9581F"/>
    <w:rsid w:val="00C96580"/>
    <w:rsid w:val="00CA143E"/>
    <w:rsid w:val="00CA3A46"/>
    <w:rsid w:val="00CA3EF4"/>
    <w:rsid w:val="00CA4375"/>
    <w:rsid w:val="00CC1446"/>
    <w:rsid w:val="00CC6CB1"/>
    <w:rsid w:val="00CD0B11"/>
    <w:rsid w:val="00CD10E4"/>
    <w:rsid w:val="00CD4B7C"/>
    <w:rsid w:val="00CE6660"/>
    <w:rsid w:val="00CF28CC"/>
    <w:rsid w:val="00CF2D2A"/>
    <w:rsid w:val="00CF2ECC"/>
    <w:rsid w:val="00CF409D"/>
    <w:rsid w:val="00CF6851"/>
    <w:rsid w:val="00D040F2"/>
    <w:rsid w:val="00D077C9"/>
    <w:rsid w:val="00D13E9E"/>
    <w:rsid w:val="00D26415"/>
    <w:rsid w:val="00D26588"/>
    <w:rsid w:val="00D27C3B"/>
    <w:rsid w:val="00D30B9E"/>
    <w:rsid w:val="00D362B3"/>
    <w:rsid w:val="00D36B3B"/>
    <w:rsid w:val="00D40648"/>
    <w:rsid w:val="00D431A6"/>
    <w:rsid w:val="00D43C65"/>
    <w:rsid w:val="00D44A31"/>
    <w:rsid w:val="00D53F2F"/>
    <w:rsid w:val="00D54786"/>
    <w:rsid w:val="00D54DD1"/>
    <w:rsid w:val="00D607FE"/>
    <w:rsid w:val="00D65A33"/>
    <w:rsid w:val="00D806AC"/>
    <w:rsid w:val="00D85B9A"/>
    <w:rsid w:val="00D87AEB"/>
    <w:rsid w:val="00D955E5"/>
    <w:rsid w:val="00D961C7"/>
    <w:rsid w:val="00DA45E6"/>
    <w:rsid w:val="00DB6307"/>
    <w:rsid w:val="00DB7461"/>
    <w:rsid w:val="00DD29C8"/>
    <w:rsid w:val="00DD3126"/>
    <w:rsid w:val="00DD6390"/>
    <w:rsid w:val="00DD7A5F"/>
    <w:rsid w:val="00DE1030"/>
    <w:rsid w:val="00DE34BB"/>
    <w:rsid w:val="00DE3EB5"/>
    <w:rsid w:val="00DE6C5A"/>
    <w:rsid w:val="00E00B90"/>
    <w:rsid w:val="00E00F83"/>
    <w:rsid w:val="00E068FE"/>
    <w:rsid w:val="00E073D6"/>
    <w:rsid w:val="00E25DD8"/>
    <w:rsid w:val="00E26A21"/>
    <w:rsid w:val="00E27AD7"/>
    <w:rsid w:val="00E30D39"/>
    <w:rsid w:val="00E35323"/>
    <w:rsid w:val="00E41054"/>
    <w:rsid w:val="00E42A3B"/>
    <w:rsid w:val="00E449BB"/>
    <w:rsid w:val="00E4603A"/>
    <w:rsid w:val="00E46BF9"/>
    <w:rsid w:val="00E46D39"/>
    <w:rsid w:val="00E46E73"/>
    <w:rsid w:val="00E5454F"/>
    <w:rsid w:val="00E56FB9"/>
    <w:rsid w:val="00E66455"/>
    <w:rsid w:val="00E76F8A"/>
    <w:rsid w:val="00E917FA"/>
    <w:rsid w:val="00E930FE"/>
    <w:rsid w:val="00E95E1A"/>
    <w:rsid w:val="00E96FA1"/>
    <w:rsid w:val="00E970D8"/>
    <w:rsid w:val="00EA20E3"/>
    <w:rsid w:val="00EB1CBB"/>
    <w:rsid w:val="00EB2CDA"/>
    <w:rsid w:val="00EB5B07"/>
    <w:rsid w:val="00EB77EB"/>
    <w:rsid w:val="00EC38EB"/>
    <w:rsid w:val="00EC4638"/>
    <w:rsid w:val="00EC5A1E"/>
    <w:rsid w:val="00EC5C51"/>
    <w:rsid w:val="00EC70DC"/>
    <w:rsid w:val="00ED57B6"/>
    <w:rsid w:val="00EF2057"/>
    <w:rsid w:val="00F00EC5"/>
    <w:rsid w:val="00F132FD"/>
    <w:rsid w:val="00F215A6"/>
    <w:rsid w:val="00F22DBF"/>
    <w:rsid w:val="00F31F8D"/>
    <w:rsid w:val="00F4361F"/>
    <w:rsid w:val="00F438F7"/>
    <w:rsid w:val="00F464FA"/>
    <w:rsid w:val="00F53A2C"/>
    <w:rsid w:val="00F6423B"/>
    <w:rsid w:val="00F64C9A"/>
    <w:rsid w:val="00F7045F"/>
    <w:rsid w:val="00F70C50"/>
    <w:rsid w:val="00F75086"/>
    <w:rsid w:val="00F77C4C"/>
    <w:rsid w:val="00F843CD"/>
    <w:rsid w:val="00F85D4E"/>
    <w:rsid w:val="00F8757E"/>
    <w:rsid w:val="00FB2347"/>
    <w:rsid w:val="00FB4A57"/>
    <w:rsid w:val="00FB5C56"/>
    <w:rsid w:val="00FB7D99"/>
    <w:rsid w:val="00FC3097"/>
    <w:rsid w:val="00FC4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BF77A1"/>
  <w15:docId w15:val="{4EB4E4BF-2E17-45EA-ABB7-90449A53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FD7"/>
    <w:pPr>
      <w:ind w:left="720"/>
      <w:contextualSpacing/>
    </w:pPr>
  </w:style>
  <w:style w:type="paragraph" w:styleId="FootnoteText">
    <w:name w:val="footnote text"/>
    <w:basedOn w:val="Normal"/>
    <w:link w:val="FootnoteTextChar"/>
    <w:uiPriority w:val="99"/>
    <w:unhideWhenUsed/>
    <w:rsid w:val="00C3784B"/>
    <w:rPr>
      <w:sz w:val="20"/>
      <w:szCs w:val="20"/>
    </w:rPr>
  </w:style>
  <w:style w:type="character" w:customStyle="1" w:styleId="FootnoteTextChar">
    <w:name w:val="Footnote Text Char"/>
    <w:basedOn w:val="DefaultParagraphFont"/>
    <w:link w:val="FootnoteText"/>
    <w:uiPriority w:val="99"/>
    <w:rsid w:val="00C3784B"/>
    <w:rPr>
      <w:sz w:val="20"/>
      <w:szCs w:val="20"/>
    </w:rPr>
  </w:style>
  <w:style w:type="character" w:styleId="FootnoteReference">
    <w:name w:val="footnote reference"/>
    <w:basedOn w:val="DefaultParagraphFont"/>
    <w:uiPriority w:val="99"/>
    <w:unhideWhenUsed/>
    <w:rsid w:val="00C3784B"/>
    <w:rPr>
      <w:vertAlign w:val="superscript"/>
    </w:rPr>
  </w:style>
  <w:style w:type="character" w:styleId="Hyperlink">
    <w:name w:val="Hyperlink"/>
    <w:basedOn w:val="DefaultParagraphFont"/>
    <w:uiPriority w:val="99"/>
    <w:unhideWhenUsed/>
    <w:rsid w:val="00B85B43"/>
    <w:rPr>
      <w:color w:val="0563C1" w:themeColor="hyperlink"/>
      <w:u w:val="single"/>
    </w:rPr>
  </w:style>
  <w:style w:type="character" w:customStyle="1" w:styleId="UnresolvedMention1">
    <w:name w:val="Unresolved Mention1"/>
    <w:basedOn w:val="DefaultParagraphFont"/>
    <w:uiPriority w:val="99"/>
    <w:semiHidden/>
    <w:unhideWhenUsed/>
    <w:rsid w:val="00B85B43"/>
    <w:rPr>
      <w:color w:val="605E5C"/>
      <w:shd w:val="clear" w:color="auto" w:fill="E1DFDD"/>
    </w:rPr>
  </w:style>
  <w:style w:type="paragraph" w:styleId="Footer">
    <w:name w:val="footer"/>
    <w:basedOn w:val="Normal"/>
    <w:link w:val="FooterChar"/>
    <w:uiPriority w:val="99"/>
    <w:unhideWhenUsed/>
    <w:rsid w:val="00E00F83"/>
    <w:pPr>
      <w:tabs>
        <w:tab w:val="center" w:pos="4680"/>
        <w:tab w:val="right" w:pos="9360"/>
      </w:tabs>
    </w:pPr>
  </w:style>
  <w:style w:type="character" w:customStyle="1" w:styleId="FooterChar">
    <w:name w:val="Footer Char"/>
    <w:basedOn w:val="DefaultParagraphFont"/>
    <w:link w:val="Footer"/>
    <w:uiPriority w:val="99"/>
    <w:rsid w:val="00E00F83"/>
  </w:style>
  <w:style w:type="character" w:styleId="PageNumber">
    <w:name w:val="page number"/>
    <w:basedOn w:val="DefaultParagraphFont"/>
    <w:uiPriority w:val="99"/>
    <w:semiHidden/>
    <w:unhideWhenUsed/>
    <w:rsid w:val="00E00F83"/>
  </w:style>
  <w:style w:type="paragraph" w:styleId="NormalWeb">
    <w:name w:val="Normal (Web)"/>
    <w:basedOn w:val="Normal"/>
    <w:uiPriority w:val="99"/>
    <w:semiHidden/>
    <w:unhideWhenUsed/>
    <w:rsid w:val="006C076F"/>
    <w:pPr>
      <w:spacing w:before="100" w:beforeAutospacing="1" w:after="100" w:afterAutospacing="1"/>
    </w:pPr>
    <w:rPr>
      <w:rFonts w:eastAsia="Times New Roman"/>
    </w:rPr>
  </w:style>
  <w:style w:type="paragraph" w:styleId="Caption">
    <w:name w:val="caption"/>
    <w:basedOn w:val="Normal"/>
    <w:next w:val="Normal"/>
    <w:uiPriority w:val="35"/>
    <w:unhideWhenUsed/>
    <w:qFormat/>
    <w:rsid w:val="00BB2BF5"/>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0B75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503"/>
    <w:rPr>
      <w:rFonts w:ascii="Segoe UI" w:hAnsi="Segoe UI" w:cs="Segoe UI"/>
      <w:sz w:val="18"/>
      <w:szCs w:val="18"/>
    </w:rPr>
  </w:style>
  <w:style w:type="character" w:styleId="CommentReference">
    <w:name w:val="annotation reference"/>
    <w:basedOn w:val="DefaultParagraphFont"/>
    <w:uiPriority w:val="99"/>
    <w:semiHidden/>
    <w:unhideWhenUsed/>
    <w:rsid w:val="00854D84"/>
    <w:rPr>
      <w:sz w:val="16"/>
      <w:szCs w:val="16"/>
    </w:rPr>
  </w:style>
  <w:style w:type="paragraph" w:styleId="CommentText">
    <w:name w:val="annotation text"/>
    <w:basedOn w:val="Normal"/>
    <w:link w:val="CommentTextChar"/>
    <w:uiPriority w:val="99"/>
    <w:unhideWhenUsed/>
    <w:rsid w:val="00854D84"/>
    <w:rPr>
      <w:sz w:val="20"/>
      <w:szCs w:val="20"/>
    </w:rPr>
  </w:style>
  <w:style w:type="character" w:customStyle="1" w:styleId="CommentTextChar">
    <w:name w:val="Comment Text Char"/>
    <w:basedOn w:val="DefaultParagraphFont"/>
    <w:link w:val="CommentText"/>
    <w:uiPriority w:val="99"/>
    <w:rsid w:val="00854D84"/>
    <w:rPr>
      <w:sz w:val="20"/>
      <w:szCs w:val="20"/>
    </w:rPr>
  </w:style>
  <w:style w:type="paragraph" w:styleId="CommentSubject">
    <w:name w:val="annotation subject"/>
    <w:basedOn w:val="CommentText"/>
    <w:next w:val="CommentText"/>
    <w:link w:val="CommentSubjectChar"/>
    <w:uiPriority w:val="99"/>
    <w:semiHidden/>
    <w:unhideWhenUsed/>
    <w:rsid w:val="00854D84"/>
    <w:rPr>
      <w:b/>
      <w:bCs/>
    </w:rPr>
  </w:style>
  <w:style w:type="character" w:customStyle="1" w:styleId="CommentSubjectChar">
    <w:name w:val="Comment Subject Char"/>
    <w:basedOn w:val="CommentTextChar"/>
    <w:link w:val="CommentSubject"/>
    <w:uiPriority w:val="99"/>
    <w:semiHidden/>
    <w:rsid w:val="00854D84"/>
    <w:rPr>
      <w:b/>
      <w:bCs/>
      <w:sz w:val="20"/>
      <w:szCs w:val="20"/>
    </w:rPr>
  </w:style>
  <w:style w:type="character" w:customStyle="1" w:styleId="UnresolvedMention2">
    <w:name w:val="Unresolved Mention2"/>
    <w:basedOn w:val="DefaultParagraphFont"/>
    <w:uiPriority w:val="99"/>
    <w:semiHidden/>
    <w:unhideWhenUsed/>
    <w:rsid w:val="00111E0B"/>
    <w:rPr>
      <w:color w:val="808080"/>
      <w:shd w:val="clear" w:color="auto" w:fill="E6E6E6"/>
    </w:rPr>
  </w:style>
  <w:style w:type="character" w:styleId="FollowedHyperlink">
    <w:name w:val="FollowedHyperlink"/>
    <w:basedOn w:val="DefaultParagraphFont"/>
    <w:uiPriority w:val="99"/>
    <w:semiHidden/>
    <w:unhideWhenUsed/>
    <w:rsid w:val="00111E0B"/>
    <w:rPr>
      <w:color w:val="954F72" w:themeColor="followedHyperlink"/>
      <w:u w:val="single"/>
    </w:rPr>
  </w:style>
  <w:style w:type="character" w:customStyle="1" w:styleId="UnresolvedMention3">
    <w:name w:val="Unresolved Mention3"/>
    <w:basedOn w:val="DefaultParagraphFont"/>
    <w:uiPriority w:val="99"/>
    <w:semiHidden/>
    <w:unhideWhenUsed/>
    <w:rsid w:val="00147CE3"/>
    <w:rPr>
      <w:color w:val="605E5C"/>
      <w:shd w:val="clear" w:color="auto" w:fill="E1DFDD"/>
    </w:rPr>
  </w:style>
  <w:style w:type="paragraph" w:styleId="Header">
    <w:name w:val="header"/>
    <w:basedOn w:val="Normal"/>
    <w:link w:val="HeaderChar"/>
    <w:uiPriority w:val="99"/>
    <w:unhideWhenUsed/>
    <w:rsid w:val="00F8757E"/>
    <w:pPr>
      <w:tabs>
        <w:tab w:val="center" w:pos="4513"/>
        <w:tab w:val="right" w:pos="9026"/>
      </w:tabs>
    </w:pPr>
  </w:style>
  <w:style w:type="character" w:customStyle="1" w:styleId="HeaderChar">
    <w:name w:val="Header Char"/>
    <w:basedOn w:val="DefaultParagraphFont"/>
    <w:link w:val="Header"/>
    <w:uiPriority w:val="99"/>
    <w:rsid w:val="00F87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059401">
      <w:bodyDiv w:val="1"/>
      <w:marLeft w:val="0"/>
      <w:marRight w:val="0"/>
      <w:marTop w:val="0"/>
      <w:marBottom w:val="0"/>
      <w:divBdr>
        <w:top w:val="none" w:sz="0" w:space="0" w:color="auto"/>
        <w:left w:val="none" w:sz="0" w:space="0" w:color="auto"/>
        <w:bottom w:val="none" w:sz="0" w:space="0" w:color="auto"/>
        <w:right w:val="none" w:sz="0" w:space="0" w:color="auto"/>
      </w:divBdr>
    </w:div>
    <w:div w:id="986662159">
      <w:bodyDiv w:val="1"/>
      <w:marLeft w:val="0"/>
      <w:marRight w:val="0"/>
      <w:marTop w:val="0"/>
      <w:marBottom w:val="0"/>
      <w:divBdr>
        <w:top w:val="none" w:sz="0" w:space="0" w:color="auto"/>
        <w:left w:val="none" w:sz="0" w:space="0" w:color="auto"/>
        <w:bottom w:val="none" w:sz="0" w:space="0" w:color="auto"/>
        <w:right w:val="none" w:sz="0" w:space="0" w:color="auto"/>
      </w:divBdr>
      <w:divsChild>
        <w:div w:id="1740205230">
          <w:marLeft w:val="0"/>
          <w:marRight w:val="0"/>
          <w:marTop w:val="0"/>
          <w:marBottom w:val="0"/>
          <w:divBdr>
            <w:top w:val="none" w:sz="0" w:space="0" w:color="auto"/>
            <w:left w:val="none" w:sz="0" w:space="0" w:color="auto"/>
            <w:bottom w:val="none" w:sz="0" w:space="0" w:color="auto"/>
            <w:right w:val="none" w:sz="0" w:space="0" w:color="auto"/>
          </w:divBdr>
        </w:div>
        <w:div w:id="2051683477">
          <w:marLeft w:val="0"/>
          <w:marRight w:val="0"/>
          <w:marTop w:val="0"/>
          <w:marBottom w:val="0"/>
          <w:divBdr>
            <w:top w:val="none" w:sz="0" w:space="0" w:color="auto"/>
            <w:left w:val="none" w:sz="0" w:space="0" w:color="auto"/>
            <w:bottom w:val="none" w:sz="0" w:space="0" w:color="auto"/>
            <w:right w:val="none" w:sz="0" w:space="0" w:color="auto"/>
          </w:divBdr>
        </w:div>
        <w:div w:id="1099715566">
          <w:marLeft w:val="0"/>
          <w:marRight w:val="0"/>
          <w:marTop w:val="0"/>
          <w:marBottom w:val="0"/>
          <w:divBdr>
            <w:top w:val="none" w:sz="0" w:space="0" w:color="auto"/>
            <w:left w:val="none" w:sz="0" w:space="0" w:color="auto"/>
            <w:bottom w:val="none" w:sz="0" w:space="0" w:color="auto"/>
            <w:right w:val="none" w:sz="0" w:space="0" w:color="auto"/>
          </w:divBdr>
        </w:div>
        <w:div w:id="1672563219">
          <w:marLeft w:val="0"/>
          <w:marRight w:val="0"/>
          <w:marTop w:val="0"/>
          <w:marBottom w:val="0"/>
          <w:divBdr>
            <w:top w:val="none" w:sz="0" w:space="0" w:color="auto"/>
            <w:left w:val="none" w:sz="0" w:space="0" w:color="auto"/>
            <w:bottom w:val="none" w:sz="0" w:space="0" w:color="auto"/>
            <w:right w:val="none" w:sz="0" w:space="0" w:color="auto"/>
          </w:divBdr>
        </w:div>
        <w:div w:id="1392582431">
          <w:marLeft w:val="0"/>
          <w:marRight w:val="0"/>
          <w:marTop w:val="0"/>
          <w:marBottom w:val="0"/>
          <w:divBdr>
            <w:top w:val="none" w:sz="0" w:space="0" w:color="auto"/>
            <w:left w:val="none" w:sz="0" w:space="0" w:color="auto"/>
            <w:bottom w:val="none" w:sz="0" w:space="0" w:color="auto"/>
            <w:right w:val="none" w:sz="0" w:space="0" w:color="auto"/>
          </w:divBdr>
        </w:div>
        <w:div w:id="1738430136">
          <w:marLeft w:val="0"/>
          <w:marRight w:val="0"/>
          <w:marTop w:val="0"/>
          <w:marBottom w:val="0"/>
          <w:divBdr>
            <w:top w:val="none" w:sz="0" w:space="0" w:color="auto"/>
            <w:left w:val="none" w:sz="0" w:space="0" w:color="auto"/>
            <w:bottom w:val="none" w:sz="0" w:space="0" w:color="auto"/>
            <w:right w:val="none" w:sz="0" w:space="0" w:color="auto"/>
          </w:divBdr>
        </w:div>
        <w:div w:id="1863401613">
          <w:marLeft w:val="0"/>
          <w:marRight w:val="0"/>
          <w:marTop w:val="0"/>
          <w:marBottom w:val="0"/>
          <w:divBdr>
            <w:top w:val="none" w:sz="0" w:space="0" w:color="auto"/>
            <w:left w:val="none" w:sz="0" w:space="0" w:color="auto"/>
            <w:bottom w:val="none" w:sz="0" w:space="0" w:color="auto"/>
            <w:right w:val="none" w:sz="0" w:space="0" w:color="auto"/>
          </w:divBdr>
        </w:div>
        <w:div w:id="221066322">
          <w:marLeft w:val="0"/>
          <w:marRight w:val="0"/>
          <w:marTop w:val="0"/>
          <w:marBottom w:val="0"/>
          <w:divBdr>
            <w:top w:val="none" w:sz="0" w:space="0" w:color="auto"/>
            <w:left w:val="none" w:sz="0" w:space="0" w:color="auto"/>
            <w:bottom w:val="none" w:sz="0" w:space="0" w:color="auto"/>
            <w:right w:val="none" w:sz="0" w:space="0" w:color="auto"/>
          </w:divBdr>
        </w:div>
        <w:div w:id="1032151179">
          <w:marLeft w:val="0"/>
          <w:marRight w:val="0"/>
          <w:marTop w:val="0"/>
          <w:marBottom w:val="0"/>
          <w:divBdr>
            <w:top w:val="none" w:sz="0" w:space="0" w:color="auto"/>
            <w:left w:val="none" w:sz="0" w:space="0" w:color="auto"/>
            <w:bottom w:val="none" w:sz="0" w:space="0" w:color="auto"/>
            <w:right w:val="none" w:sz="0" w:space="0" w:color="auto"/>
          </w:divBdr>
        </w:div>
        <w:div w:id="1475953811">
          <w:marLeft w:val="0"/>
          <w:marRight w:val="0"/>
          <w:marTop w:val="0"/>
          <w:marBottom w:val="0"/>
          <w:divBdr>
            <w:top w:val="none" w:sz="0" w:space="0" w:color="auto"/>
            <w:left w:val="none" w:sz="0" w:space="0" w:color="auto"/>
            <w:bottom w:val="none" w:sz="0" w:space="0" w:color="auto"/>
            <w:right w:val="none" w:sz="0" w:space="0" w:color="auto"/>
          </w:divBdr>
        </w:div>
        <w:div w:id="1674717416">
          <w:marLeft w:val="0"/>
          <w:marRight w:val="0"/>
          <w:marTop w:val="0"/>
          <w:marBottom w:val="0"/>
          <w:divBdr>
            <w:top w:val="none" w:sz="0" w:space="0" w:color="auto"/>
            <w:left w:val="none" w:sz="0" w:space="0" w:color="auto"/>
            <w:bottom w:val="none" w:sz="0" w:space="0" w:color="auto"/>
            <w:right w:val="none" w:sz="0" w:space="0" w:color="auto"/>
          </w:divBdr>
        </w:div>
        <w:div w:id="1818301434">
          <w:marLeft w:val="0"/>
          <w:marRight w:val="0"/>
          <w:marTop w:val="0"/>
          <w:marBottom w:val="0"/>
          <w:divBdr>
            <w:top w:val="none" w:sz="0" w:space="0" w:color="auto"/>
            <w:left w:val="none" w:sz="0" w:space="0" w:color="auto"/>
            <w:bottom w:val="none" w:sz="0" w:space="0" w:color="auto"/>
            <w:right w:val="none" w:sz="0" w:space="0" w:color="auto"/>
          </w:divBdr>
        </w:div>
        <w:div w:id="1578320679">
          <w:marLeft w:val="0"/>
          <w:marRight w:val="0"/>
          <w:marTop w:val="0"/>
          <w:marBottom w:val="0"/>
          <w:divBdr>
            <w:top w:val="none" w:sz="0" w:space="0" w:color="auto"/>
            <w:left w:val="none" w:sz="0" w:space="0" w:color="auto"/>
            <w:bottom w:val="none" w:sz="0" w:space="0" w:color="auto"/>
            <w:right w:val="none" w:sz="0" w:space="0" w:color="auto"/>
          </w:divBdr>
        </w:div>
        <w:div w:id="979462948">
          <w:marLeft w:val="0"/>
          <w:marRight w:val="0"/>
          <w:marTop w:val="0"/>
          <w:marBottom w:val="0"/>
          <w:divBdr>
            <w:top w:val="none" w:sz="0" w:space="0" w:color="auto"/>
            <w:left w:val="none" w:sz="0" w:space="0" w:color="auto"/>
            <w:bottom w:val="none" w:sz="0" w:space="0" w:color="auto"/>
            <w:right w:val="none" w:sz="0" w:space="0" w:color="auto"/>
          </w:divBdr>
        </w:div>
        <w:div w:id="1850826293">
          <w:marLeft w:val="0"/>
          <w:marRight w:val="0"/>
          <w:marTop w:val="0"/>
          <w:marBottom w:val="0"/>
          <w:divBdr>
            <w:top w:val="none" w:sz="0" w:space="0" w:color="auto"/>
            <w:left w:val="none" w:sz="0" w:space="0" w:color="auto"/>
            <w:bottom w:val="none" w:sz="0" w:space="0" w:color="auto"/>
            <w:right w:val="none" w:sz="0" w:space="0" w:color="auto"/>
          </w:divBdr>
        </w:div>
        <w:div w:id="886337990">
          <w:marLeft w:val="0"/>
          <w:marRight w:val="0"/>
          <w:marTop w:val="0"/>
          <w:marBottom w:val="0"/>
          <w:divBdr>
            <w:top w:val="none" w:sz="0" w:space="0" w:color="auto"/>
            <w:left w:val="none" w:sz="0" w:space="0" w:color="auto"/>
            <w:bottom w:val="none" w:sz="0" w:space="0" w:color="auto"/>
            <w:right w:val="none" w:sz="0" w:space="0" w:color="auto"/>
          </w:divBdr>
        </w:div>
        <w:div w:id="1771509349">
          <w:marLeft w:val="0"/>
          <w:marRight w:val="0"/>
          <w:marTop w:val="0"/>
          <w:marBottom w:val="0"/>
          <w:divBdr>
            <w:top w:val="none" w:sz="0" w:space="0" w:color="auto"/>
            <w:left w:val="none" w:sz="0" w:space="0" w:color="auto"/>
            <w:bottom w:val="none" w:sz="0" w:space="0" w:color="auto"/>
            <w:right w:val="none" w:sz="0" w:space="0" w:color="auto"/>
          </w:divBdr>
        </w:div>
        <w:div w:id="841747605">
          <w:marLeft w:val="0"/>
          <w:marRight w:val="0"/>
          <w:marTop w:val="0"/>
          <w:marBottom w:val="0"/>
          <w:divBdr>
            <w:top w:val="none" w:sz="0" w:space="0" w:color="auto"/>
            <w:left w:val="none" w:sz="0" w:space="0" w:color="auto"/>
            <w:bottom w:val="none" w:sz="0" w:space="0" w:color="auto"/>
            <w:right w:val="none" w:sz="0" w:space="0" w:color="auto"/>
          </w:divBdr>
        </w:div>
        <w:div w:id="1285229953">
          <w:marLeft w:val="0"/>
          <w:marRight w:val="0"/>
          <w:marTop w:val="0"/>
          <w:marBottom w:val="0"/>
          <w:divBdr>
            <w:top w:val="none" w:sz="0" w:space="0" w:color="auto"/>
            <w:left w:val="none" w:sz="0" w:space="0" w:color="auto"/>
            <w:bottom w:val="none" w:sz="0" w:space="0" w:color="auto"/>
            <w:right w:val="none" w:sz="0" w:space="0" w:color="auto"/>
          </w:divBdr>
        </w:div>
        <w:div w:id="675690322">
          <w:marLeft w:val="0"/>
          <w:marRight w:val="0"/>
          <w:marTop w:val="0"/>
          <w:marBottom w:val="0"/>
          <w:divBdr>
            <w:top w:val="none" w:sz="0" w:space="0" w:color="auto"/>
            <w:left w:val="none" w:sz="0" w:space="0" w:color="auto"/>
            <w:bottom w:val="none" w:sz="0" w:space="0" w:color="auto"/>
            <w:right w:val="none" w:sz="0" w:space="0" w:color="auto"/>
          </w:divBdr>
        </w:div>
        <w:div w:id="1623030499">
          <w:marLeft w:val="0"/>
          <w:marRight w:val="0"/>
          <w:marTop w:val="0"/>
          <w:marBottom w:val="0"/>
          <w:divBdr>
            <w:top w:val="none" w:sz="0" w:space="0" w:color="auto"/>
            <w:left w:val="none" w:sz="0" w:space="0" w:color="auto"/>
            <w:bottom w:val="none" w:sz="0" w:space="0" w:color="auto"/>
            <w:right w:val="none" w:sz="0" w:space="0" w:color="auto"/>
          </w:divBdr>
        </w:div>
        <w:div w:id="224489331">
          <w:marLeft w:val="0"/>
          <w:marRight w:val="0"/>
          <w:marTop w:val="0"/>
          <w:marBottom w:val="0"/>
          <w:divBdr>
            <w:top w:val="none" w:sz="0" w:space="0" w:color="auto"/>
            <w:left w:val="none" w:sz="0" w:space="0" w:color="auto"/>
            <w:bottom w:val="none" w:sz="0" w:space="0" w:color="auto"/>
            <w:right w:val="none" w:sz="0" w:space="0" w:color="auto"/>
          </w:divBdr>
        </w:div>
        <w:div w:id="795836090">
          <w:marLeft w:val="0"/>
          <w:marRight w:val="0"/>
          <w:marTop w:val="0"/>
          <w:marBottom w:val="0"/>
          <w:divBdr>
            <w:top w:val="none" w:sz="0" w:space="0" w:color="auto"/>
            <w:left w:val="none" w:sz="0" w:space="0" w:color="auto"/>
            <w:bottom w:val="none" w:sz="0" w:space="0" w:color="auto"/>
            <w:right w:val="none" w:sz="0" w:space="0" w:color="auto"/>
          </w:divBdr>
        </w:div>
        <w:div w:id="1309240034">
          <w:marLeft w:val="0"/>
          <w:marRight w:val="0"/>
          <w:marTop w:val="0"/>
          <w:marBottom w:val="0"/>
          <w:divBdr>
            <w:top w:val="none" w:sz="0" w:space="0" w:color="auto"/>
            <w:left w:val="none" w:sz="0" w:space="0" w:color="auto"/>
            <w:bottom w:val="none" w:sz="0" w:space="0" w:color="auto"/>
            <w:right w:val="none" w:sz="0" w:space="0" w:color="auto"/>
          </w:divBdr>
        </w:div>
        <w:div w:id="50927918">
          <w:marLeft w:val="0"/>
          <w:marRight w:val="0"/>
          <w:marTop w:val="0"/>
          <w:marBottom w:val="0"/>
          <w:divBdr>
            <w:top w:val="none" w:sz="0" w:space="0" w:color="auto"/>
            <w:left w:val="none" w:sz="0" w:space="0" w:color="auto"/>
            <w:bottom w:val="none" w:sz="0" w:space="0" w:color="auto"/>
            <w:right w:val="none" w:sz="0" w:space="0" w:color="auto"/>
          </w:divBdr>
        </w:div>
        <w:div w:id="62870334">
          <w:marLeft w:val="0"/>
          <w:marRight w:val="0"/>
          <w:marTop w:val="0"/>
          <w:marBottom w:val="0"/>
          <w:divBdr>
            <w:top w:val="none" w:sz="0" w:space="0" w:color="auto"/>
            <w:left w:val="none" w:sz="0" w:space="0" w:color="auto"/>
            <w:bottom w:val="none" w:sz="0" w:space="0" w:color="auto"/>
            <w:right w:val="none" w:sz="0" w:space="0" w:color="auto"/>
          </w:divBdr>
        </w:div>
        <w:div w:id="328142157">
          <w:marLeft w:val="0"/>
          <w:marRight w:val="0"/>
          <w:marTop w:val="0"/>
          <w:marBottom w:val="0"/>
          <w:divBdr>
            <w:top w:val="none" w:sz="0" w:space="0" w:color="auto"/>
            <w:left w:val="none" w:sz="0" w:space="0" w:color="auto"/>
            <w:bottom w:val="none" w:sz="0" w:space="0" w:color="auto"/>
            <w:right w:val="none" w:sz="0" w:space="0" w:color="auto"/>
          </w:divBdr>
        </w:div>
        <w:div w:id="1072237386">
          <w:marLeft w:val="0"/>
          <w:marRight w:val="0"/>
          <w:marTop w:val="0"/>
          <w:marBottom w:val="0"/>
          <w:divBdr>
            <w:top w:val="none" w:sz="0" w:space="0" w:color="auto"/>
            <w:left w:val="none" w:sz="0" w:space="0" w:color="auto"/>
            <w:bottom w:val="none" w:sz="0" w:space="0" w:color="auto"/>
            <w:right w:val="none" w:sz="0" w:space="0" w:color="auto"/>
          </w:divBdr>
        </w:div>
        <w:div w:id="502010427">
          <w:marLeft w:val="0"/>
          <w:marRight w:val="0"/>
          <w:marTop w:val="0"/>
          <w:marBottom w:val="0"/>
          <w:divBdr>
            <w:top w:val="none" w:sz="0" w:space="0" w:color="auto"/>
            <w:left w:val="none" w:sz="0" w:space="0" w:color="auto"/>
            <w:bottom w:val="none" w:sz="0" w:space="0" w:color="auto"/>
            <w:right w:val="none" w:sz="0" w:space="0" w:color="auto"/>
          </w:divBdr>
        </w:div>
        <w:div w:id="1954707920">
          <w:marLeft w:val="0"/>
          <w:marRight w:val="0"/>
          <w:marTop w:val="0"/>
          <w:marBottom w:val="0"/>
          <w:divBdr>
            <w:top w:val="none" w:sz="0" w:space="0" w:color="auto"/>
            <w:left w:val="none" w:sz="0" w:space="0" w:color="auto"/>
            <w:bottom w:val="none" w:sz="0" w:space="0" w:color="auto"/>
            <w:right w:val="none" w:sz="0" w:space="0" w:color="auto"/>
          </w:divBdr>
        </w:div>
        <w:div w:id="1313369697">
          <w:marLeft w:val="0"/>
          <w:marRight w:val="0"/>
          <w:marTop w:val="0"/>
          <w:marBottom w:val="0"/>
          <w:divBdr>
            <w:top w:val="none" w:sz="0" w:space="0" w:color="auto"/>
            <w:left w:val="none" w:sz="0" w:space="0" w:color="auto"/>
            <w:bottom w:val="none" w:sz="0" w:space="0" w:color="auto"/>
            <w:right w:val="none" w:sz="0" w:space="0" w:color="auto"/>
          </w:divBdr>
        </w:div>
        <w:div w:id="942497936">
          <w:marLeft w:val="0"/>
          <w:marRight w:val="0"/>
          <w:marTop w:val="0"/>
          <w:marBottom w:val="0"/>
          <w:divBdr>
            <w:top w:val="none" w:sz="0" w:space="0" w:color="auto"/>
            <w:left w:val="none" w:sz="0" w:space="0" w:color="auto"/>
            <w:bottom w:val="none" w:sz="0" w:space="0" w:color="auto"/>
            <w:right w:val="none" w:sz="0" w:space="0" w:color="auto"/>
          </w:divBdr>
        </w:div>
        <w:div w:id="274680342">
          <w:marLeft w:val="0"/>
          <w:marRight w:val="0"/>
          <w:marTop w:val="0"/>
          <w:marBottom w:val="0"/>
          <w:divBdr>
            <w:top w:val="none" w:sz="0" w:space="0" w:color="auto"/>
            <w:left w:val="none" w:sz="0" w:space="0" w:color="auto"/>
            <w:bottom w:val="none" w:sz="0" w:space="0" w:color="auto"/>
            <w:right w:val="none" w:sz="0" w:space="0" w:color="auto"/>
          </w:divBdr>
        </w:div>
        <w:div w:id="1468550091">
          <w:marLeft w:val="0"/>
          <w:marRight w:val="0"/>
          <w:marTop w:val="0"/>
          <w:marBottom w:val="0"/>
          <w:divBdr>
            <w:top w:val="none" w:sz="0" w:space="0" w:color="auto"/>
            <w:left w:val="none" w:sz="0" w:space="0" w:color="auto"/>
            <w:bottom w:val="none" w:sz="0" w:space="0" w:color="auto"/>
            <w:right w:val="none" w:sz="0" w:space="0" w:color="auto"/>
          </w:divBdr>
        </w:div>
        <w:div w:id="1117262051">
          <w:marLeft w:val="0"/>
          <w:marRight w:val="0"/>
          <w:marTop w:val="0"/>
          <w:marBottom w:val="0"/>
          <w:divBdr>
            <w:top w:val="none" w:sz="0" w:space="0" w:color="auto"/>
            <w:left w:val="none" w:sz="0" w:space="0" w:color="auto"/>
            <w:bottom w:val="none" w:sz="0" w:space="0" w:color="auto"/>
            <w:right w:val="none" w:sz="0" w:space="0" w:color="auto"/>
          </w:divBdr>
        </w:div>
        <w:div w:id="1669286402">
          <w:marLeft w:val="0"/>
          <w:marRight w:val="0"/>
          <w:marTop w:val="0"/>
          <w:marBottom w:val="0"/>
          <w:divBdr>
            <w:top w:val="none" w:sz="0" w:space="0" w:color="auto"/>
            <w:left w:val="none" w:sz="0" w:space="0" w:color="auto"/>
            <w:bottom w:val="none" w:sz="0" w:space="0" w:color="auto"/>
            <w:right w:val="none" w:sz="0" w:space="0" w:color="auto"/>
          </w:divBdr>
        </w:div>
        <w:div w:id="1381831142">
          <w:marLeft w:val="0"/>
          <w:marRight w:val="0"/>
          <w:marTop w:val="0"/>
          <w:marBottom w:val="0"/>
          <w:divBdr>
            <w:top w:val="none" w:sz="0" w:space="0" w:color="auto"/>
            <w:left w:val="none" w:sz="0" w:space="0" w:color="auto"/>
            <w:bottom w:val="none" w:sz="0" w:space="0" w:color="auto"/>
            <w:right w:val="none" w:sz="0" w:space="0" w:color="auto"/>
          </w:divBdr>
        </w:div>
        <w:div w:id="908078133">
          <w:marLeft w:val="0"/>
          <w:marRight w:val="0"/>
          <w:marTop w:val="0"/>
          <w:marBottom w:val="0"/>
          <w:divBdr>
            <w:top w:val="none" w:sz="0" w:space="0" w:color="auto"/>
            <w:left w:val="none" w:sz="0" w:space="0" w:color="auto"/>
            <w:bottom w:val="none" w:sz="0" w:space="0" w:color="auto"/>
            <w:right w:val="none" w:sz="0" w:space="0" w:color="auto"/>
          </w:divBdr>
        </w:div>
        <w:div w:id="268007725">
          <w:marLeft w:val="0"/>
          <w:marRight w:val="0"/>
          <w:marTop w:val="0"/>
          <w:marBottom w:val="0"/>
          <w:divBdr>
            <w:top w:val="none" w:sz="0" w:space="0" w:color="auto"/>
            <w:left w:val="none" w:sz="0" w:space="0" w:color="auto"/>
            <w:bottom w:val="none" w:sz="0" w:space="0" w:color="auto"/>
            <w:right w:val="none" w:sz="0" w:space="0" w:color="auto"/>
          </w:divBdr>
        </w:div>
        <w:div w:id="1578661874">
          <w:marLeft w:val="0"/>
          <w:marRight w:val="0"/>
          <w:marTop w:val="0"/>
          <w:marBottom w:val="0"/>
          <w:divBdr>
            <w:top w:val="none" w:sz="0" w:space="0" w:color="auto"/>
            <w:left w:val="none" w:sz="0" w:space="0" w:color="auto"/>
            <w:bottom w:val="none" w:sz="0" w:space="0" w:color="auto"/>
            <w:right w:val="none" w:sz="0" w:space="0" w:color="auto"/>
          </w:divBdr>
        </w:div>
        <w:div w:id="487719696">
          <w:marLeft w:val="0"/>
          <w:marRight w:val="0"/>
          <w:marTop w:val="0"/>
          <w:marBottom w:val="0"/>
          <w:divBdr>
            <w:top w:val="none" w:sz="0" w:space="0" w:color="auto"/>
            <w:left w:val="none" w:sz="0" w:space="0" w:color="auto"/>
            <w:bottom w:val="none" w:sz="0" w:space="0" w:color="auto"/>
            <w:right w:val="none" w:sz="0" w:space="0" w:color="auto"/>
          </w:divBdr>
        </w:div>
        <w:div w:id="1950159745">
          <w:marLeft w:val="0"/>
          <w:marRight w:val="0"/>
          <w:marTop w:val="0"/>
          <w:marBottom w:val="0"/>
          <w:divBdr>
            <w:top w:val="none" w:sz="0" w:space="0" w:color="auto"/>
            <w:left w:val="none" w:sz="0" w:space="0" w:color="auto"/>
            <w:bottom w:val="none" w:sz="0" w:space="0" w:color="auto"/>
            <w:right w:val="none" w:sz="0" w:space="0" w:color="auto"/>
          </w:divBdr>
        </w:div>
        <w:div w:id="1228032005">
          <w:marLeft w:val="0"/>
          <w:marRight w:val="0"/>
          <w:marTop w:val="0"/>
          <w:marBottom w:val="0"/>
          <w:divBdr>
            <w:top w:val="none" w:sz="0" w:space="0" w:color="auto"/>
            <w:left w:val="none" w:sz="0" w:space="0" w:color="auto"/>
            <w:bottom w:val="none" w:sz="0" w:space="0" w:color="auto"/>
            <w:right w:val="none" w:sz="0" w:space="0" w:color="auto"/>
          </w:divBdr>
        </w:div>
        <w:div w:id="1513323">
          <w:marLeft w:val="0"/>
          <w:marRight w:val="0"/>
          <w:marTop w:val="0"/>
          <w:marBottom w:val="0"/>
          <w:divBdr>
            <w:top w:val="none" w:sz="0" w:space="0" w:color="auto"/>
            <w:left w:val="none" w:sz="0" w:space="0" w:color="auto"/>
            <w:bottom w:val="none" w:sz="0" w:space="0" w:color="auto"/>
            <w:right w:val="none" w:sz="0" w:space="0" w:color="auto"/>
          </w:divBdr>
        </w:div>
        <w:div w:id="1868790796">
          <w:marLeft w:val="0"/>
          <w:marRight w:val="0"/>
          <w:marTop w:val="0"/>
          <w:marBottom w:val="0"/>
          <w:divBdr>
            <w:top w:val="none" w:sz="0" w:space="0" w:color="auto"/>
            <w:left w:val="none" w:sz="0" w:space="0" w:color="auto"/>
            <w:bottom w:val="none" w:sz="0" w:space="0" w:color="auto"/>
            <w:right w:val="none" w:sz="0" w:space="0" w:color="auto"/>
          </w:divBdr>
        </w:div>
        <w:div w:id="64650127">
          <w:marLeft w:val="0"/>
          <w:marRight w:val="0"/>
          <w:marTop w:val="0"/>
          <w:marBottom w:val="0"/>
          <w:divBdr>
            <w:top w:val="none" w:sz="0" w:space="0" w:color="auto"/>
            <w:left w:val="none" w:sz="0" w:space="0" w:color="auto"/>
            <w:bottom w:val="none" w:sz="0" w:space="0" w:color="auto"/>
            <w:right w:val="none" w:sz="0" w:space="0" w:color="auto"/>
          </w:divBdr>
        </w:div>
        <w:div w:id="1283808665">
          <w:marLeft w:val="0"/>
          <w:marRight w:val="0"/>
          <w:marTop w:val="0"/>
          <w:marBottom w:val="0"/>
          <w:divBdr>
            <w:top w:val="none" w:sz="0" w:space="0" w:color="auto"/>
            <w:left w:val="none" w:sz="0" w:space="0" w:color="auto"/>
            <w:bottom w:val="none" w:sz="0" w:space="0" w:color="auto"/>
            <w:right w:val="none" w:sz="0" w:space="0" w:color="auto"/>
          </w:divBdr>
        </w:div>
        <w:div w:id="1726828973">
          <w:marLeft w:val="0"/>
          <w:marRight w:val="0"/>
          <w:marTop w:val="0"/>
          <w:marBottom w:val="0"/>
          <w:divBdr>
            <w:top w:val="none" w:sz="0" w:space="0" w:color="auto"/>
            <w:left w:val="none" w:sz="0" w:space="0" w:color="auto"/>
            <w:bottom w:val="none" w:sz="0" w:space="0" w:color="auto"/>
            <w:right w:val="none" w:sz="0" w:space="0" w:color="auto"/>
          </w:divBdr>
        </w:div>
        <w:div w:id="2086025751">
          <w:marLeft w:val="0"/>
          <w:marRight w:val="0"/>
          <w:marTop w:val="0"/>
          <w:marBottom w:val="0"/>
          <w:divBdr>
            <w:top w:val="none" w:sz="0" w:space="0" w:color="auto"/>
            <w:left w:val="none" w:sz="0" w:space="0" w:color="auto"/>
            <w:bottom w:val="none" w:sz="0" w:space="0" w:color="auto"/>
            <w:right w:val="none" w:sz="0" w:space="0" w:color="auto"/>
          </w:divBdr>
        </w:div>
        <w:div w:id="232396593">
          <w:marLeft w:val="0"/>
          <w:marRight w:val="0"/>
          <w:marTop w:val="0"/>
          <w:marBottom w:val="0"/>
          <w:divBdr>
            <w:top w:val="none" w:sz="0" w:space="0" w:color="auto"/>
            <w:left w:val="none" w:sz="0" w:space="0" w:color="auto"/>
            <w:bottom w:val="none" w:sz="0" w:space="0" w:color="auto"/>
            <w:right w:val="none" w:sz="0" w:space="0" w:color="auto"/>
          </w:divBdr>
        </w:div>
        <w:div w:id="1408041992">
          <w:marLeft w:val="0"/>
          <w:marRight w:val="0"/>
          <w:marTop w:val="0"/>
          <w:marBottom w:val="0"/>
          <w:divBdr>
            <w:top w:val="none" w:sz="0" w:space="0" w:color="auto"/>
            <w:left w:val="none" w:sz="0" w:space="0" w:color="auto"/>
            <w:bottom w:val="none" w:sz="0" w:space="0" w:color="auto"/>
            <w:right w:val="none" w:sz="0" w:space="0" w:color="auto"/>
          </w:divBdr>
        </w:div>
        <w:div w:id="885147096">
          <w:marLeft w:val="0"/>
          <w:marRight w:val="0"/>
          <w:marTop w:val="0"/>
          <w:marBottom w:val="0"/>
          <w:divBdr>
            <w:top w:val="none" w:sz="0" w:space="0" w:color="auto"/>
            <w:left w:val="none" w:sz="0" w:space="0" w:color="auto"/>
            <w:bottom w:val="none" w:sz="0" w:space="0" w:color="auto"/>
            <w:right w:val="none" w:sz="0" w:space="0" w:color="auto"/>
          </w:divBdr>
        </w:div>
        <w:div w:id="110366754">
          <w:marLeft w:val="0"/>
          <w:marRight w:val="0"/>
          <w:marTop w:val="0"/>
          <w:marBottom w:val="0"/>
          <w:divBdr>
            <w:top w:val="none" w:sz="0" w:space="0" w:color="auto"/>
            <w:left w:val="none" w:sz="0" w:space="0" w:color="auto"/>
            <w:bottom w:val="none" w:sz="0" w:space="0" w:color="auto"/>
            <w:right w:val="none" w:sz="0" w:space="0" w:color="auto"/>
          </w:divBdr>
        </w:div>
        <w:div w:id="1723870265">
          <w:marLeft w:val="0"/>
          <w:marRight w:val="0"/>
          <w:marTop w:val="0"/>
          <w:marBottom w:val="0"/>
          <w:divBdr>
            <w:top w:val="none" w:sz="0" w:space="0" w:color="auto"/>
            <w:left w:val="none" w:sz="0" w:space="0" w:color="auto"/>
            <w:bottom w:val="none" w:sz="0" w:space="0" w:color="auto"/>
            <w:right w:val="none" w:sz="0" w:space="0" w:color="auto"/>
          </w:divBdr>
        </w:div>
        <w:div w:id="582492316">
          <w:marLeft w:val="0"/>
          <w:marRight w:val="0"/>
          <w:marTop w:val="0"/>
          <w:marBottom w:val="0"/>
          <w:divBdr>
            <w:top w:val="none" w:sz="0" w:space="0" w:color="auto"/>
            <w:left w:val="none" w:sz="0" w:space="0" w:color="auto"/>
            <w:bottom w:val="none" w:sz="0" w:space="0" w:color="auto"/>
            <w:right w:val="none" w:sz="0" w:space="0" w:color="auto"/>
          </w:divBdr>
        </w:div>
        <w:div w:id="243800698">
          <w:marLeft w:val="0"/>
          <w:marRight w:val="0"/>
          <w:marTop w:val="0"/>
          <w:marBottom w:val="0"/>
          <w:divBdr>
            <w:top w:val="none" w:sz="0" w:space="0" w:color="auto"/>
            <w:left w:val="none" w:sz="0" w:space="0" w:color="auto"/>
            <w:bottom w:val="none" w:sz="0" w:space="0" w:color="auto"/>
            <w:right w:val="none" w:sz="0" w:space="0" w:color="auto"/>
          </w:divBdr>
        </w:div>
        <w:div w:id="1070736862">
          <w:marLeft w:val="0"/>
          <w:marRight w:val="0"/>
          <w:marTop w:val="0"/>
          <w:marBottom w:val="0"/>
          <w:divBdr>
            <w:top w:val="none" w:sz="0" w:space="0" w:color="auto"/>
            <w:left w:val="none" w:sz="0" w:space="0" w:color="auto"/>
            <w:bottom w:val="none" w:sz="0" w:space="0" w:color="auto"/>
            <w:right w:val="none" w:sz="0" w:space="0" w:color="auto"/>
          </w:divBdr>
        </w:div>
        <w:div w:id="1380087887">
          <w:marLeft w:val="0"/>
          <w:marRight w:val="0"/>
          <w:marTop w:val="0"/>
          <w:marBottom w:val="0"/>
          <w:divBdr>
            <w:top w:val="none" w:sz="0" w:space="0" w:color="auto"/>
            <w:left w:val="none" w:sz="0" w:space="0" w:color="auto"/>
            <w:bottom w:val="none" w:sz="0" w:space="0" w:color="auto"/>
            <w:right w:val="none" w:sz="0" w:space="0" w:color="auto"/>
          </w:divBdr>
        </w:div>
        <w:div w:id="687096454">
          <w:marLeft w:val="0"/>
          <w:marRight w:val="0"/>
          <w:marTop w:val="0"/>
          <w:marBottom w:val="0"/>
          <w:divBdr>
            <w:top w:val="none" w:sz="0" w:space="0" w:color="auto"/>
            <w:left w:val="none" w:sz="0" w:space="0" w:color="auto"/>
            <w:bottom w:val="none" w:sz="0" w:space="0" w:color="auto"/>
            <w:right w:val="none" w:sz="0" w:space="0" w:color="auto"/>
          </w:divBdr>
        </w:div>
      </w:divsChild>
    </w:div>
    <w:div w:id="1060321276">
      <w:bodyDiv w:val="1"/>
      <w:marLeft w:val="0"/>
      <w:marRight w:val="0"/>
      <w:marTop w:val="0"/>
      <w:marBottom w:val="0"/>
      <w:divBdr>
        <w:top w:val="none" w:sz="0" w:space="0" w:color="auto"/>
        <w:left w:val="none" w:sz="0" w:space="0" w:color="auto"/>
        <w:bottom w:val="none" w:sz="0" w:space="0" w:color="auto"/>
        <w:right w:val="none" w:sz="0" w:space="0" w:color="auto"/>
      </w:divBdr>
    </w:div>
    <w:div w:id="1139690108">
      <w:bodyDiv w:val="1"/>
      <w:marLeft w:val="0"/>
      <w:marRight w:val="0"/>
      <w:marTop w:val="0"/>
      <w:marBottom w:val="0"/>
      <w:divBdr>
        <w:top w:val="none" w:sz="0" w:space="0" w:color="auto"/>
        <w:left w:val="none" w:sz="0" w:space="0" w:color="auto"/>
        <w:bottom w:val="none" w:sz="0" w:space="0" w:color="auto"/>
        <w:right w:val="none" w:sz="0" w:space="0" w:color="auto"/>
      </w:divBdr>
    </w:div>
    <w:div w:id="1186945576">
      <w:bodyDiv w:val="1"/>
      <w:marLeft w:val="0"/>
      <w:marRight w:val="0"/>
      <w:marTop w:val="0"/>
      <w:marBottom w:val="0"/>
      <w:divBdr>
        <w:top w:val="none" w:sz="0" w:space="0" w:color="auto"/>
        <w:left w:val="none" w:sz="0" w:space="0" w:color="auto"/>
        <w:bottom w:val="none" w:sz="0" w:space="0" w:color="auto"/>
        <w:right w:val="none" w:sz="0" w:space="0" w:color="auto"/>
      </w:divBdr>
      <w:divsChild>
        <w:div w:id="403915242">
          <w:marLeft w:val="0"/>
          <w:marRight w:val="0"/>
          <w:marTop w:val="0"/>
          <w:marBottom w:val="0"/>
          <w:divBdr>
            <w:top w:val="none" w:sz="0" w:space="0" w:color="auto"/>
            <w:left w:val="none" w:sz="0" w:space="0" w:color="auto"/>
            <w:bottom w:val="none" w:sz="0" w:space="0" w:color="auto"/>
            <w:right w:val="none" w:sz="0" w:space="0" w:color="auto"/>
          </w:divBdr>
          <w:divsChild>
            <w:div w:id="1935624187">
              <w:marLeft w:val="0"/>
              <w:marRight w:val="0"/>
              <w:marTop w:val="0"/>
              <w:marBottom w:val="0"/>
              <w:divBdr>
                <w:top w:val="none" w:sz="0" w:space="0" w:color="auto"/>
                <w:left w:val="none" w:sz="0" w:space="0" w:color="auto"/>
                <w:bottom w:val="none" w:sz="0" w:space="0" w:color="auto"/>
                <w:right w:val="none" w:sz="0" w:space="0" w:color="auto"/>
              </w:divBdr>
              <w:divsChild>
                <w:div w:id="13018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leaweb.org/Resources/Documents/best_practices-full.pdf" TargetMode="External"/><Relationship Id="rId2" Type="http://schemas.openxmlformats.org/officeDocument/2006/relationships/hyperlink" Target="https://www.law.berkeley.edu/files/LSACREPORTfinal-12.pdf" TargetMode="External"/><Relationship Id="rId1" Type="http://schemas.openxmlformats.org/officeDocument/2006/relationships/hyperlink" Target="http://clinicas-juridicas.blogspot.com/p/quienes-somos.html" TargetMode="External"/><Relationship Id="rId5" Type="http://schemas.openxmlformats.org/officeDocument/2006/relationships/hyperlink" Target="https://www.americanbar.org/content/dam/aba/publications/misc/legal_education/Standards/2018-2019" TargetMode="External"/><Relationship Id="rId4" Type="http://schemas.openxmlformats.org/officeDocument/2006/relationships/hyperlink" Target="http://www.ncbex.org/assets/media_files/Bar-Examiner/issues/BE-870218-On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E7FD7-1425-4D44-B6F3-D8964C75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6082</Words>
  <Characters>34674</Characters>
  <Application>Microsoft Office Word</Application>
  <DocSecurity>0</DocSecurity>
  <Lines>288</Lines>
  <Paragraphs>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 Burns</cp:lastModifiedBy>
  <cp:revision>3</cp:revision>
  <cp:lastPrinted>2019-01-08T17:01:00Z</cp:lastPrinted>
  <dcterms:created xsi:type="dcterms:W3CDTF">2019-07-25T08:49:00Z</dcterms:created>
  <dcterms:modified xsi:type="dcterms:W3CDTF">2019-07-25T09:12:00Z</dcterms:modified>
</cp:coreProperties>
</file>