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ACE67" w14:textId="1061FEC5" w:rsidR="00FF35DD" w:rsidRPr="0080167E" w:rsidRDefault="00712051" w:rsidP="00D147AA">
      <w:pPr>
        <w:shd w:val="clear" w:color="auto" w:fill="FFFFFF"/>
        <w:spacing w:after="0" w:line="360" w:lineRule="auto"/>
        <w:jc w:val="both"/>
        <w:rPr>
          <w:rFonts w:ascii="Arial" w:eastAsia="Times New Roman" w:hAnsi="Arial" w:cs="Arial"/>
          <w:b/>
          <w:bCs/>
          <w:lang w:eastAsia="en-GB"/>
        </w:rPr>
      </w:pPr>
      <w:r w:rsidRPr="0080167E">
        <w:rPr>
          <w:rFonts w:ascii="Arial" w:eastAsia="Times New Roman" w:hAnsi="Arial" w:cs="Arial"/>
          <w:b/>
          <w:bCs/>
          <w:lang w:eastAsia="en-GB"/>
        </w:rPr>
        <w:t>Gender Based Violence: Reflections on the World Envisaged in “After Dark” by Jayne Cowie: Using Literature to Critically Explore Current Legal Responses to GBV in the Home and in Public</w:t>
      </w:r>
    </w:p>
    <w:p w14:paraId="5DCF83ED" w14:textId="77777777" w:rsidR="00712051" w:rsidRPr="0080167E" w:rsidRDefault="00712051" w:rsidP="00D147AA">
      <w:pPr>
        <w:shd w:val="clear" w:color="auto" w:fill="FFFFFF"/>
        <w:spacing w:after="0" w:line="360" w:lineRule="auto"/>
        <w:jc w:val="both"/>
        <w:rPr>
          <w:rFonts w:ascii="Arial" w:eastAsia="Times New Roman" w:hAnsi="Arial" w:cs="Arial"/>
          <w:i/>
          <w:iCs/>
          <w:lang w:eastAsia="en-GB"/>
        </w:rPr>
      </w:pPr>
    </w:p>
    <w:p w14:paraId="1F310263" w14:textId="55FFEAE5" w:rsidR="006049AC" w:rsidRPr="0080167E" w:rsidRDefault="000B6595" w:rsidP="00D147AA">
      <w:pPr>
        <w:shd w:val="clear" w:color="auto" w:fill="FFFFFF"/>
        <w:spacing w:after="0" w:line="360" w:lineRule="auto"/>
        <w:jc w:val="both"/>
        <w:rPr>
          <w:rFonts w:ascii="Arial" w:eastAsia="Times New Roman" w:hAnsi="Arial" w:cs="Arial"/>
          <w:lang w:eastAsia="en-GB"/>
        </w:rPr>
      </w:pPr>
      <w:r w:rsidRPr="0080167E">
        <w:rPr>
          <w:rFonts w:ascii="Arial" w:eastAsia="Times New Roman" w:hAnsi="Arial" w:cs="Arial"/>
          <w:i/>
          <w:iCs/>
          <w:lang w:eastAsia="en-GB"/>
        </w:rPr>
        <w:t>Claire Bessant and Kayliegh Richardson</w:t>
      </w:r>
      <w:r w:rsidR="00EA1DA1" w:rsidRPr="0080167E">
        <w:rPr>
          <w:rStyle w:val="FootnoteReference"/>
          <w:rFonts w:ascii="Arial" w:eastAsia="Times New Roman" w:hAnsi="Arial" w:cs="Arial"/>
          <w:lang w:eastAsia="en-GB"/>
        </w:rPr>
        <w:footnoteReference w:id="1"/>
      </w:r>
    </w:p>
    <w:p w14:paraId="03411BD1" w14:textId="77777777" w:rsidR="005C378C" w:rsidRDefault="005C378C" w:rsidP="00D147AA">
      <w:pPr>
        <w:shd w:val="clear" w:color="auto" w:fill="FFFFFF"/>
        <w:spacing w:after="0" w:line="360" w:lineRule="auto"/>
        <w:jc w:val="both"/>
        <w:rPr>
          <w:rFonts w:ascii="Arial" w:eastAsia="Times New Roman" w:hAnsi="Arial" w:cs="Arial"/>
          <w:lang w:eastAsia="en-GB"/>
        </w:rPr>
      </w:pPr>
    </w:p>
    <w:p w14:paraId="27094737" w14:textId="77777777" w:rsidR="00911D0A" w:rsidRPr="0080167E" w:rsidRDefault="00911D0A" w:rsidP="00D147AA">
      <w:pPr>
        <w:shd w:val="clear" w:color="auto" w:fill="FFFFFF"/>
        <w:spacing w:after="0" w:line="360" w:lineRule="auto"/>
        <w:jc w:val="both"/>
        <w:rPr>
          <w:rFonts w:ascii="Arial" w:eastAsia="Times New Roman" w:hAnsi="Arial" w:cs="Arial"/>
          <w:lang w:eastAsia="en-GB"/>
        </w:rPr>
      </w:pPr>
    </w:p>
    <w:p w14:paraId="379CA54B" w14:textId="486DAA3A" w:rsidR="006049AC" w:rsidRPr="0080167E" w:rsidRDefault="006049AC" w:rsidP="00D147AA">
      <w:pPr>
        <w:shd w:val="clear" w:color="auto" w:fill="FFFFFF"/>
        <w:spacing w:after="0" w:line="360" w:lineRule="auto"/>
        <w:jc w:val="both"/>
        <w:rPr>
          <w:rFonts w:ascii="Arial" w:eastAsia="Times New Roman" w:hAnsi="Arial" w:cs="Arial"/>
          <w:b/>
          <w:bCs/>
          <w:lang w:eastAsia="en-GB"/>
        </w:rPr>
      </w:pPr>
      <w:r w:rsidRPr="0080167E">
        <w:rPr>
          <w:rFonts w:ascii="Arial" w:eastAsia="Times New Roman" w:hAnsi="Arial" w:cs="Arial"/>
          <w:b/>
          <w:bCs/>
          <w:lang w:eastAsia="en-GB"/>
        </w:rPr>
        <w:t>Abstract</w:t>
      </w:r>
    </w:p>
    <w:p w14:paraId="3228480A" w14:textId="4E6080B9" w:rsidR="00545590" w:rsidRPr="0080167E" w:rsidRDefault="00545590" w:rsidP="00D147AA">
      <w:pPr>
        <w:shd w:val="clear" w:color="auto" w:fill="FFFFFF"/>
        <w:spacing w:after="0" w:line="360" w:lineRule="auto"/>
        <w:jc w:val="both"/>
        <w:rPr>
          <w:rFonts w:ascii="Arial" w:eastAsia="Times New Roman" w:hAnsi="Arial" w:cs="Arial"/>
          <w:b/>
          <w:bCs/>
          <w:lang w:eastAsia="en-GB"/>
        </w:rPr>
      </w:pPr>
    </w:p>
    <w:p w14:paraId="673711EC" w14:textId="1D056D7A" w:rsidR="00545590" w:rsidRPr="0080167E" w:rsidRDefault="007C0011" w:rsidP="00D147AA">
      <w:pPr>
        <w:shd w:val="clear" w:color="auto" w:fill="FFFFFF"/>
        <w:spacing w:after="0" w:line="360" w:lineRule="auto"/>
        <w:jc w:val="both"/>
        <w:rPr>
          <w:rFonts w:ascii="Arial" w:eastAsia="Times New Roman" w:hAnsi="Arial" w:cs="Arial"/>
          <w:b/>
          <w:bCs/>
          <w:lang w:eastAsia="en-GB"/>
        </w:rPr>
      </w:pPr>
      <w:r w:rsidRPr="0080167E">
        <w:rPr>
          <w:rFonts w:ascii="Arial" w:eastAsia="Times New Roman" w:hAnsi="Arial" w:cs="Arial"/>
          <w:lang w:eastAsia="en-GB"/>
        </w:rPr>
        <w:t xml:space="preserve">This special issue of The International Journal of Gender, Sexuality and Law, edited by Claire Bessant and Kayliegh Richardson, brings together academic voices from across law and criminology in discussion of the issue of gender-based violence (GBV). Many of the ideas included in this special issue were presented previously at a 2022 conference funded by the Society of Legal Scholars, titled ‘Gender Based Violence: Reflections on the world envisaged in “After Dark” by Jayne Cowie’. That conference sought to use the book ‘After Dark’ as a focal point for a multi-disciplinary discussion about how society and the law should respond to tragedies such as the deaths of Sarah Everard and Ashling Murphy but also to the issue of violence against women. Building on the academic discussion </w:t>
      </w:r>
      <w:r w:rsidR="003644FC">
        <w:rPr>
          <w:rFonts w:ascii="Arial" w:eastAsia="Times New Roman" w:hAnsi="Arial" w:cs="Arial"/>
          <w:lang w:eastAsia="en-GB"/>
        </w:rPr>
        <w:t>that</w:t>
      </w:r>
      <w:r w:rsidRPr="0080167E">
        <w:rPr>
          <w:rFonts w:ascii="Arial" w:eastAsia="Times New Roman" w:hAnsi="Arial" w:cs="Arial"/>
          <w:lang w:eastAsia="en-GB"/>
        </w:rPr>
        <w:t xml:space="preserve"> took place at that conference, this special edition firstly considers some of the legal interventions discussed in After Dark and their potential application within the real world. The second part of the special edition, then considers the potential benefits of using literature and other fictional works to stimulate discussion around legal issues.</w:t>
      </w:r>
    </w:p>
    <w:p w14:paraId="1C109DBD" w14:textId="77777777" w:rsidR="005C378C" w:rsidRPr="0080167E" w:rsidRDefault="005C378C" w:rsidP="00D147AA">
      <w:pPr>
        <w:shd w:val="clear" w:color="auto" w:fill="FFFFFF"/>
        <w:spacing w:after="0" w:line="360" w:lineRule="auto"/>
        <w:jc w:val="both"/>
        <w:rPr>
          <w:rFonts w:ascii="Arial" w:eastAsia="Times New Roman" w:hAnsi="Arial" w:cs="Arial"/>
          <w:b/>
          <w:bCs/>
          <w:lang w:eastAsia="en-GB"/>
        </w:rPr>
      </w:pPr>
    </w:p>
    <w:p w14:paraId="60BC52F9" w14:textId="0AEF56C4" w:rsidR="006049AC" w:rsidRPr="0080167E" w:rsidRDefault="006049AC" w:rsidP="00D147AA">
      <w:pPr>
        <w:shd w:val="clear" w:color="auto" w:fill="FFFFFF"/>
        <w:spacing w:after="0" w:line="360" w:lineRule="auto"/>
        <w:jc w:val="both"/>
        <w:rPr>
          <w:rFonts w:ascii="Arial" w:eastAsia="Times New Roman" w:hAnsi="Arial" w:cs="Arial"/>
          <w:b/>
          <w:bCs/>
          <w:lang w:eastAsia="en-GB"/>
        </w:rPr>
      </w:pPr>
      <w:r w:rsidRPr="0080167E">
        <w:rPr>
          <w:rFonts w:ascii="Arial" w:eastAsia="Times New Roman" w:hAnsi="Arial" w:cs="Arial"/>
          <w:b/>
          <w:bCs/>
          <w:lang w:eastAsia="en-GB"/>
        </w:rPr>
        <w:t>Keywords</w:t>
      </w:r>
    </w:p>
    <w:p w14:paraId="6F2BDB21" w14:textId="00827A4D" w:rsidR="006049AC" w:rsidRPr="0080167E" w:rsidRDefault="006049AC" w:rsidP="00D147AA">
      <w:pPr>
        <w:shd w:val="clear" w:color="auto" w:fill="FFFFFF"/>
        <w:spacing w:after="0" w:line="360" w:lineRule="auto"/>
        <w:jc w:val="both"/>
        <w:rPr>
          <w:rFonts w:ascii="Arial" w:eastAsia="Times New Roman" w:hAnsi="Arial" w:cs="Arial"/>
          <w:lang w:eastAsia="en-GB"/>
        </w:rPr>
      </w:pPr>
    </w:p>
    <w:p w14:paraId="0E764580" w14:textId="2961CB8A" w:rsidR="006049AC" w:rsidRPr="0080167E" w:rsidRDefault="007E1EEC" w:rsidP="00D147AA">
      <w:pPr>
        <w:shd w:val="clear" w:color="auto" w:fill="FFFFFF"/>
        <w:spacing w:after="0" w:line="360" w:lineRule="auto"/>
        <w:jc w:val="both"/>
        <w:rPr>
          <w:rFonts w:ascii="Arial" w:eastAsia="Times New Roman" w:hAnsi="Arial" w:cs="Arial"/>
          <w:lang w:eastAsia="en-GB"/>
        </w:rPr>
      </w:pPr>
      <w:r w:rsidRPr="0080167E">
        <w:rPr>
          <w:rFonts w:ascii="Arial" w:eastAsia="Times New Roman" w:hAnsi="Arial" w:cs="Arial"/>
          <w:lang w:eastAsia="en-GB"/>
        </w:rPr>
        <w:t>Gender Based Violence; Violence Against Women and Girls; Domestic Abuse; Human Rights; Feminist Dystopian Fiction; Popular Criminology</w:t>
      </w:r>
    </w:p>
    <w:p w14:paraId="2C618681" w14:textId="77777777" w:rsidR="00D147AA" w:rsidRDefault="00D147AA" w:rsidP="00D147AA">
      <w:pPr>
        <w:shd w:val="clear" w:color="auto" w:fill="FFFFFF"/>
        <w:spacing w:after="0" w:line="360" w:lineRule="auto"/>
        <w:jc w:val="both"/>
        <w:rPr>
          <w:rFonts w:ascii="Arial" w:eastAsia="Times New Roman" w:hAnsi="Arial" w:cs="Arial"/>
          <w:lang w:eastAsia="en-GB"/>
        </w:rPr>
      </w:pPr>
    </w:p>
    <w:p w14:paraId="50542B46" w14:textId="77777777" w:rsidR="00FC28AF" w:rsidRPr="0080167E" w:rsidRDefault="00FC28AF" w:rsidP="00D147AA">
      <w:pPr>
        <w:shd w:val="clear" w:color="auto" w:fill="FFFFFF"/>
        <w:spacing w:after="0" w:line="360" w:lineRule="auto"/>
        <w:jc w:val="both"/>
        <w:rPr>
          <w:rFonts w:ascii="Arial" w:eastAsia="Times New Roman" w:hAnsi="Arial" w:cs="Arial"/>
          <w:lang w:eastAsia="en-GB"/>
        </w:rPr>
      </w:pPr>
    </w:p>
    <w:p w14:paraId="4E4435F4" w14:textId="42D0A84A" w:rsidR="00705453" w:rsidRPr="0080167E" w:rsidRDefault="00FF35DD" w:rsidP="00D147AA">
      <w:pPr>
        <w:shd w:val="clear" w:color="auto" w:fill="FFFFFF"/>
        <w:spacing w:after="0" w:line="360" w:lineRule="auto"/>
        <w:jc w:val="both"/>
        <w:rPr>
          <w:rFonts w:ascii="Arial" w:eastAsia="Times New Roman" w:hAnsi="Arial" w:cs="Arial"/>
          <w:b/>
          <w:bCs/>
          <w:i/>
          <w:iCs/>
          <w:lang w:eastAsia="en-GB"/>
        </w:rPr>
      </w:pPr>
      <w:r w:rsidRPr="0080167E">
        <w:rPr>
          <w:rFonts w:ascii="Arial" w:eastAsia="Times New Roman" w:hAnsi="Arial" w:cs="Arial"/>
          <w:b/>
          <w:bCs/>
          <w:i/>
          <w:iCs/>
          <w:lang w:eastAsia="en-GB"/>
        </w:rPr>
        <w:t>Introduction</w:t>
      </w:r>
    </w:p>
    <w:p w14:paraId="0F817D14" w14:textId="77777777" w:rsidR="00B768A3" w:rsidRPr="0080167E" w:rsidRDefault="00B768A3" w:rsidP="00D147AA">
      <w:pPr>
        <w:spacing w:after="0" w:line="360" w:lineRule="auto"/>
        <w:jc w:val="both"/>
        <w:rPr>
          <w:rFonts w:ascii="Arial" w:hAnsi="Arial" w:cs="Arial"/>
        </w:rPr>
      </w:pPr>
    </w:p>
    <w:p w14:paraId="75A8293A" w14:textId="77777777" w:rsidR="00B768A3" w:rsidRPr="0080167E" w:rsidRDefault="00B768A3" w:rsidP="00D147AA">
      <w:pPr>
        <w:spacing w:after="0" w:line="360" w:lineRule="auto"/>
        <w:jc w:val="both"/>
        <w:rPr>
          <w:rFonts w:ascii="Arial" w:hAnsi="Arial" w:cs="Arial"/>
        </w:rPr>
      </w:pPr>
      <w:r w:rsidRPr="0080167E">
        <w:rPr>
          <w:rFonts w:ascii="Arial" w:hAnsi="Arial" w:cs="Arial"/>
        </w:rPr>
        <w:t xml:space="preserve">This special issue of </w:t>
      </w:r>
      <w:r w:rsidRPr="0080167E">
        <w:rPr>
          <w:rFonts w:ascii="Arial" w:hAnsi="Arial" w:cs="Arial"/>
          <w:i/>
          <w:iCs/>
        </w:rPr>
        <w:t xml:space="preserve">The International Journal of Gender, Sexuality and Law, </w:t>
      </w:r>
      <w:r w:rsidRPr="0080167E">
        <w:rPr>
          <w:rFonts w:ascii="Arial" w:hAnsi="Arial" w:cs="Arial"/>
        </w:rPr>
        <w:t xml:space="preserve">edited by Claire Bessant and Kayliegh Richardson, brings together academic voices from across law and </w:t>
      </w:r>
      <w:r w:rsidRPr="0080167E">
        <w:rPr>
          <w:rFonts w:ascii="Arial" w:hAnsi="Arial" w:cs="Arial"/>
        </w:rPr>
        <w:lastRenderedPageBreak/>
        <w:t>criminology in discussion of the issue of gender-based violence (GBV). Many of the ideas included in this special issue were presented previously at a 2022 conference funded by the Society of Legal Scholars, titled ‘Gender Based Violence: Reflections on the world envisaged in “After Dark” by Jayne Cowie’. That conference sought to use the book ‘After Dark’ as a focal point for a multi-disciplinary discussion about how society and the law should respond to tragedies such as the deaths of Sarah Everard and Ashling Murphy but also to the issue of violence against women.</w:t>
      </w:r>
    </w:p>
    <w:p w14:paraId="4F42826B" w14:textId="77777777" w:rsidR="00B768A3" w:rsidRPr="0080167E" w:rsidRDefault="00B768A3" w:rsidP="00D147AA">
      <w:pPr>
        <w:spacing w:after="0" w:line="360" w:lineRule="auto"/>
        <w:jc w:val="both"/>
        <w:rPr>
          <w:rFonts w:ascii="Arial" w:hAnsi="Arial" w:cs="Arial"/>
          <w:b/>
          <w:bCs/>
        </w:rPr>
      </w:pPr>
    </w:p>
    <w:p w14:paraId="45920F86" w14:textId="77777777" w:rsidR="00B768A3" w:rsidRPr="0080167E" w:rsidRDefault="00B768A3" w:rsidP="00D147AA">
      <w:pPr>
        <w:spacing w:after="0" w:line="360" w:lineRule="auto"/>
        <w:jc w:val="both"/>
        <w:rPr>
          <w:rFonts w:ascii="Arial" w:hAnsi="Arial" w:cs="Arial"/>
          <w:b/>
          <w:bCs/>
        </w:rPr>
      </w:pPr>
      <w:r w:rsidRPr="00380E9F">
        <w:rPr>
          <w:rFonts w:ascii="Arial" w:hAnsi="Arial" w:cs="Arial"/>
          <w:b/>
          <w:bCs/>
          <w:i/>
          <w:iCs/>
        </w:rPr>
        <w:t>Context</w:t>
      </w:r>
    </w:p>
    <w:p w14:paraId="0F6A5A8E"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shd w:val="clear" w:color="auto" w:fill="FFFFFF"/>
        </w:rPr>
      </w:pPr>
    </w:p>
    <w:p w14:paraId="7E20A903" w14:textId="77777777" w:rsidR="00B768A3" w:rsidRDefault="00B768A3" w:rsidP="00D147AA">
      <w:pPr>
        <w:pStyle w:val="NormalWeb"/>
        <w:shd w:val="clear" w:color="auto" w:fill="FFFFFF"/>
        <w:spacing w:before="0" w:beforeAutospacing="0" w:after="0" w:afterAutospacing="0" w:line="360" w:lineRule="auto"/>
        <w:jc w:val="both"/>
        <w:rPr>
          <w:rFonts w:ascii="Arial" w:hAnsi="Arial" w:cs="Arial"/>
          <w:sz w:val="22"/>
          <w:szCs w:val="22"/>
          <w:shd w:val="clear" w:color="auto" w:fill="FFFFFF"/>
        </w:rPr>
      </w:pPr>
      <w:r w:rsidRPr="0080167E">
        <w:rPr>
          <w:rFonts w:ascii="Arial" w:hAnsi="Arial" w:cs="Arial"/>
          <w:sz w:val="22"/>
          <w:szCs w:val="22"/>
          <w:shd w:val="clear" w:color="auto" w:fill="FFFFFF"/>
        </w:rPr>
        <w:t>The United Nations defines violence against women as ‘any act of gender based violence that results in, or is likely to result in physical, sexual, psychological or economic harm or suffering to women, including threats of such acts, coercion or arbitrary deprivation of liberty, whether occurring in public or in private life.’</w:t>
      </w:r>
      <w:r w:rsidRPr="0080167E">
        <w:rPr>
          <w:rStyle w:val="FootnoteReference"/>
          <w:rFonts w:ascii="Arial" w:hAnsi="Arial" w:cs="Arial"/>
          <w:sz w:val="22"/>
          <w:szCs w:val="22"/>
          <w:shd w:val="clear" w:color="auto" w:fill="FFFFFF"/>
        </w:rPr>
        <w:footnoteReference w:id="2"/>
      </w:r>
      <w:r w:rsidRPr="0080167E">
        <w:rPr>
          <w:rFonts w:ascii="Arial" w:hAnsi="Arial" w:cs="Arial"/>
          <w:sz w:val="22"/>
          <w:szCs w:val="22"/>
          <w:shd w:val="clear" w:color="auto" w:fill="FFFFFF"/>
        </w:rPr>
        <w:t xml:space="preserve"> In practice, violence against women and GBV, are terms used interchangeably to describe violence and other harmful acts directed at women.</w:t>
      </w:r>
      <w:r w:rsidRPr="0080167E">
        <w:rPr>
          <w:rStyle w:val="FootnoteReference"/>
          <w:rFonts w:ascii="Arial" w:hAnsi="Arial" w:cs="Arial"/>
          <w:sz w:val="22"/>
          <w:szCs w:val="22"/>
          <w:shd w:val="clear" w:color="auto" w:fill="FFFFFF"/>
        </w:rPr>
        <w:footnoteReference w:id="3"/>
      </w:r>
      <w:r w:rsidRPr="0080167E">
        <w:rPr>
          <w:rFonts w:ascii="Arial" w:hAnsi="Arial" w:cs="Arial"/>
          <w:sz w:val="22"/>
          <w:szCs w:val="22"/>
          <w:shd w:val="clear" w:color="auto" w:fill="FFFFFF"/>
        </w:rPr>
        <w:t xml:space="preserve"> The Istanbul Convention acknowledges that such actions, rooted in gender inequality and abuses of power, both violate human rights and discriminate against women.</w:t>
      </w:r>
      <w:r w:rsidRPr="0080167E">
        <w:rPr>
          <w:rStyle w:val="FootnoteReference"/>
          <w:rFonts w:ascii="Arial" w:hAnsi="Arial" w:cs="Arial"/>
          <w:sz w:val="22"/>
          <w:szCs w:val="22"/>
          <w:shd w:val="clear" w:color="auto" w:fill="FFFFFF"/>
        </w:rPr>
        <w:footnoteReference w:id="4"/>
      </w:r>
      <w:r w:rsidRPr="0080167E">
        <w:rPr>
          <w:rFonts w:ascii="Arial" w:hAnsi="Arial" w:cs="Arial"/>
          <w:sz w:val="22"/>
          <w:szCs w:val="22"/>
          <w:shd w:val="clear" w:color="auto" w:fill="FFFFFF"/>
        </w:rPr>
        <w:t xml:space="preserve">  </w:t>
      </w:r>
    </w:p>
    <w:p w14:paraId="4A6C9CB1" w14:textId="77777777" w:rsidR="00380E9F" w:rsidRPr="0080167E" w:rsidRDefault="00380E9F" w:rsidP="00D147AA">
      <w:pPr>
        <w:pStyle w:val="NormalWeb"/>
        <w:shd w:val="clear" w:color="auto" w:fill="FFFFFF"/>
        <w:spacing w:before="0" w:beforeAutospacing="0" w:after="0" w:afterAutospacing="0" w:line="360" w:lineRule="auto"/>
        <w:jc w:val="both"/>
        <w:rPr>
          <w:rFonts w:ascii="Arial" w:hAnsi="Arial" w:cs="Arial"/>
          <w:sz w:val="22"/>
          <w:szCs w:val="22"/>
          <w:shd w:val="clear" w:color="auto" w:fill="FFFFFF"/>
        </w:rPr>
      </w:pPr>
    </w:p>
    <w:p w14:paraId="4600D778" w14:textId="059CDB5F" w:rsidR="00B768A3" w:rsidRPr="0080167E" w:rsidRDefault="00B768A3" w:rsidP="00380E9F">
      <w:pPr>
        <w:pStyle w:val="NormalWeb"/>
        <w:shd w:val="clear" w:color="auto" w:fill="FFFFFF"/>
        <w:spacing w:before="0" w:beforeAutospacing="0" w:after="0" w:afterAutospacing="0" w:line="360" w:lineRule="auto"/>
        <w:ind w:firstLine="720"/>
        <w:jc w:val="both"/>
        <w:rPr>
          <w:rFonts w:ascii="Arial" w:hAnsi="Arial" w:cs="Arial"/>
          <w:sz w:val="22"/>
          <w:szCs w:val="22"/>
        </w:rPr>
      </w:pPr>
      <w:r w:rsidRPr="0080167E">
        <w:rPr>
          <w:rFonts w:ascii="Arial" w:hAnsi="Arial" w:cs="Arial"/>
          <w:sz w:val="22"/>
          <w:szCs w:val="22"/>
          <w:shd w:val="clear" w:color="auto" w:fill="FFFFFF"/>
        </w:rPr>
        <w:t>GBV is a phenomenon which affects women in rich and poor countries, and across all sectors of society. Worldwide</w:t>
      </w:r>
      <w:r w:rsidR="00233C07">
        <w:rPr>
          <w:rFonts w:ascii="Arial" w:hAnsi="Arial" w:cs="Arial"/>
          <w:sz w:val="22"/>
          <w:szCs w:val="22"/>
          <w:shd w:val="clear" w:color="auto" w:fill="FFFFFF"/>
        </w:rPr>
        <w:t>,</w:t>
      </w:r>
      <w:r w:rsidRPr="0080167E">
        <w:rPr>
          <w:rFonts w:ascii="Arial" w:hAnsi="Arial" w:cs="Arial"/>
          <w:sz w:val="22"/>
          <w:szCs w:val="22"/>
          <w:shd w:val="clear" w:color="auto" w:fill="FFFFFF"/>
        </w:rPr>
        <w:t xml:space="preserve"> </w:t>
      </w:r>
      <w:r w:rsidRPr="0080167E">
        <w:rPr>
          <w:rFonts w:ascii="Arial" w:hAnsi="Arial" w:cs="Arial"/>
          <w:sz w:val="22"/>
          <w:szCs w:val="22"/>
        </w:rPr>
        <w:t>35% of women have experienced physical and/or sexual violence, 7% of women have been sexually assaulted by someone who is not their partner, whilst 38% of murders of women are committed by intimate partners.</w:t>
      </w:r>
      <w:r w:rsidRPr="0080167E">
        <w:rPr>
          <w:rStyle w:val="FootnoteReference"/>
          <w:rFonts w:ascii="Arial" w:hAnsi="Arial" w:cs="Arial"/>
          <w:sz w:val="22"/>
          <w:szCs w:val="22"/>
        </w:rPr>
        <w:footnoteReference w:id="5"/>
      </w:r>
      <w:r w:rsidRPr="0080167E">
        <w:rPr>
          <w:rFonts w:ascii="Arial" w:hAnsi="Arial" w:cs="Arial"/>
          <w:sz w:val="22"/>
          <w:szCs w:val="22"/>
        </w:rPr>
        <w:t xml:space="preserve"> At a UK level, statistics suggest 1 in 4 women will experience domestic abuse (with more than 27% of women having experienced domestic abuse since the age of 16 compared to 14% of men)</w:t>
      </w:r>
      <w:r w:rsidR="00233C07">
        <w:rPr>
          <w:rFonts w:ascii="Arial" w:hAnsi="Arial" w:cs="Arial"/>
          <w:sz w:val="22"/>
          <w:szCs w:val="22"/>
        </w:rPr>
        <w:t xml:space="preserve">; </w:t>
      </w:r>
      <w:r w:rsidRPr="0080167E">
        <w:rPr>
          <w:rFonts w:ascii="Arial" w:hAnsi="Arial" w:cs="Arial"/>
          <w:sz w:val="22"/>
          <w:szCs w:val="22"/>
        </w:rPr>
        <w:t>1 in 5 women will be subjected to actual or attempted sexual assault in their lifetime (5% of victims are men)</w:t>
      </w:r>
      <w:r w:rsidR="00233C07">
        <w:rPr>
          <w:rFonts w:ascii="Arial" w:hAnsi="Arial" w:cs="Arial"/>
          <w:sz w:val="22"/>
          <w:szCs w:val="22"/>
        </w:rPr>
        <w:t>;</w:t>
      </w:r>
      <w:r w:rsidRPr="0080167E">
        <w:rPr>
          <w:rFonts w:ascii="Arial" w:hAnsi="Arial" w:cs="Arial"/>
          <w:sz w:val="22"/>
          <w:szCs w:val="22"/>
        </w:rPr>
        <w:t xml:space="preserve"> and 1 in 5 women will be the victim of stalking (20% of women compared to 10% of men).</w:t>
      </w:r>
      <w:r w:rsidRPr="0080167E">
        <w:rPr>
          <w:rStyle w:val="FootnoteReference"/>
          <w:rFonts w:ascii="Arial" w:hAnsi="Arial" w:cs="Arial"/>
          <w:sz w:val="22"/>
          <w:szCs w:val="22"/>
        </w:rPr>
        <w:footnoteReference w:id="6"/>
      </w:r>
      <w:r w:rsidRPr="0080167E">
        <w:rPr>
          <w:rFonts w:ascii="Arial" w:hAnsi="Arial" w:cs="Arial"/>
          <w:sz w:val="22"/>
          <w:szCs w:val="22"/>
        </w:rPr>
        <w:t xml:space="preserve"> This is despite the plethora of policies and initiatives that have been developed, at national, regional and international level over the past thirty years designed to prevent such behaviours. </w:t>
      </w:r>
      <w:r w:rsidRPr="0080167E">
        <w:rPr>
          <w:rFonts w:ascii="Arial" w:hAnsi="Arial" w:cs="Arial"/>
          <w:sz w:val="22"/>
          <w:szCs w:val="22"/>
        </w:rPr>
        <w:lastRenderedPageBreak/>
        <w:t>Most notably, at international level, the Istanbul Convention imposes obligations on signatory states to establish appropriate support services for GBV victims, including a telephone hotline, counselling services and refuge spaces.</w:t>
      </w:r>
      <w:r w:rsidRPr="0080167E">
        <w:rPr>
          <w:rStyle w:val="FootnoteReference"/>
          <w:rFonts w:ascii="Arial" w:hAnsi="Arial" w:cs="Arial"/>
          <w:sz w:val="22"/>
          <w:szCs w:val="22"/>
        </w:rPr>
        <w:footnoteReference w:id="7"/>
      </w:r>
      <w:r w:rsidRPr="0080167E">
        <w:rPr>
          <w:rFonts w:ascii="Arial" w:hAnsi="Arial" w:cs="Arial"/>
          <w:sz w:val="22"/>
          <w:szCs w:val="22"/>
        </w:rPr>
        <w:t xml:space="preserve"> The UK signed the Istanbul Convention in 2012 but did not ratify the Convention until 2022. Whilst now ratified, the UK controversially reserved the right not to be bound by Article 59, which places obligations on the state to provide protection to migrant women whose residence status depends on their spouse or partner. The government have suggested that this reservation will be reviewed following the ‘the results and evaluation of the support for migrant victims scheme’.</w:t>
      </w:r>
      <w:r w:rsidRPr="0080167E">
        <w:rPr>
          <w:rStyle w:val="FootnoteReference"/>
          <w:rFonts w:ascii="Arial" w:hAnsi="Arial" w:cs="Arial"/>
          <w:sz w:val="22"/>
          <w:szCs w:val="22"/>
        </w:rPr>
        <w:footnoteReference w:id="8"/>
      </w:r>
      <w:r w:rsidRPr="0080167E">
        <w:rPr>
          <w:rFonts w:ascii="Arial" w:hAnsi="Arial" w:cs="Arial"/>
          <w:sz w:val="22"/>
          <w:szCs w:val="22"/>
        </w:rPr>
        <w:t xml:space="preserve"> The House of Lords International Agreements Committee has questioned the link between Article 59 and the migrant victims scheme and have asked for this to be reviewed at the earliest opportunity.</w:t>
      </w:r>
      <w:r w:rsidRPr="0080167E">
        <w:rPr>
          <w:rStyle w:val="FootnoteReference"/>
          <w:rFonts w:ascii="Arial" w:hAnsi="Arial" w:cs="Arial"/>
          <w:sz w:val="22"/>
          <w:szCs w:val="22"/>
        </w:rPr>
        <w:footnoteReference w:id="9"/>
      </w:r>
      <w:r w:rsidRPr="0080167E">
        <w:rPr>
          <w:rFonts w:ascii="Arial" w:hAnsi="Arial" w:cs="Arial"/>
          <w:sz w:val="22"/>
          <w:szCs w:val="22"/>
        </w:rPr>
        <w:t xml:space="preserve"> At the time of writing, the reservation remains in place despite the evaluation of the pilot scheme having been published in August 2023.</w:t>
      </w:r>
      <w:r w:rsidRPr="0080167E">
        <w:rPr>
          <w:rStyle w:val="FootnoteReference"/>
          <w:rFonts w:ascii="Arial" w:hAnsi="Arial" w:cs="Arial"/>
          <w:sz w:val="22"/>
          <w:szCs w:val="22"/>
        </w:rPr>
        <w:footnoteReference w:id="10"/>
      </w:r>
    </w:p>
    <w:p w14:paraId="2956E858" w14:textId="77777777" w:rsidR="00B768A3" w:rsidRPr="0080167E" w:rsidRDefault="00B768A3" w:rsidP="00D147AA">
      <w:pPr>
        <w:autoSpaceDE w:val="0"/>
        <w:autoSpaceDN w:val="0"/>
        <w:adjustRightInd w:val="0"/>
        <w:spacing w:after="0" w:line="360" w:lineRule="auto"/>
        <w:jc w:val="both"/>
        <w:rPr>
          <w:rFonts w:ascii="Arial" w:hAnsi="Arial" w:cs="Arial"/>
          <w:shd w:val="clear" w:color="auto" w:fill="FFFFFF"/>
        </w:rPr>
      </w:pPr>
    </w:p>
    <w:p w14:paraId="061C31F8" w14:textId="77777777" w:rsidR="00B768A3" w:rsidRDefault="00B768A3" w:rsidP="00707F6F">
      <w:pPr>
        <w:autoSpaceDE w:val="0"/>
        <w:autoSpaceDN w:val="0"/>
        <w:adjustRightInd w:val="0"/>
        <w:spacing w:after="0" w:line="360" w:lineRule="auto"/>
        <w:ind w:firstLine="720"/>
        <w:jc w:val="both"/>
        <w:rPr>
          <w:rFonts w:ascii="Arial" w:hAnsi="Arial" w:cs="Arial"/>
        </w:rPr>
      </w:pPr>
      <w:r w:rsidRPr="0080167E">
        <w:rPr>
          <w:rFonts w:ascii="Arial" w:hAnsi="Arial" w:cs="Arial"/>
          <w:shd w:val="clear" w:color="auto" w:fill="FFFFFF"/>
        </w:rPr>
        <w:t xml:space="preserve">Jennifer </w:t>
      </w:r>
      <w:proofErr w:type="spellStart"/>
      <w:r w:rsidRPr="0080167E">
        <w:rPr>
          <w:rFonts w:ascii="Arial" w:hAnsi="Arial" w:cs="Arial"/>
          <w:shd w:val="clear" w:color="auto" w:fill="FFFFFF"/>
        </w:rPr>
        <w:t>Nedelsky</w:t>
      </w:r>
      <w:proofErr w:type="spellEnd"/>
      <w:r w:rsidRPr="0080167E">
        <w:rPr>
          <w:rFonts w:ascii="Arial" w:hAnsi="Arial" w:cs="Arial"/>
          <w:shd w:val="clear" w:color="auto" w:fill="FFFFFF"/>
        </w:rPr>
        <w:t xml:space="preserve"> has previously suggested in her book “Law’s Relations”, that ‘</w:t>
      </w:r>
      <w:r w:rsidRPr="0080167E">
        <w:rPr>
          <w:rFonts w:ascii="Arial" w:hAnsi="Arial" w:cs="Arial"/>
        </w:rPr>
        <w:t>violence against women and children is so widespread that it cannot properly be understood simply as a matter of individual pathology or criminality or wickedness. It is a characteristic of our society.’</w:t>
      </w:r>
      <w:r w:rsidRPr="0080167E">
        <w:rPr>
          <w:rStyle w:val="FootnoteReference"/>
          <w:rFonts w:ascii="Arial" w:hAnsi="Arial" w:cs="Arial"/>
        </w:rPr>
        <w:footnoteReference w:id="11"/>
      </w:r>
      <w:r w:rsidRPr="0080167E">
        <w:rPr>
          <w:rFonts w:ascii="Arial" w:hAnsi="Arial" w:cs="Arial"/>
        </w:rPr>
        <w:t xml:space="preserve"> She argues that a relational approach is the best way to tackle the failures of existing legal regimes for addressing violence against women. She contends that ‘violence against women cannot be prevented until the relations between men and women are transformed—which means that transformation of these social and intimate relations must be an objective of the liberal state.’ She suggests ‘what is required to end violence against women is, ultimately, a transformation of the relations between men and women.’</w:t>
      </w:r>
      <w:r w:rsidRPr="0080167E">
        <w:rPr>
          <w:rStyle w:val="FootnoteReference"/>
          <w:rFonts w:ascii="Arial" w:hAnsi="Arial" w:cs="Arial"/>
        </w:rPr>
        <w:footnoteReference w:id="12"/>
      </w:r>
    </w:p>
    <w:p w14:paraId="3635042A" w14:textId="77777777" w:rsidR="00911D0A" w:rsidRPr="0080167E" w:rsidRDefault="00911D0A" w:rsidP="00D147AA">
      <w:pPr>
        <w:autoSpaceDE w:val="0"/>
        <w:autoSpaceDN w:val="0"/>
        <w:adjustRightInd w:val="0"/>
        <w:spacing w:after="0" w:line="360" w:lineRule="auto"/>
        <w:jc w:val="both"/>
        <w:rPr>
          <w:rFonts w:ascii="Arial" w:hAnsi="Arial" w:cs="Arial"/>
          <w:b/>
          <w:bCs/>
        </w:rPr>
      </w:pPr>
    </w:p>
    <w:p w14:paraId="0C01CFDF" w14:textId="0A1A0E96" w:rsidR="00B768A3" w:rsidRPr="00C75961" w:rsidRDefault="00B768A3" w:rsidP="00D147AA">
      <w:pPr>
        <w:autoSpaceDE w:val="0"/>
        <w:autoSpaceDN w:val="0"/>
        <w:adjustRightInd w:val="0"/>
        <w:spacing w:after="0" w:line="360" w:lineRule="auto"/>
        <w:jc w:val="both"/>
        <w:rPr>
          <w:rFonts w:ascii="Arial" w:hAnsi="Arial" w:cs="Arial"/>
          <w:b/>
          <w:bCs/>
          <w:i/>
          <w:iCs/>
        </w:rPr>
      </w:pPr>
      <w:r w:rsidRPr="00C75961">
        <w:rPr>
          <w:rFonts w:ascii="Arial" w:hAnsi="Arial" w:cs="Arial"/>
          <w:b/>
          <w:bCs/>
          <w:i/>
          <w:iCs/>
        </w:rPr>
        <w:t xml:space="preserve">The </w:t>
      </w:r>
      <w:r w:rsidR="00C75961" w:rsidRPr="00C75961">
        <w:rPr>
          <w:rFonts w:ascii="Arial" w:hAnsi="Arial" w:cs="Arial"/>
          <w:b/>
          <w:bCs/>
          <w:i/>
          <w:iCs/>
        </w:rPr>
        <w:t xml:space="preserve">Societal Transformation Envisaged in </w:t>
      </w:r>
      <w:r w:rsidRPr="00C75961">
        <w:rPr>
          <w:rFonts w:ascii="Arial" w:hAnsi="Arial" w:cs="Arial"/>
          <w:b/>
          <w:bCs/>
          <w:i/>
          <w:iCs/>
        </w:rPr>
        <w:t>After Dark</w:t>
      </w:r>
    </w:p>
    <w:p w14:paraId="3C906678" w14:textId="77777777" w:rsidR="00B768A3" w:rsidRPr="0080167E" w:rsidRDefault="00B768A3" w:rsidP="00D147AA">
      <w:pPr>
        <w:autoSpaceDE w:val="0"/>
        <w:autoSpaceDN w:val="0"/>
        <w:adjustRightInd w:val="0"/>
        <w:spacing w:after="0" w:line="360" w:lineRule="auto"/>
        <w:jc w:val="both"/>
        <w:rPr>
          <w:rFonts w:ascii="Arial" w:hAnsi="Arial" w:cs="Arial"/>
        </w:rPr>
      </w:pPr>
    </w:p>
    <w:p w14:paraId="0AB7ECDE" w14:textId="495FA977" w:rsidR="00B768A3" w:rsidRPr="0080167E" w:rsidRDefault="00B768A3" w:rsidP="00D147AA">
      <w:pPr>
        <w:autoSpaceDE w:val="0"/>
        <w:autoSpaceDN w:val="0"/>
        <w:adjustRightInd w:val="0"/>
        <w:spacing w:after="0" w:line="360" w:lineRule="auto"/>
        <w:jc w:val="both"/>
        <w:rPr>
          <w:rFonts w:ascii="Arial" w:hAnsi="Arial" w:cs="Arial"/>
        </w:rPr>
      </w:pPr>
      <w:r w:rsidRPr="0080167E">
        <w:rPr>
          <w:rFonts w:ascii="Arial" w:hAnsi="Arial" w:cs="Arial"/>
        </w:rPr>
        <w:t xml:space="preserve">It is a dramatic transformation of the male-female relationship, and a rebalancing of power in favour of women that is at the heart of the 2022 novel, “After Dark”, written by Jayne Cowie.  </w:t>
      </w:r>
      <w:r w:rsidRPr="0080167E">
        <w:rPr>
          <w:rFonts w:ascii="Arial" w:hAnsi="Arial" w:cs="Arial"/>
        </w:rPr>
        <w:lastRenderedPageBreak/>
        <w:t>“After Dark” offers a radical vision for an alternative world, where violence against women is a thing of the past. All males aged 10 and older are subject to curfew, from 7pm to 7am. All males aged 10 and older are also electronically tagged, making it impossible for them to venture forth at night. If they leave their home in breach of curfew, they face imprisonment. Evenings and early mornings have thus become a time for women to enjoy the outside world, to go jogging, to socialise, to walk home from a cafe, bar</w:t>
      </w:r>
      <w:r w:rsidR="008E1E91">
        <w:rPr>
          <w:rFonts w:ascii="Arial" w:hAnsi="Arial" w:cs="Arial"/>
        </w:rPr>
        <w:t>,</w:t>
      </w:r>
      <w:r w:rsidRPr="0080167E">
        <w:rPr>
          <w:rFonts w:ascii="Arial" w:hAnsi="Arial" w:cs="Arial"/>
        </w:rPr>
        <w:t xml:space="preserve"> or nightclub alone. Violent crime rates have plummeted. In the home, domestic abuse rates have similarly dropped. Couples are not permitted to cohabit until they have received </w:t>
      </w:r>
      <w:proofErr w:type="gramStart"/>
      <w:r w:rsidRPr="0080167E">
        <w:rPr>
          <w:rFonts w:ascii="Arial" w:hAnsi="Arial" w:cs="Arial"/>
        </w:rPr>
        <w:t>counselling</w:t>
      </w:r>
      <w:proofErr w:type="gramEnd"/>
      <w:r w:rsidRPr="0080167E">
        <w:rPr>
          <w:rFonts w:ascii="Arial" w:hAnsi="Arial" w:cs="Arial"/>
        </w:rPr>
        <w:t xml:space="preserve"> and their relationship has been vetted, with a view to minimising the risks of male-female abuse within the home. </w:t>
      </w:r>
    </w:p>
    <w:p w14:paraId="4D06BEB0"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p>
    <w:p w14:paraId="16CE4F11" w14:textId="77777777" w:rsidR="00B768A3" w:rsidRDefault="00B768A3" w:rsidP="00C75961">
      <w:pPr>
        <w:pStyle w:val="NormalWeb"/>
        <w:shd w:val="clear" w:color="auto" w:fill="FFFFFF"/>
        <w:spacing w:before="0" w:beforeAutospacing="0" w:after="0" w:afterAutospacing="0" w:line="360" w:lineRule="auto"/>
        <w:ind w:firstLine="720"/>
        <w:jc w:val="both"/>
        <w:rPr>
          <w:rFonts w:ascii="Arial" w:hAnsi="Arial" w:cs="Arial"/>
          <w:sz w:val="22"/>
          <w:szCs w:val="22"/>
        </w:rPr>
      </w:pPr>
      <w:r w:rsidRPr="0080167E">
        <w:rPr>
          <w:rFonts w:ascii="Arial" w:hAnsi="Arial" w:cs="Arial"/>
          <w:sz w:val="22"/>
          <w:szCs w:val="22"/>
        </w:rPr>
        <w:t xml:space="preserve">At first glance the legal solutions “After Dark” envisages seem far </w:t>
      </w:r>
      <w:r w:rsidRPr="0080167E">
        <w:rPr>
          <w:rFonts w:ascii="Arial" w:hAnsi="Arial" w:cs="Arial"/>
          <w:i/>
          <w:iCs/>
          <w:sz w:val="22"/>
          <w:szCs w:val="22"/>
        </w:rPr>
        <w:t xml:space="preserve">too </w:t>
      </w:r>
      <w:r w:rsidRPr="0080167E">
        <w:rPr>
          <w:rFonts w:ascii="Arial" w:hAnsi="Arial" w:cs="Arial"/>
          <w:sz w:val="22"/>
          <w:szCs w:val="22"/>
        </w:rPr>
        <w:t xml:space="preserve">radical. In fact, however, many aspects of the After Dark world are already evident </w:t>
      </w:r>
      <w:proofErr w:type="gramStart"/>
      <w:r w:rsidRPr="0080167E">
        <w:rPr>
          <w:rFonts w:ascii="Arial" w:hAnsi="Arial" w:cs="Arial"/>
          <w:sz w:val="22"/>
          <w:szCs w:val="22"/>
        </w:rPr>
        <w:t>in today’s society</w:t>
      </w:r>
      <w:proofErr w:type="gramEnd"/>
      <w:r w:rsidRPr="0080167E">
        <w:rPr>
          <w:rFonts w:ascii="Arial" w:hAnsi="Arial" w:cs="Arial"/>
          <w:sz w:val="22"/>
          <w:szCs w:val="22"/>
        </w:rPr>
        <w:t>.  In After Dark, Jayne Cowie writes of the importance of ‘escape funds so that no woman is trapped due to a lack of money if she decides to end a relationship.’ In January 2024, following recommendations from the Domestic Abuse Commissioner,</w:t>
      </w:r>
      <w:r w:rsidRPr="0080167E">
        <w:rPr>
          <w:rStyle w:val="FootnoteReference"/>
          <w:rFonts w:ascii="Arial" w:hAnsi="Arial" w:cs="Arial"/>
          <w:sz w:val="22"/>
          <w:szCs w:val="22"/>
        </w:rPr>
        <w:footnoteReference w:id="13"/>
      </w:r>
      <w:r w:rsidRPr="0080167E">
        <w:rPr>
          <w:rFonts w:ascii="Arial" w:hAnsi="Arial" w:cs="Arial"/>
          <w:sz w:val="22"/>
          <w:szCs w:val="22"/>
        </w:rPr>
        <w:t xml:space="preserve"> the Government announced the setting up of a £2 million fund from which domestic abuse victims will be able to secure a payment of £500 to help them escape abuse.</w:t>
      </w:r>
      <w:r w:rsidRPr="0080167E">
        <w:rPr>
          <w:rStyle w:val="FootnoteReference"/>
          <w:rFonts w:ascii="Arial" w:hAnsi="Arial" w:cs="Arial"/>
          <w:sz w:val="22"/>
          <w:szCs w:val="22"/>
        </w:rPr>
        <w:footnoteReference w:id="14"/>
      </w:r>
    </w:p>
    <w:p w14:paraId="701A2578" w14:textId="77777777" w:rsidR="00E707FF" w:rsidRPr="0080167E" w:rsidRDefault="00E707FF" w:rsidP="00C75961">
      <w:pPr>
        <w:pStyle w:val="NormalWeb"/>
        <w:shd w:val="clear" w:color="auto" w:fill="FFFFFF"/>
        <w:spacing w:before="0" w:beforeAutospacing="0" w:after="0" w:afterAutospacing="0" w:line="360" w:lineRule="auto"/>
        <w:ind w:firstLine="720"/>
        <w:jc w:val="both"/>
        <w:rPr>
          <w:rFonts w:ascii="Arial" w:hAnsi="Arial" w:cs="Arial"/>
          <w:sz w:val="22"/>
          <w:szCs w:val="22"/>
        </w:rPr>
      </w:pPr>
    </w:p>
    <w:p w14:paraId="03BBEC96" w14:textId="77777777" w:rsidR="00B768A3" w:rsidRPr="0080167E" w:rsidRDefault="00B768A3" w:rsidP="00E707FF">
      <w:pPr>
        <w:pStyle w:val="NormalWeb"/>
        <w:shd w:val="clear" w:color="auto" w:fill="FFFFFF"/>
        <w:spacing w:before="0" w:beforeAutospacing="0" w:after="0" w:afterAutospacing="0" w:line="360" w:lineRule="auto"/>
        <w:ind w:firstLine="720"/>
        <w:jc w:val="both"/>
        <w:rPr>
          <w:rFonts w:ascii="Arial" w:hAnsi="Arial" w:cs="Arial"/>
          <w:sz w:val="22"/>
          <w:szCs w:val="22"/>
        </w:rPr>
      </w:pPr>
      <w:r w:rsidRPr="0080167E">
        <w:rPr>
          <w:rFonts w:ascii="Arial" w:hAnsi="Arial" w:cs="Arial"/>
          <w:sz w:val="22"/>
          <w:szCs w:val="22"/>
        </w:rPr>
        <w:t>Section 37 Domestic Abuse Act 2021 already envisages that when a court makes a domestic abuse protection notice they will also impose an electronic monitoring requirement (tagging). As the Government’s draft statutory guidance on the DAA 2021 explains, the purpose of such electronic monitoring requirements</w:t>
      </w:r>
    </w:p>
    <w:p w14:paraId="5B6FECD0" w14:textId="77777777" w:rsidR="00B768A3" w:rsidRPr="0080167E" w:rsidRDefault="00B768A3" w:rsidP="00D147AA">
      <w:pPr>
        <w:pStyle w:val="NormalWeb"/>
        <w:shd w:val="clear" w:color="auto" w:fill="FFFFFF"/>
        <w:spacing w:before="0" w:beforeAutospacing="0" w:after="0" w:afterAutospacing="0" w:line="360" w:lineRule="auto"/>
        <w:ind w:left="720"/>
        <w:jc w:val="both"/>
        <w:rPr>
          <w:rFonts w:ascii="Arial" w:hAnsi="Arial" w:cs="Arial"/>
          <w:sz w:val="22"/>
          <w:szCs w:val="22"/>
        </w:rPr>
      </w:pPr>
    </w:p>
    <w:p w14:paraId="6FDCDBD9" w14:textId="7623B52E" w:rsidR="00B768A3" w:rsidRDefault="00B768A3" w:rsidP="00E707FF">
      <w:pPr>
        <w:pStyle w:val="NormalWeb"/>
        <w:shd w:val="clear" w:color="auto" w:fill="FFFFFF"/>
        <w:spacing w:before="0" w:beforeAutospacing="0" w:after="0" w:afterAutospacing="0" w:line="360" w:lineRule="auto"/>
        <w:ind w:left="720" w:right="521"/>
        <w:jc w:val="both"/>
        <w:rPr>
          <w:rFonts w:ascii="Arial" w:hAnsi="Arial" w:cs="Arial"/>
          <w:sz w:val="22"/>
          <w:szCs w:val="22"/>
        </w:rPr>
      </w:pPr>
      <w:r w:rsidRPr="0080167E">
        <w:rPr>
          <w:rFonts w:ascii="Arial" w:hAnsi="Arial" w:cs="Arial"/>
          <w:sz w:val="22"/>
          <w:szCs w:val="22"/>
        </w:rPr>
        <w:t xml:space="preserve">is to monitor the perpetrator’s compliance with the other requirements imposed by the DAPO. For example, if the DAPO prohibits the perpetrator from coming within a specified distance of the victim’s home, then electronic monitoring could be imposed to monitor whether the perpetrator is complying with this requirement by remaining outside of the exclusion zone. </w:t>
      </w:r>
    </w:p>
    <w:p w14:paraId="425A20C7" w14:textId="77777777" w:rsidR="007C70AF" w:rsidRPr="0080167E" w:rsidRDefault="007C70AF" w:rsidP="00E707FF">
      <w:pPr>
        <w:pStyle w:val="NormalWeb"/>
        <w:shd w:val="clear" w:color="auto" w:fill="FFFFFF"/>
        <w:spacing w:before="0" w:beforeAutospacing="0" w:after="0" w:afterAutospacing="0" w:line="360" w:lineRule="auto"/>
        <w:ind w:left="720" w:right="521"/>
        <w:jc w:val="both"/>
        <w:rPr>
          <w:rFonts w:ascii="Arial" w:hAnsi="Arial" w:cs="Arial"/>
          <w:sz w:val="22"/>
          <w:szCs w:val="22"/>
        </w:rPr>
      </w:pPr>
    </w:p>
    <w:p w14:paraId="02E2753A" w14:textId="77777777" w:rsidR="00B768A3" w:rsidRPr="0080167E" w:rsidRDefault="00B768A3" w:rsidP="00D147AA">
      <w:pPr>
        <w:pStyle w:val="Default"/>
        <w:spacing w:line="360" w:lineRule="auto"/>
        <w:jc w:val="both"/>
        <w:rPr>
          <w:color w:val="auto"/>
          <w:sz w:val="22"/>
          <w:szCs w:val="22"/>
        </w:rPr>
      </w:pPr>
      <w:r w:rsidRPr="0080167E">
        <w:rPr>
          <w:color w:val="auto"/>
          <w:sz w:val="22"/>
          <w:szCs w:val="22"/>
        </w:rPr>
        <w:t xml:space="preserve">Whilst the intention of this legislation is clearly not the wholesale monitoring of men envisaged in After Dark, nonetheless such monitoring, although tailored to the specific situation in which </w:t>
      </w:r>
      <w:r w:rsidRPr="0080167E">
        <w:rPr>
          <w:color w:val="auto"/>
          <w:sz w:val="22"/>
          <w:szCs w:val="22"/>
        </w:rPr>
        <w:lastRenderedPageBreak/>
        <w:t>the perpetrator and victim find themselves, may potentially have significant impact upon a perpetrator’s ability to move around the neighbourhood in which they live.</w:t>
      </w:r>
    </w:p>
    <w:p w14:paraId="44B7F20F"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p>
    <w:p w14:paraId="5FCE07EF" w14:textId="6C617C96" w:rsidR="00B768A3" w:rsidRPr="0080167E" w:rsidRDefault="00B768A3" w:rsidP="00585B98">
      <w:pPr>
        <w:pStyle w:val="NormalWeb"/>
        <w:shd w:val="clear" w:color="auto" w:fill="FFFFFF"/>
        <w:spacing w:before="0" w:beforeAutospacing="0" w:after="0" w:afterAutospacing="0" w:line="360" w:lineRule="auto"/>
        <w:ind w:firstLine="720"/>
        <w:jc w:val="both"/>
        <w:rPr>
          <w:rFonts w:ascii="Arial" w:hAnsi="Arial" w:cs="Arial"/>
          <w:sz w:val="22"/>
          <w:szCs w:val="22"/>
        </w:rPr>
      </w:pPr>
      <w:r w:rsidRPr="0080167E">
        <w:rPr>
          <w:rFonts w:ascii="Arial" w:hAnsi="Arial" w:cs="Arial"/>
          <w:sz w:val="22"/>
          <w:szCs w:val="22"/>
        </w:rPr>
        <w:t>“After Dark” is a novel of its time, reflecting the concerns many are now expressing about the safety of women in public, concerns that became heightened following the murders of a number of women including Sarah Everard and Sabina Nessa in London and Ashling Murphy in Ireland.</w:t>
      </w:r>
      <w:r w:rsidRPr="0080167E">
        <w:rPr>
          <w:rStyle w:val="FootnoteReference"/>
          <w:rFonts w:ascii="Arial" w:hAnsi="Arial" w:cs="Arial"/>
          <w:sz w:val="22"/>
          <w:szCs w:val="22"/>
        </w:rPr>
        <w:footnoteReference w:id="15"/>
      </w:r>
      <w:r w:rsidRPr="0080167E">
        <w:rPr>
          <w:rFonts w:ascii="Arial" w:hAnsi="Arial" w:cs="Arial"/>
          <w:sz w:val="22"/>
          <w:szCs w:val="22"/>
        </w:rPr>
        <w:t xml:space="preserve">  </w:t>
      </w:r>
      <w:r w:rsidRPr="0080167E">
        <w:rPr>
          <w:rFonts w:ascii="Arial" w:hAnsi="Arial" w:cs="Arial"/>
          <w:sz w:val="22"/>
          <w:szCs w:val="22"/>
          <w:shd w:val="clear" w:color="auto" w:fill="FFFFFF"/>
        </w:rPr>
        <w:t>In the wake of Sarah Everard’s death, women in the Clapham area were cautioned by the Metropolitan police against venturing out alone; they were effectively asked to self-curfew.</w:t>
      </w:r>
      <w:r w:rsidRPr="0080167E">
        <w:rPr>
          <w:rStyle w:val="FootnoteReference"/>
          <w:rFonts w:ascii="Arial" w:hAnsi="Arial" w:cs="Arial"/>
          <w:sz w:val="22"/>
          <w:szCs w:val="22"/>
          <w:shd w:val="clear" w:color="auto" w:fill="FFFFFF"/>
        </w:rPr>
        <w:footnoteReference w:id="16"/>
      </w:r>
      <w:r w:rsidRPr="0080167E">
        <w:rPr>
          <w:rFonts w:ascii="Arial" w:hAnsi="Arial" w:cs="Arial"/>
          <w:sz w:val="22"/>
          <w:szCs w:val="22"/>
          <w:shd w:val="clear" w:color="auto" w:fill="FFFFFF"/>
        </w:rPr>
        <w:t xml:space="preserve"> </w:t>
      </w:r>
      <w:r w:rsidRPr="0080167E">
        <w:rPr>
          <w:rFonts w:ascii="Arial" w:hAnsi="Arial" w:cs="Arial"/>
          <w:sz w:val="22"/>
          <w:szCs w:val="22"/>
        </w:rPr>
        <w:t xml:space="preserve">In response to the Metropolitan Police’s advice, in her contributions to the House of Lords debates on the Domestic Abuse Bill in March 2021, Baroness Jones of </w:t>
      </w:r>
      <w:proofErr w:type="spellStart"/>
      <w:r w:rsidRPr="0080167E">
        <w:rPr>
          <w:rFonts w:ascii="Arial" w:hAnsi="Arial" w:cs="Arial"/>
          <w:sz w:val="22"/>
          <w:szCs w:val="22"/>
        </w:rPr>
        <w:t>Moulsecoomb</w:t>
      </w:r>
      <w:proofErr w:type="spellEnd"/>
      <w:r w:rsidRPr="0080167E">
        <w:rPr>
          <w:rFonts w:ascii="Arial" w:hAnsi="Arial" w:cs="Arial"/>
          <w:sz w:val="22"/>
          <w:szCs w:val="22"/>
        </w:rPr>
        <w:t xml:space="preserve"> indicated</w:t>
      </w:r>
      <w:r w:rsidR="003644FC">
        <w:rPr>
          <w:rFonts w:ascii="Arial" w:hAnsi="Arial" w:cs="Arial"/>
          <w:sz w:val="22"/>
          <w:szCs w:val="22"/>
        </w:rPr>
        <w:t>:</w:t>
      </w:r>
      <w:r w:rsidRPr="0080167E">
        <w:rPr>
          <w:rFonts w:ascii="Arial" w:hAnsi="Arial" w:cs="Arial"/>
          <w:sz w:val="22"/>
          <w:szCs w:val="22"/>
        </w:rPr>
        <w:t xml:space="preserve"> </w:t>
      </w:r>
    </w:p>
    <w:p w14:paraId="7E134E89"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p>
    <w:p w14:paraId="45B8E17E" w14:textId="43B1E549" w:rsidR="00B768A3" w:rsidRPr="0080167E" w:rsidRDefault="00B768A3" w:rsidP="00585B98">
      <w:pPr>
        <w:pStyle w:val="NormalWeb"/>
        <w:shd w:val="clear" w:color="auto" w:fill="FFFFFF"/>
        <w:spacing w:before="0" w:beforeAutospacing="0" w:after="0" w:afterAutospacing="0" w:line="360" w:lineRule="auto"/>
        <w:ind w:left="720" w:right="521"/>
        <w:jc w:val="both"/>
        <w:rPr>
          <w:rFonts w:ascii="Arial" w:hAnsi="Arial" w:cs="Arial"/>
          <w:sz w:val="22"/>
          <w:szCs w:val="22"/>
        </w:rPr>
      </w:pPr>
      <w:r w:rsidRPr="0080167E">
        <w:rPr>
          <w:rFonts w:ascii="Arial" w:hAnsi="Arial" w:cs="Arial"/>
          <w:sz w:val="22"/>
          <w:szCs w:val="22"/>
        </w:rPr>
        <w:t>at the next opportunity for any Bill that is appropriate, I might put in an amendment to create a curfew for men on the streets after 6pm. I feel this would make women a lot safer, and discrimination of all kinds would be lessened.</w:t>
      </w:r>
      <w:r w:rsidRPr="0080167E">
        <w:rPr>
          <w:rStyle w:val="FootnoteReference"/>
          <w:rFonts w:ascii="Arial" w:hAnsi="Arial" w:cs="Arial"/>
          <w:sz w:val="22"/>
          <w:szCs w:val="22"/>
        </w:rPr>
        <w:footnoteReference w:id="17"/>
      </w:r>
      <w:r w:rsidRPr="0080167E">
        <w:rPr>
          <w:rFonts w:ascii="Arial" w:hAnsi="Arial" w:cs="Arial"/>
          <w:sz w:val="22"/>
          <w:szCs w:val="22"/>
        </w:rPr>
        <w:t xml:space="preserve">  </w:t>
      </w:r>
    </w:p>
    <w:p w14:paraId="60AF8533"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p>
    <w:p w14:paraId="4895DAFB" w14:textId="4B40E5D5"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r w:rsidRPr="0080167E">
        <w:rPr>
          <w:rFonts w:ascii="Arial" w:hAnsi="Arial" w:cs="Arial"/>
          <w:sz w:val="22"/>
          <w:szCs w:val="22"/>
        </w:rPr>
        <w:t>Whilst later suggesting that she was not making a serious suggestion, Baroness Jones, nonetheless identified a significant issue</w:t>
      </w:r>
      <w:r w:rsidR="003644FC">
        <w:rPr>
          <w:rFonts w:ascii="Arial" w:hAnsi="Arial" w:cs="Arial"/>
          <w:sz w:val="22"/>
          <w:szCs w:val="22"/>
        </w:rPr>
        <w:t>:</w:t>
      </w:r>
    </w:p>
    <w:p w14:paraId="37FEA6C7" w14:textId="77777777" w:rsidR="00B768A3" w:rsidRPr="0080167E" w:rsidRDefault="00B768A3" w:rsidP="00D147AA">
      <w:pPr>
        <w:pStyle w:val="NormalWeb"/>
        <w:shd w:val="clear" w:color="auto" w:fill="FFFFFF"/>
        <w:spacing w:before="0" w:beforeAutospacing="0" w:after="0" w:afterAutospacing="0" w:line="360" w:lineRule="auto"/>
        <w:ind w:left="720"/>
        <w:jc w:val="both"/>
        <w:rPr>
          <w:rFonts w:ascii="Arial" w:hAnsi="Arial" w:cs="Arial"/>
          <w:sz w:val="22"/>
          <w:szCs w:val="22"/>
          <w:shd w:val="clear" w:color="auto" w:fill="FFFFFF"/>
        </w:rPr>
      </w:pPr>
    </w:p>
    <w:p w14:paraId="3F50E0BB" w14:textId="1AB607B9" w:rsidR="00B768A3" w:rsidRPr="0080167E" w:rsidRDefault="00B768A3" w:rsidP="00585B98">
      <w:pPr>
        <w:pStyle w:val="NormalWeb"/>
        <w:shd w:val="clear" w:color="auto" w:fill="FFFFFF"/>
        <w:spacing w:before="0" w:beforeAutospacing="0" w:after="0" w:afterAutospacing="0" w:line="360" w:lineRule="auto"/>
        <w:ind w:left="720" w:right="521"/>
        <w:jc w:val="both"/>
        <w:rPr>
          <w:rFonts w:ascii="Arial" w:hAnsi="Arial" w:cs="Arial"/>
          <w:sz w:val="22"/>
          <w:szCs w:val="22"/>
          <w:shd w:val="clear" w:color="auto" w:fill="FFFFFF"/>
        </w:rPr>
      </w:pPr>
      <w:r w:rsidRPr="0080167E">
        <w:rPr>
          <w:rFonts w:ascii="Arial" w:hAnsi="Arial" w:cs="Arial"/>
          <w:sz w:val="22"/>
          <w:szCs w:val="22"/>
          <w:shd w:val="clear" w:color="auto" w:fill="FFFFFF"/>
        </w:rPr>
        <w:t xml:space="preserve">when the police victim </w:t>
      </w:r>
      <w:proofErr w:type="gramStart"/>
      <w:r w:rsidRPr="0080167E">
        <w:rPr>
          <w:rFonts w:ascii="Arial" w:hAnsi="Arial" w:cs="Arial"/>
          <w:sz w:val="22"/>
          <w:szCs w:val="22"/>
          <w:shd w:val="clear" w:color="auto" w:fill="FFFFFF"/>
        </w:rPr>
        <w:t>blame</w:t>
      </w:r>
      <w:proofErr w:type="gramEnd"/>
      <w:r w:rsidRPr="0080167E">
        <w:rPr>
          <w:rFonts w:ascii="Arial" w:hAnsi="Arial" w:cs="Arial"/>
          <w:sz w:val="22"/>
          <w:szCs w:val="22"/>
          <w:shd w:val="clear" w:color="auto" w:fill="FFFFFF"/>
        </w:rPr>
        <w:t xml:space="preserve"> by asking women to stay home, we don't react. We just think it's normal … in fact nobody makes a fuss when, for example, the police suggest women stay home. But when I suggest it, men are up in arms.</w:t>
      </w:r>
      <w:r w:rsidRPr="0080167E">
        <w:rPr>
          <w:rStyle w:val="FootnoteReference"/>
          <w:rFonts w:ascii="Arial" w:hAnsi="Arial" w:cs="Arial"/>
          <w:sz w:val="22"/>
          <w:szCs w:val="22"/>
          <w:shd w:val="clear" w:color="auto" w:fill="FFFFFF"/>
        </w:rPr>
        <w:footnoteReference w:id="18"/>
      </w:r>
    </w:p>
    <w:p w14:paraId="1CCA47DE"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shd w:val="clear" w:color="auto" w:fill="FFFFFF"/>
        </w:rPr>
      </w:pPr>
    </w:p>
    <w:p w14:paraId="1733D2A3" w14:textId="77777777" w:rsidR="00B768A3" w:rsidRPr="0080167E" w:rsidRDefault="00B768A3" w:rsidP="005D414F">
      <w:pPr>
        <w:pStyle w:val="NormalWeb"/>
        <w:shd w:val="clear" w:color="auto" w:fill="FFFFFF"/>
        <w:spacing w:before="0" w:beforeAutospacing="0" w:after="0" w:afterAutospacing="0" w:line="360" w:lineRule="auto"/>
        <w:ind w:firstLine="720"/>
        <w:jc w:val="both"/>
        <w:rPr>
          <w:rFonts w:ascii="Arial" w:hAnsi="Arial" w:cs="Arial"/>
          <w:sz w:val="22"/>
          <w:szCs w:val="22"/>
          <w:shd w:val="clear" w:color="auto" w:fill="FFFFFF"/>
        </w:rPr>
      </w:pPr>
      <w:r w:rsidRPr="0080167E">
        <w:rPr>
          <w:rFonts w:ascii="Arial" w:hAnsi="Arial" w:cs="Arial"/>
          <w:sz w:val="22"/>
          <w:szCs w:val="22"/>
          <w:shd w:val="clear" w:color="auto" w:fill="FFFFFF"/>
        </w:rPr>
        <w:t>As Judi Atkins recognised in her response to the furore that followed Baroness Jones’ comments, many people took Baroness Jones’ words at face value, failing to recognise the ‘rhetorical device’ being used.</w:t>
      </w:r>
      <w:r w:rsidRPr="0080167E">
        <w:rPr>
          <w:rStyle w:val="FootnoteReference"/>
          <w:rFonts w:ascii="Arial" w:hAnsi="Arial" w:cs="Arial"/>
          <w:sz w:val="22"/>
          <w:szCs w:val="22"/>
          <w:shd w:val="clear" w:color="auto" w:fill="FFFFFF"/>
        </w:rPr>
        <w:footnoteReference w:id="19"/>
      </w:r>
      <w:r w:rsidRPr="0080167E">
        <w:rPr>
          <w:rFonts w:ascii="Arial" w:hAnsi="Arial" w:cs="Arial"/>
          <w:sz w:val="22"/>
          <w:szCs w:val="22"/>
          <w:shd w:val="clear" w:color="auto" w:fill="FFFFFF"/>
        </w:rPr>
        <w:t xml:space="preserve"> Baroness Jones words accordingly resulted in a backlash of misogynistic online abuse, allegations of extremism, and suggestions that women are ‘demanding insane levels of protection’.</w:t>
      </w:r>
      <w:r w:rsidRPr="0080167E">
        <w:rPr>
          <w:rStyle w:val="FootnoteReference"/>
          <w:rFonts w:ascii="Arial" w:hAnsi="Arial" w:cs="Arial"/>
          <w:sz w:val="22"/>
          <w:szCs w:val="22"/>
          <w:shd w:val="clear" w:color="auto" w:fill="FFFFFF"/>
        </w:rPr>
        <w:footnoteReference w:id="20"/>
      </w:r>
      <w:r w:rsidRPr="0080167E">
        <w:rPr>
          <w:rFonts w:ascii="Arial" w:hAnsi="Arial" w:cs="Arial"/>
          <w:sz w:val="22"/>
          <w:szCs w:val="22"/>
          <w:shd w:val="clear" w:color="auto" w:fill="FFFFFF"/>
        </w:rPr>
        <w:t xml:space="preserve"> Women are, however, consistently told to modify their behaviour, to avoid male violence, whether that be by taking a taxi home rather than </w:t>
      </w:r>
      <w:r w:rsidRPr="0080167E">
        <w:rPr>
          <w:rFonts w:ascii="Arial" w:hAnsi="Arial" w:cs="Arial"/>
          <w:sz w:val="22"/>
          <w:szCs w:val="22"/>
          <w:shd w:val="clear" w:color="auto" w:fill="FFFFFF"/>
        </w:rPr>
        <w:lastRenderedPageBreak/>
        <w:t>walking or by avoiding dark alleyways.</w:t>
      </w:r>
      <w:r w:rsidRPr="0080167E">
        <w:rPr>
          <w:rStyle w:val="FootnoteReference"/>
          <w:rFonts w:ascii="Arial" w:hAnsi="Arial" w:cs="Arial"/>
          <w:sz w:val="22"/>
          <w:szCs w:val="22"/>
          <w:shd w:val="clear" w:color="auto" w:fill="FFFFFF"/>
        </w:rPr>
        <w:footnoteReference w:id="21"/>
      </w:r>
      <w:r w:rsidRPr="0080167E">
        <w:rPr>
          <w:rFonts w:ascii="Arial" w:hAnsi="Arial" w:cs="Arial"/>
          <w:sz w:val="22"/>
          <w:szCs w:val="22"/>
          <w:shd w:val="clear" w:color="auto" w:fill="FFFFFF"/>
        </w:rPr>
        <w:t xml:space="preserve"> Baroness Jones thus made a serious point, her comments reflected the ‘outrage that half the population has to put up with all the time’.</w:t>
      </w:r>
      <w:r w:rsidRPr="0080167E">
        <w:rPr>
          <w:rStyle w:val="FootnoteReference"/>
          <w:rFonts w:ascii="Arial" w:hAnsi="Arial" w:cs="Arial"/>
          <w:sz w:val="22"/>
          <w:szCs w:val="22"/>
          <w:shd w:val="clear" w:color="auto" w:fill="FFFFFF"/>
        </w:rPr>
        <w:footnoteReference w:id="22"/>
      </w:r>
      <w:r w:rsidRPr="0080167E">
        <w:rPr>
          <w:rFonts w:ascii="Arial" w:hAnsi="Arial" w:cs="Arial"/>
          <w:sz w:val="22"/>
          <w:szCs w:val="22"/>
          <w:shd w:val="clear" w:color="auto" w:fill="FFFFFF"/>
        </w:rPr>
        <w:t xml:space="preserve"> </w:t>
      </w:r>
    </w:p>
    <w:p w14:paraId="3A247987"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shd w:val="clear" w:color="auto" w:fill="FFFFFF"/>
        </w:rPr>
      </w:pPr>
    </w:p>
    <w:p w14:paraId="2457005E" w14:textId="45849B88" w:rsidR="00B768A3" w:rsidRPr="0080167E" w:rsidRDefault="00B768A3" w:rsidP="00712209">
      <w:pPr>
        <w:pStyle w:val="NormalWeb"/>
        <w:shd w:val="clear" w:color="auto" w:fill="FFFFFF"/>
        <w:spacing w:before="0" w:beforeAutospacing="0" w:after="0" w:afterAutospacing="0" w:line="360" w:lineRule="auto"/>
        <w:ind w:firstLine="720"/>
        <w:jc w:val="both"/>
        <w:rPr>
          <w:rFonts w:ascii="Arial" w:hAnsi="Arial" w:cs="Arial"/>
          <w:sz w:val="22"/>
          <w:szCs w:val="22"/>
          <w:shd w:val="clear" w:color="auto" w:fill="FFFFFF"/>
        </w:rPr>
      </w:pPr>
      <w:r w:rsidRPr="0080167E">
        <w:rPr>
          <w:rFonts w:ascii="Arial" w:hAnsi="Arial" w:cs="Arial"/>
          <w:sz w:val="22"/>
          <w:szCs w:val="22"/>
          <w:shd w:val="clear" w:color="auto" w:fill="FFFFFF"/>
        </w:rPr>
        <w:t xml:space="preserve">Whether a male curfew is the ‘right’ answer to the problem of violence against women and girls remains a live question; it is a question which is given much careful consideration by Professor Jonathan Herring in the first article in this special issue, </w:t>
      </w:r>
      <w:r w:rsidR="00712209">
        <w:rPr>
          <w:rFonts w:ascii="Arial" w:hAnsi="Arial" w:cs="Arial"/>
          <w:sz w:val="22"/>
          <w:szCs w:val="22"/>
          <w:shd w:val="clear" w:color="auto" w:fill="FFFFFF"/>
        </w:rPr>
        <w:t>‘</w:t>
      </w:r>
      <w:r w:rsidRPr="00712209">
        <w:rPr>
          <w:rFonts w:ascii="Arial" w:hAnsi="Arial" w:cs="Arial"/>
          <w:sz w:val="22"/>
          <w:szCs w:val="22"/>
          <w:shd w:val="clear" w:color="auto" w:fill="FFFFFF"/>
        </w:rPr>
        <w:t xml:space="preserve">A </w:t>
      </w:r>
      <w:r w:rsidR="00712209" w:rsidRPr="00712209">
        <w:rPr>
          <w:rFonts w:ascii="Arial" w:hAnsi="Arial" w:cs="Arial"/>
          <w:sz w:val="22"/>
          <w:szCs w:val="22"/>
          <w:shd w:val="clear" w:color="auto" w:fill="FFFFFF"/>
        </w:rPr>
        <w:t xml:space="preserve">Right </w:t>
      </w:r>
      <w:r w:rsidR="00712209">
        <w:rPr>
          <w:rFonts w:ascii="Arial" w:hAnsi="Arial" w:cs="Arial"/>
          <w:sz w:val="22"/>
          <w:szCs w:val="22"/>
          <w:shd w:val="clear" w:color="auto" w:fill="FFFFFF"/>
        </w:rPr>
        <w:t>t</w:t>
      </w:r>
      <w:r w:rsidR="00712209" w:rsidRPr="00712209">
        <w:rPr>
          <w:rFonts w:ascii="Arial" w:hAnsi="Arial" w:cs="Arial"/>
          <w:sz w:val="22"/>
          <w:szCs w:val="22"/>
          <w:shd w:val="clear" w:color="auto" w:fill="FFFFFF"/>
        </w:rPr>
        <w:t xml:space="preserve">o </w:t>
      </w:r>
      <w:r w:rsidR="00712209">
        <w:rPr>
          <w:rFonts w:ascii="Arial" w:hAnsi="Arial" w:cs="Arial"/>
          <w:sz w:val="22"/>
          <w:szCs w:val="22"/>
          <w:shd w:val="clear" w:color="auto" w:fill="FFFFFF"/>
        </w:rPr>
        <w:t>a</w:t>
      </w:r>
      <w:r w:rsidR="00712209" w:rsidRPr="00712209">
        <w:rPr>
          <w:rFonts w:ascii="Arial" w:hAnsi="Arial" w:cs="Arial"/>
          <w:sz w:val="22"/>
          <w:szCs w:val="22"/>
          <w:shd w:val="clear" w:color="auto" w:fill="FFFFFF"/>
        </w:rPr>
        <w:t xml:space="preserve"> Male Curfew</w:t>
      </w:r>
      <w:r w:rsidR="00712209">
        <w:rPr>
          <w:rFonts w:ascii="Arial" w:hAnsi="Arial" w:cs="Arial"/>
          <w:sz w:val="22"/>
          <w:szCs w:val="22"/>
          <w:shd w:val="clear" w:color="auto" w:fill="FFFFFF"/>
        </w:rPr>
        <w:t>’</w:t>
      </w:r>
      <w:r w:rsidRPr="0080167E">
        <w:rPr>
          <w:rFonts w:ascii="Arial" w:hAnsi="Arial" w:cs="Arial"/>
          <w:sz w:val="22"/>
          <w:szCs w:val="22"/>
          <w:shd w:val="clear" w:color="auto" w:fill="FFFFFF"/>
        </w:rPr>
        <w:t>. In his article, Herring discusses the epidemic of male violence and harassment against women in public spaces, arguing that this is a breach of women’s human rights and that there is a state obligation to protect women. Herring explains why a male curfew may be an effective way for the state to fulfil these obligations, whilst acknowledging the challenges in enforcement and the potential for discrimination against gender-non-conforming women and trans women.</w:t>
      </w:r>
    </w:p>
    <w:p w14:paraId="38B5E533"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p>
    <w:p w14:paraId="3526A135" w14:textId="0BEDA574" w:rsidR="00B768A3" w:rsidRPr="0080167E" w:rsidRDefault="00B768A3" w:rsidP="00394D3A">
      <w:pPr>
        <w:pStyle w:val="NormalWeb"/>
        <w:shd w:val="clear" w:color="auto" w:fill="FFFFFF"/>
        <w:spacing w:before="0" w:beforeAutospacing="0" w:after="0" w:afterAutospacing="0" w:line="360" w:lineRule="auto"/>
        <w:ind w:firstLine="720"/>
        <w:jc w:val="both"/>
        <w:rPr>
          <w:rFonts w:ascii="Arial" w:hAnsi="Arial" w:cs="Arial"/>
          <w:sz w:val="22"/>
          <w:szCs w:val="22"/>
        </w:rPr>
      </w:pPr>
      <w:r w:rsidRPr="0080167E">
        <w:rPr>
          <w:rFonts w:ascii="Arial" w:hAnsi="Arial" w:cs="Arial"/>
          <w:sz w:val="22"/>
          <w:szCs w:val="22"/>
        </w:rPr>
        <w:t>The world envisaged in After Dark mirrors and calls upon us to examine aspects of today’s society.  As After Dark illustrates, the pre-cohabitation counselling that all couples must engage in before living together does not afford cast iron protection against violence. In After Dark, the counsellor identifies and raises concerns about Helen and Tom’s compatibility. Her decision to nonetheless grant the cohabitation certificate which enables Helen and Tom to live together, and her decision that she will leave it to Helen to decide whether to cohabit simply shifts the onus to Helen (the victim). Similarities can be drawn here to discussions about the merits of the Domestic Violence Disclosure Scheme, another early intervention scheme, which, similarly to the pre-cohabitation counselling aims to prevent future victimisation, in this instance through the disclosure of an intimate partner’s previous convictions. Whilst, in theory, it is suggested women will be empowered because they will</w:t>
      </w:r>
      <w:r w:rsidR="004342AA">
        <w:rPr>
          <w:rFonts w:ascii="Arial" w:hAnsi="Arial" w:cs="Arial"/>
          <w:sz w:val="22"/>
          <w:szCs w:val="22"/>
        </w:rPr>
        <w:t xml:space="preserve"> be</w:t>
      </w:r>
      <w:r w:rsidRPr="0080167E">
        <w:rPr>
          <w:rFonts w:ascii="Arial" w:hAnsi="Arial" w:cs="Arial"/>
          <w:sz w:val="22"/>
          <w:szCs w:val="22"/>
        </w:rPr>
        <w:t xml:space="preserve"> able to make informed choices about how to keep themselves and their children safe, scholars highlight a similar displacement of responsibility.</w:t>
      </w:r>
      <w:r w:rsidRPr="0080167E">
        <w:rPr>
          <w:rStyle w:val="FootnoteReference"/>
          <w:rFonts w:ascii="Arial" w:hAnsi="Arial" w:cs="Arial"/>
          <w:sz w:val="22"/>
          <w:szCs w:val="22"/>
        </w:rPr>
        <w:footnoteReference w:id="23"/>
      </w:r>
      <w:r w:rsidRPr="0080167E">
        <w:rPr>
          <w:rFonts w:ascii="Arial" w:hAnsi="Arial" w:cs="Arial"/>
          <w:sz w:val="22"/>
          <w:szCs w:val="22"/>
        </w:rPr>
        <w:t xml:space="preserve">  The onus is again placed upon the female victim to do something. </w:t>
      </w:r>
    </w:p>
    <w:p w14:paraId="26033344"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p>
    <w:p w14:paraId="63D27657" w14:textId="4901668B" w:rsidR="00B768A3" w:rsidRPr="0080167E" w:rsidRDefault="00B768A3" w:rsidP="004342AA">
      <w:pPr>
        <w:pStyle w:val="NormalWeb"/>
        <w:shd w:val="clear" w:color="auto" w:fill="FFFFFF"/>
        <w:spacing w:before="0" w:beforeAutospacing="0" w:after="0" w:afterAutospacing="0" w:line="360" w:lineRule="auto"/>
        <w:ind w:firstLine="720"/>
        <w:jc w:val="both"/>
        <w:rPr>
          <w:rFonts w:ascii="Arial" w:hAnsi="Arial" w:cs="Arial"/>
          <w:sz w:val="22"/>
          <w:szCs w:val="22"/>
        </w:rPr>
      </w:pPr>
      <w:r w:rsidRPr="0080167E">
        <w:rPr>
          <w:rFonts w:ascii="Arial" w:hAnsi="Arial" w:cs="Arial"/>
          <w:sz w:val="22"/>
          <w:szCs w:val="22"/>
        </w:rPr>
        <w:t>In a similar vein, the classroom-based discussions about the Prevention of Femicide Act 2023 in After Dark further highlight key questions which victims of gender-based violence are often called upon to answer</w:t>
      </w:r>
      <w:r w:rsidR="007337A7">
        <w:rPr>
          <w:rFonts w:ascii="Arial" w:hAnsi="Arial" w:cs="Arial"/>
          <w:sz w:val="22"/>
          <w:szCs w:val="22"/>
        </w:rPr>
        <w:t>:</w:t>
      </w:r>
      <w:r w:rsidRPr="0080167E">
        <w:rPr>
          <w:rFonts w:ascii="Arial" w:hAnsi="Arial" w:cs="Arial"/>
          <w:sz w:val="22"/>
          <w:szCs w:val="22"/>
        </w:rPr>
        <w:t xml:space="preserve"> Why didn’t you go to the police? Why didn’t you just leave? Such questions, which lie at the heart of a culture of ‘victim-blaming’, are examined in detail in Professor Mandy Burton’s article for this special issue, </w:t>
      </w:r>
      <w:r w:rsidR="007337A7">
        <w:rPr>
          <w:rFonts w:ascii="Arial" w:hAnsi="Arial" w:cs="Arial"/>
          <w:sz w:val="22"/>
          <w:szCs w:val="22"/>
        </w:rPr>
        <w:t>‘</w:t>
      </w:r>
      <w:r w:rsidRPr="007337A7">
        <w:rPr>
          <w:rFonts w:ascii="Arial" w:hAnsi="Arial" w:cs="Arial"/>
          <w:sz w:val="22"/>
          <w:szCs w:val="22"/>
        </w:rPr>
        <w:t>Policing Men</w:t>
      </w:r>
      <w:r w:rsidR="007337A7" w:rsidRPr="007337A7">
        <w:rPr>
          <w:rFonts w:ascii="Arial" w:hAnsi="Arial" w:cs="Arial"/>
          <w:sz w:val="22"/>
          <w:szCs w:val="22"/>
        </w:rPr>
        <w:t xml:space="preserve">, </w:t>
      </w:r>
      <w:r w:rsidRPr="007337A7">
        <w:rPr>
          <w:rFonts w:ascii="Arial" w:hAnsi="Arial" w:cs="Arial"/>
          <w:sz w:val="22"/>
          <w:szCs w:val="22"/>
        </w:rPr>
        <w:t>Policing Women</w:t>
      </w:r>
      <w:r w:rsidR="007337A7" w:rsidRPr="007337A7">
        <w:rPr>
          <w:rFonts w:ascii="Arial" w:hAnsi="Arial" w:cs="Arial"/>
          <w:sz w:val="22"/>
          <w:szCs w:val="22"/>
        </w:rPr>
        <w:t xml:space="preserve">: </w:t>
      </w:r>
      <w:r w:rsidRPr="007337A7">
        <w:rPr>
          <w:rFonts w:ascii="Arial" w:hAnsi="Arial" w:cs="Arial"/>
          <w:sz w:val="22"/>
          <w:szCs w:val="22"/>
        </w:rPr>
        <w:lastRenderedPageBreak/>
        <w:t xml:space="preserve">Responsibility </w:t>
      </w:r>
      <w:r w:rsidR="007337A7">
        <w:rPr>
          <w:rFonts w:ascii="Arial" w:hAnsi="Arial" w:cs="Arial"/>
          <w:sz w:val="22"/>
          <w:szCs w:val="22"/>
        </w:rPr>
        <w:t>a</w:t>
      </w:r>
      <w:r w:rsidR="007337A7" w:rsidRPr="007337A7">
        <w:rPr>
          <w:rFonts w:ascii="Arial" w:hAnsi="Arial" w:cs="Arial"/>
          <w:sz w:val="22"/>
          <w:szCs w:val="22"/>
        </w:rPr>
        <w:t xml:space="preserve">nd Accountability </w:t>
      </w:r>
      <w:r w:rsidR="007337A7">
        <w:rPr>
          <w:rFonts w:ascii="Arial" w:hAnsi="Arial" w:cs="Arial"/>
          <w:sz w:val="22"/>
          <w:szCs w:val="22"/>
        </w:rPr>
        <w:t>f</w:t>
      </w:r>
      <w:r w:rsidR="007337A7" w:rsidRPr="007337A7">
        <w:rPr>
          <w:rFonts w:ascii="Arial" w:hAnsi="Arial" w:cs="Arial"/>
          <w:sz w:val="22"/>
          <w:szCs w:val="22"/>
        </w:rPr>
        <w:t xml:space="preserve">or Violence </w:t>
      </w:r>
      <w:r w:rsidR="007337A7">
        <w:rPr>
          <w:rFonts w:ascii="Arial" w:hAnsi="Arial" w:cs="Arial"/>
          <w:sz w:val="22"/>
          <w:szCs w:val="22"/>
        </w:rPr>
        <w:t>a</w:t>
      </w:r>
      <w:r w:rsidR="007337A7" w:rsidRPr="007337A7">
        <w:rPr>
          <w:rFonts w:ascii="Arial" w:hAnsi="Arial" w:cs="Arial"/>
          <w:sz w:val="22"/>
          <w:szCs w:val="22"/>
        </w:rPr>
        <w:t xml:space="preserve">gainst Women </w:t>
      </w:r>
      <w:r w:rsidR="007337A7">
        <w:rPr>
          <w:rFonts w:ascii="Arial" w:hAnsi="Arial" w:cs="Arial"/>
          <w:sz w:val="22"/>
          <w:szCs w:val="22"/>
        </w:rPr>
        <w:t>a</w:t>
      </w:r>
      <w:r w:rsidR="007337A7" w:rsidRPr="007337A7">
        <w:rPr>
          <w:rFonts w:ascii="Arial" w:hAnsi="Arial" w:cs="Arial"/>
          <w:sz w:val="22"/>
          <w:szCs w:val="22"/>
        </w:rPr>
        <w:t xml:space="preserve">nd Girls, </w:t>
      </w:r>
      <w:r w:rsidR="007337A7">
        <w:rPr>
          <w:rFonts w:ascii="Arial" w:hAnsi="Arial" w:cs="Arial"/>
          <w:sz w:val="22"/>
          <w:szCs w:val="22"/>
        </w:rPr>
        <w:t>i</w:t>
      </w:r>
      <w:r w:rsidR="007337A7" w:rsidRPr="007337A7">
        <w:rPr>
          <w:rFonts w:ascii="Arial" w:hAnsi="Arial" w:cs="Arial"/>
          <w:sz w:val="22"/>
          <w:szCs w:val="22"/>
        </w:rPr>
        <w:t xml:space="preserve">ncluding Domestic Abuse </w:t>
      </w:r>
      <w:r w:rsidR="007337A7">
        <w:rPr>
          <w:rFonts w:ascii="Arial" w:hAnsi="Arial" w:cs="Arial"/>
          <w:sz w:val="22"/>
          <w:szCs w:val="22"/>
        </w:rPr>
        <w:t>a</w:t>
      </w:r>
      <w:r w:rsidR="007337A7" w:rsidRPr="007337A7">
        <w:rPr>
          <w:rFonts w:ascii="Arial" w:hAnsi="Arial" w:cs="Arial"/>
          <w:sz w:val="22"/>
          <w:szCs w:val="22"/>
        </w:rPr>
        <w:t>nd Femicide</w:t>
      </w:r>
      <w:r w:rsidR="007337A7">
        <w:rPr>
          <w:rFonts w:ascii="Arial" w:hAnsi="Arial" w:cs="Arial"/>
          <w:sz w:val="22"/>
          <w:szCs w:val="22"/>
        </w:rPr>
        <w:t>’</w:t>
      </w:r>
      <w:r w:rsidRPr="0080167E">
        <w:rPr>
          <w:rFonts w:ascii="Arial" w:hAnsi="Arial" w:cs="Arial"/>
          <w:sz w:val="22"/>
          <w:szCs w:val="22"/>
        </w:rPr>
        <w:t>. Burton argues that this ‘</w:t>
      </w:r>
      <w:proofErr w:type="spellStart"/>
      <w:r w:rsidRPr="0080167E">
        <w:rPr>
          <w:rFonts w:ascii="Arial" w:hAnsi="Arial" w:cs="Arial"/>
          <w:sz w:val="22"/>
          <w:szCs w:val="22"/>
        </w:rPr>
        <w:t>responsibilisation</w:t>
      </w:r>
      <w:proofErr w:type="spellEnd"/>
      <w:r w:rsidRPr="0080167E">
        <w:rPr>
          <w:rFonts w:ascii="Arial" w:hAnsi="Arial" w:cs="Arial"/>
          <w:sz w:val="22"/>
          <w:szCs w:val="22"/>
        </w:rPr>
        <w:t xml:space="preserve">’ of the victim is evident both in the substantive law and the practical implementation of the law. This article considers the question ‘how can we focus less on the victim behaviour and more on perpetrator responsibility and accountability’. </w:t>
      </w:r>
    </w:p>
    <w:p w14:paraId="1C12E21E" w14:textId="77777777" w:rsidR="00B768A3" w:rsidRPr="0080167E" w:rsidRDefault="00B768A3" w:rsidP="00D147AA">
      <w:pPr>
        <w:spacing w:after="0" w:line="360" w:lineRule="auto"/>
        <w:jc w:val="both"/>
        <w:rPr>
          <w:rFonts w:ascii="Arial" w:hAnsi="Arial" w:cs="Arial"/>
        </w:rPr>
      </w:pPr>
    </w:p>
    <w:p w14:paraId="1B794BB4" w14:textId="40A5E1F7" w:rsidR="00B768A3" w:rsidRPr="0080167E" w:rsidRDefault="00B768A3" w:rsidP="001F6D4B">
      <w:pPr>
        <w:spacing w:after="0" w:line="360" w:lineRule="auto"/>
        <w:ind w:firstLine="720"/>
        <w:jc w:val="both"/>
        <w:rPr>
          <w:rFonts w:ascii="Arial" w:hAnsi="Arial" w:cs="Arial"/>
        </w:rPr>
      </w:pPr>
      <w:r w:rsidRPr="0080167E">
        <w:rPr>
          <w:rFonts w:ascii="Arial" w:hAnsi="Arial" w:cs="Arial"/>
        </w:rPr>
        <w:t xml:space="preserve">In the third article for this special issue, </w:t>
      </w:r>
      <w:r w:rsidR="001F6D4B">
        <w:rPr>
          <w:rFonts w:ascii="Arial" w:hAnsi="Arial" w:cs="Arial"/>
        </w:rPr>
        <w:t>‘</w:t>
      </w:r>
      <w:r w:rsidRPr="001F6D4B">
        <w:rPr>
          <w:rFonts w:ascii="Arial" w:hAnsi="Arial" w:cs="Arial"/>
        </w:rPr>
        <w:t>Against a Dark Background: The Prevention of Femicide Act 2023 and the Problem of Legislating for Control</w:t>
      </w:r>
      <w:r w:rsidR="001F6D4B" w:rsidRPr="001F6D4B">
        <w:rPr>
          <w:rFonts w:ascii="Arial" w:hAnsi="Arial" w:cs="Arial"/>
        </w:rPr>
        <w:t>’</w:t>
      </w:r>
      <w:r w:rsidRPr="0080167E">
        <w:rPr>
          <w:rFonts w:ascii="Arial" w:hAnsi="Arial" w:cs="Arial"/>
          <w:i/>
          <w:iCs/>
        </w:rPr>
        <w:t>,</w:t>
      </w:r>
      <w:r w:rsidRPr="0080167E">
        <w:rPr>
          <w:rFonts w:ascii="Arial" w:hAnsi="Arial" w:cs="Arial"/>
        </w:rPr>
        <w:t xml:space="preserve"> Ross Fletcher recognises that ‘formidable obstacles’ may be ‘faced by real-world lawmakers in drafting legislation aimed at bringing about radical social change in the face of public hostility to that very change’.  Fletcher uses the book After Dark to challenge us to consider ‘whether it is the proper place of the legislature to attempt to effect such changes, or whether society itself ought rightly to be the vehicle for the radical change of mindset necessary to prevent crimes perpetrated by one group in society against another.’ </w:t>
      </w:r>
    </w:p>
    <w:p w14:paraId="1759F1B7"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b/>
          <w:bCs/>
          <w:sz w:val="22"/>
          <w:szCs w:val="22"/>
          <w:u w:val="single"/>
        </w:rPr>
      </w:pPr>
    </w:p>
    <w:p w14:paraId="709AAB3B" w14:textId="7633A36A" w:rsidR="00B768A3" w:rsidRPr="00A473ED" w:rsidRDefault="00B768A3" w:rsidP="00D147AA">
      <w:pPr>
        <w:pStyle w:val="NormalWeb"/>
        <w:shd w:val="clear" w:color="auto" w:fill="FFFFFF"/>
        <w:spacing w:before="0" w:beforeAutospacing="0" w:after="0" w:afterAutospacing="0" w:line="360" w:lineRule="auto"/>
        <w:jc w:val="both"/>
        <w:rPr>
          <w:rFonts w:ascii="Arial" w:hAnsi="Arial" w:cs="Arial"/>
          <w:b/>
          <w:bCs/>
          <w:i/>
          <w:iCs/>
          <w:sz w:val="22"/>
          <w:szCs w:val="22"/>
        </w:rPr>
      </w:pPr>
      <w:r w:rsidRPr="00A473ED">
        <w:rPr>
          <w:rFonts w:ascii="Arial" w:hAnsi="Arial" w:cs="Arial"/>
          <w:b/>
          <w:bCs/>
          <w:i/>
          <w:iCs/>
          <w:sz w:val="22"/>
          <w:szCs w:val="22"/>
        </w:rPr>
        <w:t xml:space="preserve">The </w:t>
      </w:r>
      <w:r w:rsidR="00A473ED">
        <w:rPr>
          <w:rFonts w:ascii="Arial" w:hAnsi="Arial" w:cs="Arial"/>
          <w:b/>
          <w:bCs/>
          <w:i/>
          <w:iCs/>
          <w:sz w:val="22"/>
          <w:szCs w:val="22"/>
        </w:rPr>
        <w:t>U</w:t>
      </w:r>
      <w:r w:rsidRPr="00A473ED">
        <w:rPr>
          <w:rFonts w:ascii="Arial" w:hAnsi="Arial" w:cs="Arial"/>
          <w:b/>
          <w:bCs/>
          <w:i/>
          <w:iCs/>
          <w:sz w:val="22"/>
          <w:szCs w:val="22"/>
        </w:rPr>
        <w:t xml:space="preserve">se of </w:t>
      </w:r>
      <w:r w:rsidR="00A473ED">
        <w:rPr>
          <w:rFonts w:ascii="Arial" w:hAnsi="Arial" w:cs="Arial"/>
          <w:b/>
          <w:bCs/>
          <w:i/>
          <w:iCs/>
          <w:sz w:val="22"/>
          <w:szCs w:val="22"/>
        </w:rPr>
        <w:t>L</w:t>
      </w:r>
      <w:r w:rsidRPr="00A473ED">
        <w:rPr>
          <w:rFonts w:ascii="Arial" w:hAnsi="Arial" w:cs="Arial"/>
          <w:b/>
          <w:bCs/>
          <w:i/>
          <w:iCs/>
          <w:sz w:val="22"/>
          <w:szCs w:val="22"/>
        </w:rPr>
        <w:t xml:space="preserve">iterature to </w:t>
      </w:r>
      <w:r w:rsidR="00A473ED">
        <w:rPr>
          <w:rFonts w:ascii="Arial" w:hAnsi="Arial" w:cs="Arial"/>
          <w:b/>
          <w:bCs/>
          <w:i/>
          <w:iCs/>
          <w:sz w:val="22"/>
          <w:szCs w:val="22"/>
        </w:rPr>
        <w:t>S</w:t>
      </w:r>
      <w:r w:rsidRPr="00A473ED">
        <w:rPr>
          <w:rFonts w:ascii="Arial" w:hAnsi="Arial" w:cs="Arial"/>
          <w:b/>
          <w:bCs/>
          <w:i/>
          <w:iCs/>
          <w:sz w:val="22"/>
          <w:szCs w:val="22"/>
        </w:rPr>
        <w:t xml:space="preserve">timulate </w:t>
      </w:r>
      <w:r w:rsidR="00A473ED">
        <w:rPr>
          <w:rFonts w:ascii="Arial" w:hAnsi="Arial" w:cs="Arial"/>
          <w:b/>
          <w:bCs/>
          <w:i/>
          <w:iCs/>
          <w:sz w:val="22"/>
          <w:szCs w:val="22"/>
        </w:rPr>
        <w:t>D</w:t>
      </w:r>
      <w:r w:rsidRPr="00A473ED">
        <w:rPr>
          <w:rFonts w:ascii="Arial" w:hAnsi="Arial" w:cs="Arial"/>
          <w:b/>
          <w:bCs/>
          <w:i/>
          <w:iCs/>
          <w:sz w:val="22"/>
          <w:szCs w:val="22"/>
        </w:rPr>
        <w:t xml:space="preserve">ebate on the </w:t>
      </w:r>
      <w:r w:rsidR="00A473ED">
        <w:rPr>
          <w:rFonts w:ascii="Arial" w:hAnsi="Arial" w:cs="Arial"/>
          <w:b/>
          <w:bCs/>
          <w:i/>
          <w:iCs/>
          <w:sz w:val="22"/>
          <w:szCs w:val="22"/>
        </w:rPr>
        <w:t>L</w:t>
      </w:r>
      <w:r w:rsidRPr="00A473ED">
        <w:rPr>
          <w:rFonts w:ascii="Arial" w:hAnsi="Arial" w:cs="Arial"/>
          <w:b/>
          <w:bCs/>
          <w:i/>
          <w:iCs/>
          <w:sz w:val="22"/>
          <w:szCs w:val="22"/>
        </w:rPr>
        <w:t>aw</w:t>
      </w:r>
    </w:p>
    <w:p w14:paraId="78A7E7A6"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p>
    <w:p w14:paraId="5C6EB6D3" w14:textId="40DE40FE"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r w:rsidRPr="0080167E">
        <w:rPr>
          <w:rFonts w:ascii="Arial" w:hAnsi="Arial" w:cs="Arial"/>
          <w:sz w:val="22"/>
          <w:szCs w:val="22"/>
        </w:rPr>
        <w:t xml:space="preserve">Whilst GBV, and particularly abuse within the home (domestic abuse) is a topic frequently covered on family law syllabi, the focus is most often upon examining current laws and proposals for reform analysing how and where they may fail to sufficiently protect human rights.  This special issue illustrates how literature can be used to inform, and to prompt reflection upon existing laws. It illustrates how such literature can be used to stimulate discussion of </w:t>
      </w:r>
      <w:r w:rsidRPr="0080167E">
        <w:rPr>
          <w:rFonts w:ascii="Arial" w:hAnsi="Arial" w:cs="Arial"/>
          <w:i/>
          <w:iCs/>
          <w:sz w:val="22"/>
          <w:szCs w:val="22"/>
        </w:rPr>
        <w:t>appropriate</w:t>
      </w:r>
      <w:r w:rsidRPr="0080167E">
        <w:rPr>
          <w:rFonts w:ascii="Arial" w:hAnsi="Arial" w:cs="Arial"/>
          <w:sz w:val="22"/>
          <w:szCs w:val="22"/>
        </w:rPr>
        <w:t xml:space="preserve"> legal responses. The educational benefits of using literature and other fictional resources in this way are examined in the second half of this special issue. </w:t>
      </w:r>
    </w:p>
    <w:p w14:paraId="1E68AFAB" w14:textId="77777777" w:rsidR="00B768A3" w:rsidRPr="0080167E" w:rsidRDefault="00B768A3" w:rsidP="00D147AA">
      <w:pPr>
        <w:pStyle w:val="NormalWeb"/>
        <w:shd w:val="clear" w:color="auto" w:fill="FFFFFF"/>
        <w:spacing w:before="0" w:beforeAutospacing="0" w:after="0" w:afterAutospacing="0" w:line="360" w:lineRule="auto"/>
        <w:jc w:val="both"/>
        <w:rPr>
          <w:rFonts w:ascii="Arial" w:hAnsi="Arial" w:cs="Arial"/>
          <w:sz w:val="22"/>
          <w:szCs w:val="22"/>
        </w:rPr>
      </w:pPr>
    </w:p>
    <w:p w14:paraId="312805FE" w14:textId="13145046" w:rsidR="00B768A3" w:rsidRPr="0080167E" w:rsidRDefault="00B768A3" w:rsidP="00806A9E">
      <w:pPr>
        <w:spacing w:after="0" w:line="360" w:lineRule="auto"/>
        <w:ind w:firstLine="720"/>
        <w:jc w:val="both"/>
        <w:rPr>
          <w:rFonts w:ascii="Arial" w:hAnsi="Arial" w:cs="Arial"/>
        </w:rPr>
      </w:pPr>
      <w:r w:rsidRPr="0080167E">
        <w:rPr>
          <w:rFonts w:ascii="Arial" w:hAnsi="Arial" w:cs="Arial"/>
        </w:rPr>
        <w:t xml:space="preserve">The future world discussed in After Dark may be considered as utopian, anti-utopian or dystopian.  In the fourth article for this special edition, </w:t>
      </w:r>
      <w:r w:rsidR="00806A9E">
        <w:rPr>
          <w:rFonts w:ascii="Arial" w:hAnsi="Arial" w:cs="Arial"/>
        </w:rPr>
        <w:t>‘</w:t>
      </w:r>
      <w:r w:rsidRPr="00806A9E">
        <w:rPr>
          <w:rFonts w:ascii="Arial" w:hAnsi="Arial" w:cs="Arial"/>
        </w:rPr>
        <w:t xml:space="preserve">Dystopian </w:t>
      </w:r>
      <w:r w:rsidR="00806A9E" w:rsidRPr="00806A9E">
        <w:rPr>
          <w:rFonts w:ascii="Arial" w:hAnsi="Arial" w:cs="Arial"/>
        </w:rPr>
        <w:t xml:space="preserve">Fiction: Can </w:t>
      </w:r>
      <w:r w:rsidR="00806A9E">
        <w:rPr>
          <w:rFonts w:ascii="Arial" w:hAnsi="Arial" w:cs="Arial"/>
        </w:rPr>
        <w:t>i</w:t>
      </w:r>
      <w:r w:rsidR="00806A9E" w:rsidRPr="00806A9E">
        <w:rPr>
          <w:rFonts w:ascii="Arial" w:hAnsi="Arial" w:cs="Arial"/>
        </w:rPr>
        <w:t xml:space="preserve">t Enable </w:t>
      </w:r>
      <w:r w:rsidR="00806A9E">
        <w:rPr>
          <w:rFonts w:ascii="Arial" w:hAnsi="Arial" w:cs="Arial"/>
        </w:rPr>
        <w:t>u</w:t>
      </w:r>
      <w:r w:rsidR="00806A9E" w:rsidRPr="00806A9E">
        <w:rPr>
          <w:rFonts w:ascii="Arial" w:hAnsi="Arial" w:cs="Arial"/>
        </w:rPr>
        <w:t xml:space="preserve">s </w:t>
      </w:r>
      <w:r w:rsidR="00806A9E">
        <w:rPr>
          <w:rFonts w:ascii="Arial" w:hAnsi="Arial" w:cs="Arial"/>
        </w:rPr>
        <w:t>t</w:t>
      </w:r>
      <w:r w:rsidR="00806A9E" w:rsidRPr="00806A9E">
        <w:rPr>
          <w:rFonts w:ascii="Arial" w:hAnsi="Arial" w:cs="Arial"/>
        </w:rPr>
        <w:t xml:space="preserve">o Think Critically </w:t>
      </w:r>
      <w:r w:rsidR="00806A9E">
        <w:rPr>
          <w:rFonts w:ascii="Arial" w:hAnsi="Arial" w:cs="Arial"/>
        </w:rPr>
        <w:t>a</w:t>
      </w:r>
      <w:r w:rsidR="00806A9E" w:rsidRPr="00806A9E">
        <w:rPr>
          <w:rFonts w:ascii="Arial" w:hAnsi="Arial" w:cs="Arial"/>
        </w:rPr>
        <w:t xml:space="preserve">bout Gendered Violence </w:t>
      </w:r>
      <w:r w:rsidR="00806A9E">
        <w:rPr>
          <w:rFonts w:ascii="Arial" w:hAnsi="Arial" w:cs="Arial"/>
        </w:rPr>
        <w:t>a</w:t>
      </w:r>
      <w:r w:rsidR="00806A9E" w:rsidRPr="00806A9E">
        <w:rPr>
          <w:rFonts w:ascii="Arial" w:hAnsi="Arial" w:cs="Arial"/>
        </w:rPr>
        <w:t>nd Power</w:t>
      </w:r>
      <w:r w:rsidR="00806A9E">
        <w:rPr>
          <w:rFonts w:ascii="Arial" w:hAnsi="Arial" w:cs="Arial"/>
        </w:rPr>
        <w:t>’</w:t>
      </w:r>
      <w:r w:rsidR="00806A9E" w:rsidRPr="00806A9E">
        <w:rPr>
          <w:rFonts w:ascii="Arial" w:hAnsi="Arial" w:cs="Arial"/>
        </w:rPr>
        <w:t>,</w:t>
      </w:r>
      <w:r w:rsidRPr="0080167E">
        <w:rPr>
          <w:rFonts w:ascii="Arial" w:hAnsi="Arial" w:cs="Arial"/>
        </w:rPr>
        <w:t xml:space="preserve"> Kim McGuire clearly positions After Dark within the canon of dystopian fiction. She discusses the issues of power, sex, gender, and the law across a range of dystopian works of fiction, exploring their application, both actual and potential, to real life. Whatever stance the reader may take, we hope that this special issue will provide a valuable starting point for discussion of current legal responses to GBV and will challenge readers both to revisit preconceived ideas about the laws governing gender-based violence, and about how we teach our students about those laws and their role in society. The use of literature to stimulate discussion of the law is not new. It is an approach increasingly being used in legal education by advocates of law and literature approaches to </w:t>
      </w:r>
      <w:r w:rsidRPr="0080167E">
        <w:rPr>
          <w:rFonts w:ascii="Arial" w:hAnsi="Arial" w:cs="Arial"/>
        </w:rPr>
        <w:lastRenderedPageBreak/>
        <w:t>teaching. Although there is much debate both about what a law and literature approach is</w:t>
      </w:r>
      <w:r w:rsidR="00BD6C2C">
        <w:rPr>
          <w:rFonts w:ascii="Arial" w:hAnsi="Arial" w:cs="Arial"/>
        </w:rPr>
        <w:t>,</w:t>
      </w:r>
      <w:r w:rsidRPr="0080167E">
        <w:rPr>
          <w:rStyle w:val="FootnoteReference"/>
          <w:rFonts w:ascii="Arial" w:hAnsi="Arial" w:cs="Arial"/>
        </w:rPr>
        <w:footnoteReference w:id="24"/>
      </w:r>
      <w:r w:rsidRPr="0080167E">
        <w:rPr>
          <w:rFonts w:ascii="Arial" w:hAnsi="Arial" w:cs="Arial"/>
        </w:rPr>
        <w:t xml:space="preserve"> and what its benefits are,</w:t>
      </w:r>
      <w:r w:rsidRPr="0080167E">
        <w:rPr>
          <w:rStyle w:val="FootnoteReference"/>
          <w:rFonts w:ascii="Arial" w:hAnsi="Arial" w:cs="Arial"/>
        </w:rPr>
        <w:footnoteReference w:id="25"/>
      </w:r>
      <w:r w:rsidRPr="0080167E">
        <w:rPr>
          <w:rFonts w:ascii="Arial" w:hAnsi="Arial" w:cs="Arial"/>
        </w:rPr>
        <w:t xml:space="preserve"> a variety of reasons have been offered for using literature to teach and to understand law. </w:t>
      </w:r>
    </w:p>
    <w:p w14:paraId="677AB710" w14:textId="77777777" w:rsidR="00B768A3" w:rsidRPr="0080167E" w:rsidRDefault="00B768A3" w:rsidP="00D147AA">
      <w:pPr>
        <w:spacing w:after="0" w:line="360" w:lineRule="auto"/>
        <w:jc w:val="both"/>
        <w:rPr>
          <w:rFonts w:ascii="Arial" w:hAnsi="Arial" w:cs="Arial"/>
        </w:rPr>
      </w:pPr>
    </w:p>
    <w:p w14:paraId="69CDE030" w14:textId="5915B4A5" w:rsidR="00B768A3" w:rsidRPr="0080167E" w:rsidRDefault="00B768A3" w:rsidP="00BD6C2C">
      <w:pPr>
        <w:autoSpaceDE w:val="0"/>
        <w:autoSpaceDN w:val="0"/>
        <w:adjustRightInd w:val="0"/>
        <w:spacing w:after="0" w:line="360" w:lineRule="auto"/>
        <w:ind w:firstLine="720"/>
        <w:jc w:val="both"/>
        <w:rPr>
          <w:rFonts w:ascii="Arial" w:hAnsi="Arial" w:cs="Arial"/>
        </w:rPr>
      </w:pPr>
      <w:r w:rsidRPr="0080167E">
        <w:rPr>
          <w:rFonts w:ascii="Arial" w:hAnsi="Arial" w:cs="Arial"/>
        </w:rPr>
        <w:t>It has been suggested elsewhere that novels about law may provide ‘a path to human understanding,’</w:t>
      </w:r>
      <w:r w:rsidRPr="0080167E">
        <w:rPr>
          <w:rStyle w:val="FootnoteReference"/>
          <w:rFonts w:ascii="Arial" w:hAnsi="Arial" w:cs="Arial"/>
        </w:rPr>
        <w:footnoteReference w:id="26"/>
      </w:r>
      <w:r w:rsidRPr="0080167E">
        <w:rPr>
          <w:rFonts w:ascii="Arial" w:hAnsi="Arial" w:cs="Arial"/>
        </w:rPr>
        <w:t xml:space="preserve"> that literature can be used both to provide a language for those representing women’s experiences before the law, and to enable readers to understand women’s perspectives and their suffering.</w:t>
      </w:r>
      <w:r w:rsidRPr="0080167E">
        <w:rPr>
          <w:rStyle w:val="FootnoteReference"/>
          <w:rFonts w:ascii="Arial" w:hAnsi="Arial" w:cs="Arial"/>
        </w:rPr>
        <w:footnoteReference w:id="27"/>
      </w:r>
      <w:r w:rsidRPr="0080167E">
        <w:rPr>
          <w:rFonts w:ascii="Arial" w:hAnsi="Arial" w:cs="Arial"/>
        </w:rPr>
        <w:t xml:space="preserve"> ‘The literary imagination’ is viewed by </w:t>
      </w:r>
      <w:r w:rsidR="00345A5B">
        <w:rPr>
          <w:rFonts w:ascii="Arial" w:hAnsi="Arial" w:cs="Arial"/>
        </w:rPr>
        <w:t xml:space="preserve">Martha </w:t>
      </w:r>
      <w:r w:rsidRPr="0080167E">
        <w:rPr>
          <w:rFonts w:ascii="Arial" w:hAnsi="Arial" w:cs="Arial"/>
        </w:rPr>
        <w:t>Nussbaum to be important because it ‘asks us to concern ourselves with the good of other people whose lives are different from ours.’</w:t>
      </w:r>
      <w:r w:rsidRPr="0080167E">
        <w:rPr>
          <w:rStyle w:val="FootnoteReference"/>
          <w:rFonts w:ascii="Arial" w:hAnsi="Arial" w:cs="Arial"/>
        </w:rPr>
        <w:footnoteReference w:id="28"/>
      </w:r>
      <w:r w:rsidRPr="0080167E">
        <w:rPr>
          <w:rFonts w:ascii="Arial" w:hAnsi="Arial" w:cs="Arial"/>
        </w:rPr>
        <w:t xml:space="preserve"> From a pedagogic perspective, fiction can be used to explore fundamental legal concepts, making ‘abstract concepts concrete for students’.</w:t>
      </w:r>
      <w:r w:rsidRPr="0080167E">
        <w:rPr>
          <w:rStyle w:val="FootnoteReference"/>
          <w:rFonts w:ascii="Arial" w:hAnsi="Arial" w:cs="Arial"/>
        </w:rPr>
        <w:t xml:space="preserve"> </w:t>
      </w:r>
      <w:r w:rsidRPr="0080167E">
        <w:rPr>
          <w:rStyle w:val="FootnoteReference"/>
          <w:rFonts w:ascii="Arial" w:hAnsi="Arial" w:cs="Arial"/>
        </w:rPr>
        <w:footnoteReference w:id="29"/>
      </w:r>
      <w:r w:rsidRPr="0080167E">
        <w:rPr>
          <w:rFonts w:ascii="Arial" w:hAnsi="Arial" w:cs="Arial"/>
        </w:rPr>
        <w:t xml:space="preserve"> It can ‘invite explorations of how and why the rule of law succeeds, is threatened, or fails in different circumstances’, make the law more accessible but, as is the case with After Dark, can also be used in a provocative way.</w:t>
      </w:r>
      <w:r w:rsidRPr="0080167E">
        <w:rPr>
          <w:rStyle w:val="FootnoteReference"/>
          <w:rFonts w:ascii="Arial" w:hAnsi="Arial" w:cs="Arial"/>
        </w:rPr>
        <w:footnoteReference w:id="30"/>
      </w:r>
      <w:r w:rsidRPr="0080167E">
        <w:rPr>
          <w:rFonts w:ascii="Arial" w:hAnsi="Arial" w:cs="Arial"/>
        </w:rPr>
        <w:t xml:space="preserve"> </w:t>
      </w:r>
    </w:p>
    <w:p w14:paraId="1A1E898D" w14:textId="77777777" w:rsidR="00B768A3" w:rsidRPr="0080167E" w:rsidRDefault="00B768A3" w:rsidP="00D147AA">
      <w:pPr>
        <w:spacing w:after="0" w:line="360" w:lineRule="auto"/>
        <w:jc w:val="both"/>
        <w:rPr>
          <w:rFonts w:ascii="Arial" w:hAnsi="Arial" w:cs="Arial"/>
        </w:rPr>
      </w:pPr>
    </w:p>
    <w:p w14:paraId="208FA038" w14:textId="45D634CE" w:rsidR="00B768A3" w:rsidRPr="0080167E" w:rsidRDefault="00345A5B" w:rsidP="00345A5B">
      <w:pPr>
        <w:autoSpaceDE w:val="0"/>
        <w:autoSpaceDN w:val="0"/>
        <w:adjustRightInd w:val="0"/>
        <w:spacing w:after="0" w:line="360" w:lineRule="auto"/>
        <w:ind w:firstLine="720"/>
        <w:jc w:val="both"/>
        <w:rPr>
          <w:rFonts w:ascii="Arial" w:hAnsi="Arial" w:cs="Arial"/>
        </w:rPr>
      </w:pPr>
      <w:r>
        <w:rPr>
          <w:rFonts w:ascii="Arial" w:hAnsi="Arial" w:cs="Arial"/>
        </w:rPr>
        <w:t xml:space="preserve">Mary Kay </w:t>
      </w:r>
      <w:r w:rsidR="00B768A3" w:rsidRPr="0080167E">
        <w:rPr>
          <w:rFonts w:ascii="Arial" w:hAnsi="Arial" w:cs="Arial"/>
        </w:rPr>
        <w:t>O’Malley has previously recognised the benefits that may be drawn also from using film to teach family law, to make learning more fun, to promote creative thinking, to enhance learning and exploration of human relationships, and to broaden understanding of how law impacts upon family members.</w:t>
      </w:r>
      <w:r w:rsidR="00B768A3" w:rsidRPr="0080167E">
        <w:rPr>
          <w:rStyle w:val="FootnoteReference"/>
          <w:rFonts w:ascii="Arial" w:hAnsi="Arial" w:cs="Arial"/>
        </w:rPr>
        <w:footnoteReference w:id="31"/>
      </w:r>
      <w:r w:rsidR="00B768A3" w:rsidRPr="0080167E">
        <w:rPr>
          <w:rFonts w:ascii="Arial" w:hAnsi="Arial" w:cs="Arial"/>
        </w:rPr>
        <w:t xml:space="preserve"> O’Malley suggests that it is the narrative aspect of film that makes it so useful in teaching law. One could argue that literature, like film, has ‘the ability to transport us from our physical reality.’ Both can also be used to explore complex issues such as domestic violence by ‘giving students an opportunity to witness events that they may not be able to conjure up on their own.’</w:t>
      </w:r>
      <w:r w:rsidR="00B768A3" w:rsidRPr="0080167E">
        <w:rPr>
          <w:rStyle w:val="FootnoteReference"/>
          <w:rFonts w:ascii="Arial" w:hAnsi="Arial" w:cs="Arial"/>
        </w:rPr>
        <w:footnoteReference w:id="32"/>
      </w:r>
    </w:p>
    <w:p w14:paraId="41024E73" w14:textId="77777777" w:rsidR="00B768A3" w:rsidRPr="0080167E" w:rsidRDefault="00B768A3" w:rsidP="00D147AA">
      <w:pPr>
        <w:spacing w:after="0" w:line="360" w:lineRule="auto"/>
        <w:jc w:val="both"/>
        <w:rPr>
          <w:rFonts w:ascii="Arial" w:hAnsi="Arial" w:cs="Arial"/>
        </w:rPr>
      </w:pPr>
    </w:p>
    <w:p w14:paraId="10885DE8" w14:textId="4A345F7E" w:rsidR="00B768A3" w:rsidRPr="0080167E" w:rsidRDefault="00B768A3" w:rsidP="0009799D">
      <w:pPr>
        <w:spacing w:after="0" w:line="360" w:lineRule="auto"/>
        <w:ind w:firstLine="720"/>
        <w:jc w:val="both"/>
        <w:rPr>
          <w:rFonts w:ascii="Arial" w:hAnsi="Arial" w:cs="Arial"/>
          <w:i/>
          <w:iCs/>
        </w:rPr>
      </w:pPr>
      <w:r w:rsidRPr="0080167E">
        <w:rPr>
          <w:rFonts w:ascii="Arial" w:hAnsi="Arial" w:cs="Arial"/>
        </w:rPr>
        <w:t xml:space="preserve">Stepping outside the field of law into the field of criminology, in the final article for this special issue, </w:t>
      </w:r>
      <w:r w:rsidR="0009799D">
        <w:rPr>
          <w:rFonts w:ascii="Arial" w:hAnsi="Arial" w:cs="Arial"/>
        </w:rPr>
        <w:t>‘</w:t>
      </w:r>
      <w:r w:rsidRPr="0009799D">
        <w:rPr>
          <w:rFonts w:ascii="Arial" w:hAnsi="Arial" w:cs="Arial"/>
        </w:rPr>
        <w:t>Popular Criminology, Sexual Violence and Alternative Modes of Justice</w:t>
      </w:r>
      <w:r w:rsidR="0009799D">
        <w:rPr>
          <w:rFonts w:ascii="Arial" w:hAnsi="Arial" w:cs="Arial"/>
        </w:rPr>
        <w:t>’</w:t>
      </w:r>
      <w:r w:rsidRPr="0080167E">
        <w:rPr>
          <w:rFonts w:ascii="Arial" w:hAnsi="Arial" w:cs="Arial"/>
          <w:i/>
          <w:iCs/>
        </w:rPr>
        <w:t>,</w:t>
      </w:r>
      <w:r w:rsidRPr="0080167E">
        <w:rPr>
          <w:rFonts w:ascii="Arial" w:hAnsi="Arial" w:cs="Arial"/>
        </w:rPr>
        <w:t xml:space="preserve"> Louise Wattis invites us to consider the related notion of ‘popular criminology’. As she explains, criminologists are increasingly recognising that popular cultural portrayals of crime, violence and justice offer alternatives discourses which enhance the criminological imagination beyond </w:t>
      </w:r>
      <w:r w:rsidRPr="0080167E">
        <w:rPr>
          <w:rFonts w:ascii="Arial" w:hAnsi="Arial" w:cs="Arial"/>
        </w:rPr>
        <w:lastRenderedPageBreak/>
        <w:t xml:space="preserve">the limits of academic criminology, offering more complex understandings of crime and violence and reimagining the nature of justice. The specific focus that Wattis takes in her article for this special issue are cultural representations of sexual violence. She explores how such popular culture might contribute to a more progressive vision of justice which resonates with </w:t>
      </w:r>
      <w:r w:rsidR="00BF12B6">
        <w:rPr>
          <w:rFonts w:ascii="Arial" w:hAnsi="Arial" w:cs="Arial"/>
        </w:rPr>
        <w:t xml:space="preserve">Clare </w:t>
      </w:r>
      <w:r w:rsidRPr="0080167E">
        <w:rPr>
          <w:rFonts w:ascii="Arial" w:hAnsi="Arial" w:cs="Arial"/>
        </w:rPr>
        <w:t xml:space="preserve">McGlynn and </w:t>
      </w:r>
      <w:r w:rsidR="00BF12B6">
        <w:rPr>
          <w:rFonts w:ascii="Arial" w:hAnsi="Arial" w:cs="Arial"/>
        </w:rPr>
        <w:t xml:space="preserve">Nicole </w:t>
      </w:r>
      <w:proofErr w:type="spellStart"/>
      <w:r w:rsidRPr="0080167E">
        <w:rPr>
          <w:rFonts w:ascii="Arial" w:hAnsi="Arial" w:cs="Arial"/>
        </w:rPr>
        <w:t>Westmarland’s</w:t>
      </w:r>
      <w:proofErr w:type="spellEnd"/>
      <w:r w:rsidRPr="0080167E">
        <w:rPr>
          <w:rFonts w:ascii="Arial" w:hAnsi="Arial" w:cs="Arial"/>
        </w:rPr>
        <w:t xml:space="preserve"> (2019) notion of ‘kaleidoscopic justice’</w:t>
      </w:r>
      <w:r w:rsidR="00BF12B6">
        <w:rPr>
          <w:rStyle w:val="FootnoteReference"/>
          <w:rFonts w:ascii="Arial" w:hAnsi="Arial" w:cs="Arial"/>
        </w:rPr>
        <w:footnoteReference w:id="33"/>
      </w:r>
      <w:r w:rsidRPr="0080167E">
        <w:rPr>
          <w:rFonts w:ascii="Arial" w:hAnsi="Arial" w:cs="Arial"/>
        </w:rPr>
        <w:t xml:space="preserve"> where victims are </w:t>
      </w:r>
      <w:proofErr w:type="gramStart"/>
      <w:r w:rsidRPr="0080167E">
        <w:rPr>
          <w:rFonts w:ascii="Arial" w:hAnsi="Arial" w:cs="Arial"/>
        </w:rPr>
        <w:t>centred</w:t>
      </w:r>
      <w:proofErr w:type="gramEnd"/>
      <w:r w:rsidRPr="0080167E">
        <w:rPr>
          <w:rFonts w:ascii="Arial" w:hAnsi="Arial" w:cs="Arial"/>
        </w:rPr>
        <w:t xml:space="preserve"> and the harms of sexual violence are fully recognised. </w:t>
      </w:r>
    </w:p>
    <w:p w14:paraId="5A8755BC" w14:textId="77777777" w:rsidR="00B768A3" w:rsidRPr="0080167E" w:rsidRDefault="00B768A3" w:rsidP="00D147AA">
      <w:pPr>
        <w:shd w:val="clear" w:color="auto" w:fill="FFFFFF"/>
        <w:spacing w:after="0" w:line="360" w:lineRule="auto"/>
        <w:jc w:val="both"/>
        <w:rPr>
          <w:rFonts w:ascii="Arial" w:hAnsi="Arial" w:cs="Arial"/>
          <w:b/>
          <w:bCs/>
          <w:shd w:val="clear" w:color="auto" w:fill="FFFFFF"/>
        </w:rPr>
      </w:pPr>
    </w:p>
    <w:p w14:paraId="14F0FFF1" w14:textId="77777777" w:rsidR="00B768A3" w:rsidRPr="008A482E" w:rsidRDefault="00B768A3" w:rsidP="00D147AA">
      <w:pPr>
        <w:shd w:val="clear" w:color="auto" w:fill="FFFFFF"/>
        <w:spacing w:after="0" w:line="360" w:lineRule="auto"/>
        <w:jc w:val="both"/>
        <w:rPr>
          <w:rFonts w:ascii="Arial" w:hAnsi="Arial" w:cs="Arial"/>
          <w:i/>
          <w:iCs/>
        </w:rPr>
      </w:pPr>
      <w:r w:rsidRPr="008A482E">
        <w:rPr>
          <w:rFonts w:ascii="Arial" w:hAnsi="Arial" w:cs="Arial"/>
          <w:b/>
          <w:bCs/>
          <w:i/>
          <w:iCs/>
          <w:shd w:val="clear" w:color="auto" w:fill="FFFFFF"/>
        </w:rPr>
        <w:t>Conclusion</w:t>
      </w:r>
      <w:r w:rsidRPr="008A482E">
        <w:rPr>
          <w:rFonts w:ascii="Arial" w:hAnsi="Arial" w:cs="Arial"/>
          <w:i/>
          <w:iCs/>
          <w:shd w:val="clear" w:color="auto" w:fill="FFFFFF"/>
        </w:rPr>
        <w:br/>
      </w:r>
    </w:p>
    <w:p w14:paraId="7C977094" w14:textId="7956BD42" w:rsidR="00B768A3" w:rsidRPr="0080167E" w:rsidRDefault="00B768A3" w:rsidP="00D147AA">
      <w:pPr>
        <w:shd w:val="clear" w:color="auto" w:fill="FFFFFF"/>
        <w:spacing w:after="0" w:line="360" w:lineRule="auto"/>
        <w:jc w:val="both"/>
        <w:rPr>
          <w:rFonts w:ascii="Arial" w:hAnsi="Arial" w:cs="Arial"/>
        </w:rPr>
      </w:pPr>
      <w:r w:rsidRPr="0080167E">
        <w:rPr>
          <w:rFonts w:ascii="Arial" w:hAnsi="Arial" w:cs="Arial"/>
        </w:rPr>
        <w:t xml:space="preserve">Using </w:t>
      </w:r>
      <w:r w:rsidRPr="0080167E">
        <w:rPr>
          <w:rFonts w:ascii="Arial" w:hAnsi="Arial" w:cs="Arial"/>
          <w:i/>
          <w:iCs/>
        </w:rPr>
        <w:t>After Dark</w:t>
      </w:r>
      <w:r w:rsidRPr="0080167E">
        <w:rPr>
          <w:rFonts w:ascii="Arial" w:hAnsi="Arial" w:cs="Arial"/>
        </w:rPr>
        <w:t xml:space="preserve"> as a focal point for discussion of issues of gender-based violence at the conference in 2022 and subsequently in this special issue has opened the door to academic discourse on </w:t>
      </w:r>
      <w:proofErr w:type="gramStart"/>
      <w:r w:rsidRPr="0080167E">
        <w:rPr>
          <w:rFonts w:ascii="Arial" w:hAnsi="Arial" w:cs="Arial"/>
        </w:rPr>
        <w:t>a number of</w:t>
      </w:r>
      <w:proofErr w:type="gramEnd"/>
      <w:r w:rsidRPr="0080167E">
        <w:rPr>
          <w:rFonts w:ascii="Arial" w:hAnsi="Arial" w:cs="Arial"/>
        </w:rPr>
        <w:t xml:space="preserve"> important issues. Several of the articles featured used this as an opportunity to highlight state obligations to protect women and girls and the potential breach of human rights if such protection is not provided. This is timely given the ongoing debate about the reservations that the UK has chosen to make when ratifying the Istanbul Convention, as discussed earlier in this editorial. </w:t>
      </w:r>
      <w:r w:rsidR="008A482E">
        <w:rPr>
          <w:rFonts w:ascii="Arial" w:hAnsi="Arial" w:cs="Arial"/>
        </w:rPr>
        <w:t>A</w:t>
      </w:r>
      <w:r w:rsidRPr="0080167E">
        <w:rPr>
          <w:rFonts w:ascii="Arial" w:hAnsi="Arial" w:cs="Arial"/>
        </w:rPr>
        <w:t xml:space="preserve">longside this, </w:t>
      </w:r>
      <w:r w:rsidR="008A482E">
        <w:rPr>
          <w:rFonts w:ascii="Arial" w:hAnsi="Arial" w:cs="Arial"/>
        </w:rPr>
        <w:t xml:space="preserve">however, </w:t>
      </w:r>
      <w:r w:rsidRPr="0080167E">
        <w:rPr>
          <w:rFonts w:ascii="Arial" w:hAnsi="Arial" w:cs="Arial"/>
        </w:rPr>
        <w:t>another common theme discussed is the difficulty in both implementing and enforcing legislation, raising the question as to whether legislative changes are always the answer to achieving societal change, especially when considering an issue which is so deeply rooted in patriarchy and women’s unequal status within society. It is therefore notable that the final theme of this collection and one particularly discussed within the final two articles is the use of literature and popular culture to tackle societal ideas and opinions of gender-based violence or to at least open the door to further discussion. It is hoped that this special issue will encourage the use of literature in this way in the future.</w:t>
      </w:r>
    </w:p>
    <w:p w14:paraId="5CF9CA66" w14:textId="77777777" w:rsidR="00B768A3" w:rsidRPr="0080167E" w:rsidRDefault="00B768A3" w:rsidP="00D147AA">
      <w:pPr>
        <w:shd w:val="clear" w:color="auto" w:fill="FFFFFF"/>
        <w:spacing w:after="0" w:line="360" w:lineRule="auto"/>
        <w:jc w:val="both"/>
        <w:rPr>
          <w:rFonts w:ascii="Arial" w:hAnsi="Arial" w:cs="Arial"/>
          <w:b/>
          <w:bCs/>
        </w:rPr>
      </w:pPr>
    </w:p>
    <w:p w14:paraId="75D68E68" w14:textId="77777777" w:rsidR="00B768A3" w:rsidRPr="0080167E" w:rsidRDefault="00B768A3" w:rsidP="00D147AA">
      <w:pPr>
        <w:spacing w:after="0" w:line="360" w:lineRule="auto"/>
        <w:jc w:val="both"/>
        <w:rPr>
          <w:rFonts w:ascii="Arial" w:hAnsi="Arial" w:cs="Arial"/>
          <w:b/>
          <w:bCs/>
          <w:i/>
          <w:iCs/>
        </w:rPr>
      </w:pPr>
      <w:r w:rsidRPr="0080167E">
        <w:rPr>
          <w:rFonts w:ascii="Arial" w:hAnsi="Arial" w:cs="Arial"/>
          <w:b/>
          <w:bCs/>
          <w:i/>
          <w:iCs/>
        </w:rPr>
        <w:t>Acknowledgements</w:t>
      </w:r>
    </w:p>
    <w:p w14:paraId="43222670" w14:textId="77777777" w:rsidR="00B768A3" w:rsidRPr="0080167E" w:rsidRDefault="00B768A3" w:rsidP="00D147AA">
      <w:pPr>
        <w:spacing w:after="0" w:line="360" w:lineRule="auto"/>
        <w:jc w:val="both"/>
        <w:rPr>
          <w:rFonts w:ascii="Arial" w:hAnsi="Arial" w:cs="Arial"/>
        </w:rPr>
      </w:pPr>
    </w:p>
    <w:p w14:paraId="10297DDE" w14:textId="77777777" w:rsidR="00B768A3" w:rsidRPr="0080167E" w:rsidRDefault="00B768A3" w:rsidP="00D147AA">
      <w:pPr>
        <w:spacing w:after="0" w:line="360" w:lineRule="auto"/>
        <w:jc w:val="both"/>
        <w:rPr>
          <w:rFonts w:ascii="Arial" w:hAnsi="Arial" w:cs="Arial"/>
        </w:rPr>
      </w:pPr>
      <w:r w:rsidRPr="0080167E">
        <w:rPr>
          <w:rFonts w:ascii="Arial" w:hAnsi="Arial" w:cs="Arial"/>
        </w:rPr>
        <w:t xml:space="preserve">We would like to thank all contributors for their thought-provoking articles and all peer reviewers who volunteered their time to provide feedback. We thank the editor of the </w:t>
      </w:r>
      <w:r w:rsidRPr="0080167E">
        <w:rPr>
          <w:rFonts w:ascii="Arial" w:hAnsi="Arial" w:cs="Arial"/>
          <w:i/>
          <w:iCs/>
        </w:rPr>
        <w:t>International Journal of Gender, Sexuality and Law</w:t>
      </w:r>
      <w:r w:rsidRPr="0080167E">
        <w:rPr>
          <w:rFonts w:ascii="Arial" w:hAnsi="Arial" w:cs="Arial"/>
        </w:rPr>
        <w:t>, Laura Graham, for waiting so patiently for us to collate all the articles, and for her support in putting this issue together. Finally, we thank the Society of Legal Scholars for its generous grant which made the event which inspired this special edition possible.</w:t>
      </w:r>
    </w:p>
    <w:p w14:paraId="20FE02FC" w14:textId="77777777" w:rsidR="00C04F47" w:rsidRPr="0080167E" w:rsidRDefault="00C04F47" w:rsidP="00D147AA">
      <w:pPr>
        <w:shd w:val="clear" w:color="auto" w:fill="FFFFFF" w:themeFill="background1"/>
        <w:spacing w:after="0" w:line="360" w:lineRule="auto"/>
        <w:jc w:val="both"/>
        <w:rPr>
          <w:rFonts w:ascii="Arial" w:hAnsi="Arial" w:cs="Arial"/>
          <w:b/>
          <w:bCs/>
          <w:i/>
          <w:iCs/>
        </w:rPr>
      </w:pPr>
    </w:p>
    <w:sectPr w:rsidR="00C04F47" w:rsidRPr="008016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5F073" w14:textId="77777777" w:rsidR="00B86BB0" w:rsidRDefault="00B86BB0" w:rsidP="00EA1DA1">
      <w:pPr>
        <w:spacing w:after="0" w:line="240" w:lineRule="auto"/>
      </w:pPr>
      <w:r>
        <w:separator/>
      </w:r>
    </w:p>
  </w:endnote>
  <w:endnote w:type="continuationSeparator" w:id="0">
    <w:p w14:paraId="3C4CDBC4" w14:textId="77777777" w:rsidR="00B86BB0" w:rsidRDefault="00B86BB0" w:rsidP="00EA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064907"/>
      <w:docPartObj>
        <w:docPartGallery w:val="Page Numbers (Bottom of Page)"/>
        <w:docPartUnique/>
      </w:docPartObj>
    </w:sdtPr>
    <w:sdtEndPr>
      <w:rPr>
        <w:noProof/>
      </w:rPr>
    </w:sdtEndPr>
    <w:sdtContent>
      <w:p w14:paraId="01763D9D" w14:textId="4D6DD71F" w:rsidR="008D39B6" w:rsidRDefault="008D39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A4F0F" w14:textId="653F14D9" w:rsidR="3CCDC131" w:rsidRDefault="3CCDC131" w:rsidP="3CCDC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0FC0C" w14:textId="77777777" w:rsidR="00B86BB0" w:rsidRDefault="00B86BB0" w:rsidP="00EA1DA1">
      <w:pPr>
        <w:spacing w:after="0" w:line="240" w:lineRule="auto"/>
      </w:pPr>
      <w:r>
        <w:separator/>
      </w:r>
    </w:p>
  </w:footnote>
  <w:footnote w:type="continuationSeparator" w:id="0">
    <w:p w14:paraId="53E5FC94" w14:textId="77777777" w:rsidR="00B86BB0" w:rsidRDefault="00B86BB0" w:rsidP="00EA1DA1">
      <w:pPr>
        <w:spacing w:after="0" w:line="240" w:lineRule="auto"/>
      </w:pPr>
      <w:r>
        <w:continuationSeparator/>
      </w:r>
    </w:p>
  </w:footnote>
  <w:footnote w:id="1">
    <w:p w14:paraId="3341D44F" w14:textId="5FFF7E8E" w:rsidR="00E20ABA" w:rsidRPr="00BE1775" w:rsidRDefault="00EA1DA1" w:rsidP="00E20ABA">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w:t>
      </w:r>
      <w:r w:rsidR="00E20ABA" w:rsidRPr="00BE1775">
        <w:rPr>
          <w:rFonts w:ascii="Arial" w:hAnsi="Arial" w:cs="Arial"/>
          <w:sz w:val="18"/>
          <w:szCs w:val="18"/>
        </w:rPr>
        <w:t>Claire Bessant, Northumbria University. Email: claire.bessant@northumbria.ac.uk</w:t>
      </w:r>
    </w:p>
    <w:p w14:paraId="7F7AAB9E" w14:textId="0D72D673" w:rsidR="00E20ABA" w:rsidRPr="00BE1775" w:rsidRDefault="00E20ABA" w:rsidP="00E20ABA">
      <w:pPr>
        <w:pStyle w:val="FootnoteText"/>
        <w:rPr>
          <w:rFonts w:ascii="Arial" w:hAnsi="Arial" w:cs="Arial"/>
          <w:sz w:val="18"/>
          <w:szCs w:val="18"/>
          <w:lang w:val="en-US"/>
        </w:rPr>
      </w:pPr>
      <w:r w:rsidRPr="00BE1775">
        <w:rPr>
          <w:rFonts w:ascii="Arial" w:hAnsi="Arial" w:cs="Arial"/>
          <w:sz w:val="18"/>
          <w:szCs w:val="18"/>
        </w:rPr>
        <w:t>Kayliegh Richardson, Northumbria University. Email:</w:t>
      </w:r>
      <w:r w:rsidRPr="00BE1775">
        <w:rPr>
          <w:rFonts w:ascii="Arial" w:hAnsi="Arial" w:cs="Arial"/>
          <w:sz w:val="18"/>
          <w:szCs w:val="18"/>
          <w:lang w:val="en-US"/>
        </w:rPr>
        <w:t xml:space="preserve"> kayliegh2.richardson@northumbria.ac.uk</w:t>
      </w:r>
    </w:p>
    <w:p w14:paraId="70894DA5" w14:textId="12FFBD28" w:rsidR="00EA1DA1" w:rsidRPr="00BE1775" w:rsidRDefault="00E20ABA" w:rsidP="00E20ABA">
      <w:pPr>
        <w:pStyle w:val="FootnoteText"/>
        <w:jc w:val="both"/>
        <w:rPr>
          <w:rFonts w:ascii="Arial" w:hAnsi="Arial" w:cs="Arial"/>
          <w:sz w:val="18"/>
          <w:szCs w:val="18"/>
        </w:rPr>
      </w:pPr>
      <w:r w:rsidRPr="00BE1775">
        <w:rPr>
          <w:rFonts w:ascii="Arial" w:hAnsi="Arial" w:cs="Arial"/>
          <w:sz w:val="18"/>
          <w:szCs w:val="18"/>
          <w:lang w:val="en-US"/>
        </w:rPr>
        <w:t>Citation format: Bessant, C and Richardson, K, ‘</w:t>
      </w:r>
      <w:r w:rsidRPr="00BE1775">
        <w:rPr>
          <w:rFonts w:ascii="Arial" w:hAnsi="Arial" w:cs="Arial"/>
          <w:sz w:val="18"/>
          <w:szCs w:val="18"/>
        </w:rPr>
        <w:t xml:space="preserve">Gender Based Violence: Reflections on the world envisaged in “After Dark” by Jayne Cowie: Using Literature to Critically Explore Current Legal Responses to GBV in the Home and in Public’ (2024) 3 </w:t>
      </w:r>
      <w:r w:rsidRPr="00BE1775">
        <w:rPr>
          <w:rFonts w:ascii="Arial" w:hAnsi="Arial" w:cs="Arial"/>
          <w:i/>
          <w:iCs/>
          <w:sz w:val="18"/>
          <w:szCs w:val="18"/>
        </w:rPr>
        <w:t xml:space="preserve">International Journal of Gender, Sexuality and Law </w:t>
      </w:r>
      <w:r w:rsidRPr="00BE1775">
        <w:rPr>
          <w:rFonts w:ascii="Arial" w:hAnsi="Arial" w:cs="Arial"/>
          <w:sz w:val="18"/>
          <w:szCs w:val="18"/>
        </w:rPr>
        <w:t>1.</w:t>
      </w:r>
    </w:p>
  </w:footnote>
  <w:footnote w:id="2">
    <w:p w14:paraId="22CE65B2" w14:textId="40328461"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United Nations </w:t>
      </w:r>
      <w:r w:rsidR="00B232C0" w:rsidRPr="00BE1775">
        <w:rPr>
          <w:rFonts w:ascii="Arial" w:hAnsi="Arial" w:cs="Arial"/>
          <w:sz w:val="18"/>
          <w:szCs w:val="18"/>
        </w:rPr>
        <w:t>Declaration on the Elimination of Violence Against Women A/RES/48/104 of 20 December 1993.</w:t>
      </w:r>
    </w:p>
  </w:footnote>
  <w:footnote w:id="3">
    <w:p w14:paraId="63203268" w14:textId="77777777"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The European Institute for Gender Inequality, Strategic Framework on Violence against Women 2015-2018 (Publications Office of the European Union, Luxembourg 2015).</w:t>
      </w:r>
    </w:p>
  </w:footnote>
  <w:footnote w:id="4">
    <w:p w14:paraId="653AAA54" w14:textId="6F60B56C" w:rsidR="00B768A3" w:rsidRPr="00871356"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w:t>
      </w:r>
      <w:r w:rsidRPr="00BE1775">
        <w:rPr>
          <w:rFonts w:ascii="Arial" w:hAnsi="Arial" w:cs="Arial"/>
          <w:sz w:val="18"/>
          <w:szCs w:val="18"/>
          <w:shd w:val="clear" w:color="auto" w:fill="FFFFFF"/>
        </w:rPr>
        <w:t xml:space="preserve">Council of Europe, Convention on </w:t>
      </w:r>
      <w:r w:rsidR="00115B6B">
        <w:rPr>
          <w:rFonts w:ascii="Arial" w:hAnsi="Arial" w:cs="Arial"/>
          <w:sz w:val="18"/>
          <w:szCs w:val="18"/>
          <w:shd w:val="clear" w:color="auto" w:fill="FFFFFF"/>
        </w:rPr>
        <w:t>P</w:t>
      </w:r>
      <w:r w:rsidRPr="00BE1775">
        <w:rPr>
          <w:rFonts w:ascii="Arial" w:hAnsi="Arial" w:cs="Arial"/>
          <w:sz w:val="18"/>
          <w:szCs w:val="18"/>
          <w:shd w:val="clear" w:color="auto" w:fill="FFFFFF"/>
        </w:rPr>
        <w:t xml:space="preserve">reventing and </w:t>
      </w:r>
      <w:r w:rsidR="00115B6B">
        <w:rPr>
          <w:rFonts w:ascii="Arial" w:hAnsi="Arial" w:cs="Arial"/>
          <w:sz w:val="18"/>
          <w:szCs w:val="18"/>
          <w:shd w:val="clear" w:color="auto" w:fill="FFFFFF"/>
        </w:rPr>
        <w:t>C</w:t>
      </w:r>
      <w:r w:rsidRPr="00BE1775">
        <w:rPr>
          <w:rFonts w:ascii="Arial" w:hAnsi="Arial" w:cs="Arial"/>
          <w:sz w:val="18"/>
          <w:szCs w:val="18"/>
          <w:shd w:val="clear" w:color="auto" w:fill="FFFFFF"/>
        </w:rPr>
        <w:t>o</w:t>
      </w:r>
      <w:r w:rsidRPr="00871356">
        <w:rPr>
          <w:rFonts w:ascii="Arial" w:hAnsi="Arial" w:cs="Arial"/>
          <w:sz w:val="18"/>
          <w:szCs w:val="18"/>
          <w:shd w:val="clear" w:color="auto" w:fill="FFFFFF"/>
        </w:rPr>
        <w:t xml:space="preserve">mbating </w:t>
      </w:r>
      <w:r w:rsidR="00115B6B">
        <w:rPr>
          <w:rFonts w:ascii="Arial" w:hAnsi="Arial" w:cs="Arial"/>
          <w:sz w:val="18"/>
          <w:szCs w:val="18"/>
          <w:shd w:val="clear" w:color="auto" w:fill="FFFFFF"/>
        </w:rPr>
        <w:t>V</w:t>
      </w:r>
      <w:r w:rsidRPr="00871356">
        <w:rPr>
          <w:rFonts w:ascii="Arial" w:hAnsi="Arial" w:cs="Arial"/>
          <w:sz w:val="18"/>
          <w:szCs w:val="18"/>
          <w:shd w:val="clear" w:color="auto" w:fill="FFFFFF"/>
        </w:rPr>
        <w:t xml:space="preserve">iolence against </w:t>
      </w:r>
      <w:r w:rsidR="00115B6B">
        <w:rPr>
          <w:rFonts w:ascii="Arial" w:hAnsi="Arial" w:cs="Arial"/>
          <w:sz w:val="18"/>
          <w:szCs w:val="18"/>
          <w:shd w:val="clear" w:color="auto" w:fill="FFFFFF"/>
        </w:rPr>
        <w:t>W</w:t>
      </w:r>
      <w:r w:rsidRPr="00871356">
        <w:rPr>
          <w:rFonts w:ascii="Arial" w:hAnsi="Arial" w:cs="Arial"/>
          <w:sz w:val="18"/>
          <w:szCs w:val="18"/>
          <w:shd w:val="clear" w:color="auto" w:fill="FFFFFF"/>
        </w:rPr>
        <w:t xml:space="preserve">omen and </w:t>
      </w:r>
      <w:r w:rsidR="00115B6B">
        <w:rPr>
          <w:rFonts w:ascii="Arial" w:hAnsi="Arial" w:cs="Arial"/>
          <w:sz w:val="18"/>
          <w:szCs w:val="18"/>
          <w:shd w:val="clear" w:color="auto" w:fill="FFFFFF"/>
        </w:rPr>
        <w:t>D</w:t>
      </w:r>
      <w:r w:rsidRPr="00871356">
        <w:rPr>
          <w:rFonts w:ascii="Arial" w:hAnsi="Arial" w:cs="Arial"/>
          <w:sz w:val="18"/>
          <w:szCs w:val="18"/>
          <w:shd w:val="clear" w:color="auto" w:fill="FFFFFF"/>
        </w:rPr>
        <w:t xml:space="preserve">omestic </w:t>
      </w:r>
      <w:r w:rsidR="00115B6B">
        <w:rPr>
          <w:rFonts w:ascii="Arial" w:hAnsi="Arial" w:cs="Arial"/>
          <w:sz w:val="18"/>
          <w:szCs w:val="18"/>
          <w:shd w:val="clear" w:color="auto" w:fill="FFFFFF"/>
        </w:rPr>
        <w:t>V</w:t>
      </w:r>
      <w:r w:rsidRPr="00871356">
        <w:rPr>
          <w:rFonts w:ascii="Arial" w:hAnsi="Arial" w:cs="Arial"/>
          <w:sz w:val="18"/>
          <w:szCs w:val="18"/>
          <w:shd w:val="clear" w:color="auto" w:fill="FFFFFF"/>
        </w:rPr>
        <w:t>iolence</w:t>
      </w:r>
      <w:r w:rsidR="00871356" w:rsidRPr="00871356">
        <w:rPr>
          <w:rFonts w:ascii="Arial" w:hAnsi="Arial" w:cs="Arial"/>
          <w:sz w:val="18"/>
          <w:szCs w:val="18"/>
          <w:shd w:val="clear" w:color="auto" w:fill="FFFFFF"/>
        </w:rPr>
        <w:t xml:space="preserve"> </w:t>
      </w:r>
      <w:r w:rsidR="00871356" w:rsidRPr="00871356">
        <w:rPr>
          <w:rFonts w:ascii="Arial" w:hAnsi="Arial" w:cs="Arial"/>
          <w:color w:val="161616"/>
          <w:sz w:val="18"/>
          <w:szCs w:val="18"/>
          <w:shd w:val="clear" w:color="auto" w:fill="FFFFFF"/>
        </w:rPr>
        <w:t xml:space="preserve">CETS No. 210 </w:t>
      </w:r>
      <w:r w:rsidR="00871356" w:rsidRPr="00871356">
        <w:rPr>
          <w:rFonts w:ascii="Arial" w:hAnsi="Arial" w:cs="Arial"/>
          <w:sz w:val="18"/>
          <w:szCs w:val="18"/>
        </w:rPr>
        <w:t>Istanbul, 11.V.2011</w:t>
      </w:r>
    </w:p>
  </w:footnote>
  <w:footnote w:id="5">
    <w:p w14:paraId="16A53D99" w14:textId="51217CFB"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World Bank, ‘Gender-Based Violence (Violence against Women and Girls)’, 2019</w:t>
      </w:r>
      <w:r w:rsidR="00CE222B">
        <w:rPr>
          <w:rFonts w:ascii="Arial" w:hAnsi="Arial" w:cs="Arial"/>
          <w:sz w:val="18"/>
          <w:szCs w:val="18"/>
        </w:rPr>
        <w:t xml:space="preserve">. Available at: </w:t>
      </w:r>
      <w:hyperlink r:id="rId1" w:history="1">
        <w:r w:rsidR="00E16508" w:rsidRPr="00E869E0">
          <w:rPr>
            <w:rStyle w:val="Hyperlink"/>
            <w:rFonts w:ascii="Arial" w:hAnsi="Arial" w:cs="Arial"/>
            <w:sz w:val="18"/>
            <w:szCs w:val="18"/>
          </w:rPr>
          <w:t>https://www.worldbank.org/en/topic/socialsustainability/brief/violence-against-women-and-girls</w:t>
        </w:r>
      </w:hyperlink>
      <w:r w:rsidR="00E16508">
        <w:rPr>
          <w:rFonts w:ascii="Arial" w:hAnsi="Arial" w:cs="Arial"/>
          <w:sz w:val="18"/>
          <w:szCs w:val="18"/>
        </w:rPr>
        <w:t xml:space="preserve"> </w:t>
      </w:r>
      <w:r w:rsidR="00871356">
        <w:rPr>
          <w:rFonts w:ascii="Arial" w:hAnsi="Arial" w:cs="Arial"/>
          <w:sz w:val="18"/>
          <w:szCs w:val="18"/>
        </w:rPr>
        <w:t>(last accessed 17 June 2024)</w:t>
      </w:r>
      <w:r w:rsidR="003644FC">
        <w:rPr>
          <w:rFonts w:ascii="Arial" w:hAnsi="Arial" w:cs="Arial"/>
          <w:sz w:val="18"/>
          <w:szCs w:val="18"/>
        </w:rPr>
        <w:t>.</w:t>
      </w:r>
    </w:p>
  </w:footnote>
  <w:footnote w:id="6">
    <w:p w14:paraId="5C38CB55" w14:textId="0CC48533"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HM Government, ‘Tackling Violence Against Women and Girls’ 2021</w:t>
      </w:r>
      <w:r w:rsidR="00E16508">
        <w:rPr>
          <w:rFonts w:ascii="Arial" w:hAnsi="Arial" w:cs="Arial"/>
          <w:sz w:val="18"/>
          <w:szCs w:val="18"/>
        </w:rPr>
        <w:t>. Available at:</w:t>
      </w:r>
      <w:r w:rsidRPr="00BE1775">
        <w:rPr>
          <w:rFonts w:ascii="Arial" w:hAnsi="Arial" w:cs="Arial"/>
          <w:sz w:val="18"/>
          <w:szCs w:val="18"/>
        </w:rPr>
        <w:t xml:space="preserve"> </w:t>
      </w:r>
      <w:hyperlink r:id="rId2" w:history="1">
        <w:r w:rsidRPr="00BE1775">
          <w:rPr>
            <w:rStyle w:val="Hyperlink"/>
            <w:rFonts w:ascii="Arial" w:hAnsi="Arial" w:cs="Arial"/>
            <w:color w:val="auto"/>
            <w:sz w:val="18"/>
            <w:szCs w:val="18"/>
          </w:rPr>
          <w:t>https://www.gov.uk/government/publications/tackling-violence-against-women-and-girls-strategy</w:t>
        </w:r>
      </w:hyperlink>
      <w:r w:rsidR="00871356">
        <w:rPr>
          <w:rStyle w:val="Hyperlink"/>
          <w:rFonts w:ascii="Arial" w:hAnsi="Arial" w:cs="Arial"/>
          <w:color w:val="auto"/>
          <w:sz w:val="18"/>
          <w:szCs w:val="18"/>
        </w:rPr>
        <w:t xml:space="preserve"> (last accessed 17 June 2024)</w:t>
      </w:r>
      <w:r w:rsidRPr="00BE1775">
        <w:rPr>
          <w:rFonts w:ascii="Arial" w:hAnsi="Arial" w:cs="Arial"/>
          <w:sz w:val="18"/>
          <w:szCs w:val="18"/>
        </w:rPr>
        <w:t xml:space="preserve">; Home Office News Team, </w:t>
      </w:r>
      <w:r w:rsidR="00E16508">
        <w:rPr>
          <w:rFonts w:ascii="Arial" w:hAnsi="Arial" w:cs="Arial"/>
          <w:sz w:val="18"/>
          <w:szCs w:val="18"/>
        </w:rPr>
        <w:t>‘</w:t>
      </w:r>
      <w:r w:rsidRPr="00BE1775">
        <w:rPr>
          <w:rFonts w:ascii="Arial" w:hAnsi="Arial" w:cs="Arial"/>
          <w:sz w:val="18"/>
          <w:szCs w:val="18"/>
        </w:rPr>
        <w:t>Violence against Women and Girls and Male Position Factsheets</w:t>
      </w:r>
      <w:r w:rsidR="00E16508">
        <w:rPr>
          <w:rFonts w:ascii="Arial" w:hAnsi="Arial" w:cs="Arial"/>
          <w:sz w:val="18"/>
          <w:szCs w:val="18"/>
        </w:rPr>
        <w:t>’</w:t>
      </w:r>
      <w:r w:rsidRPr="00BE1775">
        <w:rPr>
          <w:rFonts w:ascii="Arial" w:hAnsi="Arial" w:cs="Arial"/>
          <w:sz w:val="18"/>
          <w:szCs w:val="18"/>
        </w:rPr>
        <w:t>, 7 March 2019</w:t>
      </w:r>
      <w:r w:rsidR="00E16508">
        <w:rPr>
          <w:rFonts w:ascii="Arial" w:hAnsi="Arial" w:cs="Arial"/>
          <w:sz w:val="18"/>
          <w:szCs w:val="18"/>
        </w:rPr>
        <w:t>. Available at:</w:t>
      </w:r>
      <w:r w:rsidRPr="00BE1775">
        <w:rPr>
          <w:rFonts w:ascii="Arial" w:hAnsi="Arial" w:cs="Arial"/>
          <w:sz w:val="18"/>
          <w:szCs w:val="18"/>
        </w:rPr>
        <w:t xml:space="preserve"> </w:t>
      </w:r>
      <w:hyperlink r:id="rId3" w:history="1">
        <w:r w:rsidRPr="00BE1775">
          <w:rPr>
            <w:rStyle w:val="Hyperlink"/>
            <w:rFonts w:ascii="Arial" w:hAnsi="Arial" w:cs="Arial"/>
            <w:color w:val="auto"/>
            <w:sz w:val="18"/>
            <w:szCs w:val="18"/>
          </w:rPr>
          <w:t>https://homeofficemedia.blog.gov.uk/2019/03/07/violence-against-women-and-girls-and-male-position-factsheets/</w:t>
        </w:r>
      </w:hyperlink>
      <w:r w:rsidR="00871356">
        <w:rPr>
          <w:rStyle w:val="Hyperlink"/>
          <w:rFonts w:ascii="Arial" w:hAnsi="Arial" w:cs="Arial"/>
          <w:color w:val="auto"/>
          <w:sz w:val="18"/>
          <w:szCs w:val="18"/>
        </w:rPr>
        <w:t xml:space="preserve"> (last accessed 17 June 2024)</w:t>
      </w:r>
      <w:r w:rsidR="003644FC">
        <w:rPr>
          <w:rStyle w:val="Hyperlink"/>
          <w:rFonts w:ascii="Arial" w:hAnsi="Arial" w:cs="Arial"/>
          <w:color w:val="auto"/>
          <w:sz w:val="18"/>
          <w:szCs w:val="18"/>
        </w:rPr>
        <w:t>.</w:t>
      </w:r>
    </w:p>
  </w:footnote>
  <w:footnote w:id="7">
    <w:p w14:paraId="09DD50ED" w14:textId="700C9FDB"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w:t>
      </w:r>
      <w:r w:rsidRPr="00BE1775">
        <w:rPr>
          <w:rFonts w:ascii="Arial" w:hAnsi="Arial" w:cs="Arial"/>
          <w:sz w:val="18"/>
          <w:szCs w:val="18"/>
          <w:shd w:val="clear" w:color="auto" w:fill="FFFFFF"/>
        </w:rPr>
        <w:t xml:space="preserve">Council of Europe, Convention </w:t>
      </w:r>
      <w:proofErr w:type="gramStart"/>
      <w:r w:rsidR="00BE1775" w:rsidRPr="00BE1775">
        <w:rPr>
          <w:rFonts w:ascii="Arial" w:hAnsi="Arial" w:cs="Arial"/>
          <w:sz w:val="18"/>
          <w:szCs w:val="18"/>
          <w:shd w:val="clear" w:color="auto" w:fill="FFFFFF"/>
        </w:rPr>
        <w:t>On</w:t>
      </w:r>
      <w:proofErr w:type="gramEnd"/>
      <w:r w:rsidR="00BE1775" w:rsidRPr="00BE1775">
        <w:rPr>
          <w:rFonts w:ascii="Arial" w:hAnsi="Arial" w:cs="Arial"/>
          <w:sz w:val="18"/>
          <w:szCs w:val="18"/>
          <w:shd w:val="clear" w:color="auto" w:fill="FFFFFF"/>
        </w:rPr>
        <w:t xml:space="preserve"> Preventing and Combating Violence Against Women and Domestic Violence, n 4 above.</w:t>
      </w:r>
    </w:p>
  </w:footnote>
  <w:footnote w:id="8">
    <w:p w14:paraId="0A764DCC" w14:textId="2E8447AE"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Charley Coleman, ‘Istanbul Convention: Preventing and </w:t>
      </w:r>
      <w:r w:rsidR="00E16D76">
        <w:rPr>
          <w:rFonts w:ascii="Arial" w:hAnsi="Arial" w:cs="Arial"/>
          <w:sz w:val="18"/>
          <w:szCs w:val="18"/>
        </w:rPr>
        <w:t>C</w:t>
      </w:r>
      <w:r w:rsidRPr="00BE1775">
        <w:rPr>
          <w:rFonts w:ascii="Arial" w:hAnsi="Arial" w:cs="Arial"/>
          <w:sz w:val="18"/>
          <w:szCs w:val="18"/>
        </w:rPr>
        <w:t xml:space="preserve">ombating </w:t>
      </w:r>
      <w:r w:rsidR="00E16D76">
        <w:rPr>
          <w:rFonts w:ascii="Arial" w:hAnsi="Arial" w:cs="Arial"/>
          <w:sz w:val="18"/>
          <w:szCs w:val="18"/>
        </w:rPr>
        <w:t>V</w:t>
      </w:r>
      <w:r w:rsidRPr="00BE1775">
        <w:rPr>
          <w:rFonts w:ascii="Arial" w:hAnsi="Arial" w:cs="Arial"/>
          <w:sz w:val="18"/>
          <w:szCs w:val="18"/>
        </w:rPr>
        <w:t xml:space="preserve">iolence against </w:t>
      </w:r>
      <w:r w:rsidR="00E16D76">
        <w:rPr>
          <w:rFonts w:ascii="Arial" w:hAnsi="Arial" w:cs="Arial"/>
          <w:sz w:val="18"/>
          <w:szCs w:val="18"/>
        </w:rPr>
        <w:t>W</w:t>
      </w:r>
      <w:r w:rsidRPr="00BE1775">
        <w:rPr>
          <w:rFonts w:ascii="Arial" w:hAnsi="Arial" w:cs="Arial"/>
          <w:sz w:val="18"/>
          <w:szCs w:val="18"/>
        </w:rPr>
        <w:t xml:space="preserve">omen and </w:t>
      </w:r>
      <w:r w:rsidR="00E16D76">
        <w:rPr>
          <w:rFonts w:ascii="Arial" w:hAnsi="Arial" w:cs="Arial"/>
          <w:sz w:val="18"/>
          <w:szCs w:val="18"/>
        </w:rPr>
        <w:t>D</w:t>
      </w:r>
      <w:r w:rsidRPr="00BE1775">
        <w:rPr>
          <w:rFonts w:ascii="Arial" w:hAnsi="Arial" w:cs="Arial"/>
          <w:sz w:val="18"/>
          <w:szCs w:val="18"/>
        </w:rPr>
        <w:t xml:space="preserve">omestic </w:t>
      </w:r>
      <w:r w:rsidR="00E16D76">
        <w:rPr>
          <w:rFonts w:ascii="Arial" w:hAnsi="Arial" w:cs="Arial"/>
          <w:sz w:val="18"/>
          <w:szCs w:val="18"/>
        </w:rPr>
        <w:t>V</w:t>
      </w:r>
      <w:r w:rsidRPr="00BE1775">
        <w:rPr>
          <w:rFonts w:ascii="Arial" w:hAnsi="Arial" w:cs="Arial"/>
          <w:sz w:val="18"/>
          <w:szCs w:val="18"/>
        </w:rPr>
        <w:t>iolence’ House of Lords Library (23 June 2022)</w:t>
      </w:r>
      <w:r w:rsidR="00E16D76">
        <w:rPr>
          <w:rFonts w:ascii="Arial" w:hAnsi="Arial" w:cs="Arial"/>
          <w:sz w:val="18"/>
          <w:szCs w:val="18"/>
        </w:rPr>
        <w:t>. Available at:</w:t>
      </w:r>
      <w:r w:rsidRPr="00BE1775">
        <w:rPr>
          <w:rFonts w:ascii="Arial" w:hAnsi="Arial" w:cs="Arial"/>
          <w:sz w:val="18"/>
          <w:szCs w:val="18"/>
        </w:rPr>
        <w:t xml:space="preserve"> </w:t>
      </w:r>
      <w:hyperlink r:id="rId4" w:anchor="heading-6" w:history="1">
        <w:r w:rsidR="00871356" w:rsidRPr="00DE33C0">
          <w:rPr>
            <w:rStyle w:val="Hyperlink"/>
            <w:rFonts w:ascii="Arial" w:hAnsi="Arial" w:cs="Arial"/>
            <w:sz w:val="18"/>
            <w:szCs w:val="18"/>
          </w:rPr>
          <w:t>https://lordslibrary.parliament.uk/istanbul-convention-preventing-and-combating-violence-against-women-and-domestic-violence/#heading-6</w:t>
        </w:r>
      </w:hyperlink>
      <w:r w:rsidR="00871356">
        <w:rPr>
          <w:rFonts w:ascii="Arial" w:hAnsi="Arial" w:cs="Arial"/>
          <w:sz w:val="18"/>
          <w:szCs w:val="18"/>
        </w:rPr>
        <w:t xml:space="preserve"> (last accessed 17 June 2024)</w:t>
      </w:r>
      <w:r w:rsidR="00E16D76">
        <w:rPr>
          <w:rFonts w:ascii="Arial" w:hAnsi="Arial" w:cs="Arial"/>
          <w:sz w:val="18"/>
          <w:szCs w:val="18"/>
        </w:rPr>
        <w:t>.</w:t>
      </w:r>
    </w:p>
  </w:footnote>
  <w:footnote w:id="9">
    <w:p w14:paraId="77933956" w14:textId="32AB10AD"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House of Lords International Agreements Committee, 2</w:t>
      </w:r>
      <w:r w:rsidRPr="00BE1775">
        <w:rPr>
          <w:rFonts w:ascii="Arial" w:hAnsi="Arial" w:cs="Arial"/>
          <w:sz w:val="18"/>
          <w:szCs w:val="18"/>
          <w:vertAlign w:val="superscript"/>
        </w:rPr>
        <w:t>nd</w:t>
      </w:r>
      <w:r w:rsidRPr="00BE1775">
        <w:rPr>
          <w:rFonts w:ascii="Arial" w:hAnsi="Arial" w:cs="Arial"/>
          <w:sz w:val="18"/>
          <w:szCs w:val="18"/>
        </w:rPr>
        <w:t xml:space="preserve"> report of Session 2022-23, ‘Scrutiny of international agreements: Council of Europe Convention on Preventing and Combating Violence against Women and Domestic Violence’ HL Paper 24 (17 June 2022)</w:t>
      </w:r>
      <w:r w:rsidR="00F90922">
        <w:rPr>
          <w:rFonts w:ascii="Arial" w:hAnsi="Arial" w:cs="Arial"/>
          <w:sz w:val="18"/>
          <w:szCs w:val="18"/>
        </w:rPr>
        <w:t>.</w:t>
      </w:r>
    </w:p>
  </w:footnote>
  <w:footnote w:id="10">
    <w:p w14:paraId="660B9B37" w14:textId="6A36AB19"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Home Office, ‘Evaluating the Support for Migrant Victims (SMV) Pilot: Findings from a process evaluation’ 4 August 2023</w:t>
      </w:r>
      <w:r w:rsidR="00A555E1">
        <w:rPr>
          <w:rFonts w:ascii="Arial" w:hAnsi="Arial" w:cs="Arial"/>
          <w:sz w:val="18"/>
          <w:szCs w:val="18"/>
        </w:rPr>
        <w:t>. Available at:</w:t>
      </w:r>
      <w:r w:rsidRPr="00BE1775">
        <w:rPr>
          <w:rFonts w:ascii="Arial" w:hAnsi="Arial" w:cs="Arial"/>
          <w:sz w:val="18"/>
          <w:szCs w:val="18"/>
        </w:rPr>
        <w:t xml:space="preserve"> </w:t>
      </w:r>
      <w:hyperlink r:id="rId5" w:history="1">
        <w:r w:rsidRPr="00BE1775">
          <w:rPr>
            <w:rStyle w:val="Hyperlink"/>
            <w:rFonts w:ascii="Arial" w:hAnsi="Arial" w:cs="Arial"/>
            <w:color w:val="auto"/>
            <w:sz w:val="18"/>
            <w:szCs w:val="18"/>
          </w:rPr>
          <w:t>https://www.gov.uk/government/publications/evaluating-the-support-for-migrant-victims-smv-pilot/evaluating-the-support-for-migrant-victims-smv-pilot-findings-from-a-process-evaluation</w:t>
        </w:r>
      </w:hyperlink>
      <w:r w:rsidRPr="00BE1775">
        <w:rPr>
          <w:rFonts w:ascii="Arial" w:hAnsi="Arial" w:cs="Arial"/>
          <w:sz w:val="18"/>
          <w:szCs w:val="18"/>
        </w:rPr>
        <w:t xml:space="preserve"> </w:t>
      </w:r>
      <w:r w:rsidR="00871356">
        <w:rPr>
          <w:rFonts w:ascii="Arial" w:hAnsi="Arial" w:cs="Arial"/>
          <w:sz w:val="18"/>
          <w:szCs w:val="18"/>
        </w:rPr>
        <w:t>(last accessed 17 June 2024)</w:t>
      </w:r>
      <w:r w:rsidR="003644FC">
        <w:rPr>
          <w:rFonts w:ascii="Arial" w:hAnsi="Arial" w:cs="Arial"/>
          <w:sz w:val="18"/>
          <w:szCs w:val="18"/>
        </w:rPr>
        <w:t>.</w:t>
      </w:r>
    </w:p>
  </w:footnote>
  <w:footnote w:id="11">
    <w:p w14:paraId="664E7A4D" w14:textId="0846F4BE"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Jennifer </w:t>
      </w:r>
      <w:proofErr w:type="spellStart"/>
      <w:r w:rsidRPr="00BE1775">
        <w:rPr>
          <w:rFonts w:ascii="Arial" w:hAnsi="Arial" w:cs="Arial"/>
          <w:sz w:val="18"/>
          <w:szCs w:val="18"/>
        </w:rPr>
        <w:t>Nedelsky</w:t>
      </w:r>
      <w:proofErr w:type="spellEnd"/>
      <w:r w:rsidRPr="00BE1775">
        <w:rPr>
          <w:rFonts w:ascii="Arial" w:hAnsi="Arial" w:cs="Arial"/>
          <w:sz w:val="18"/>
          <w:szCs w:val="18"/>
        </w:rPr>
        <w:t>,</w:t>
      </w:r>
      <w:r w:rsidR="00A555E1">
        <w:rPr>
          <w:rFonts w:ascii="Arial" w:hAnsi="Arial" w:cs="Arial"/>
          <w:sz w:val="18"/>
          <w:szCs w:val="18"/>
        </w:rPr>
        <w:t xml:space="preserve"> </w:t>
      </w:r>
      <w:r w:rsidRPr="00BE1775">
        <w:rPr>
          <w:rFonts w:ascii="Arial" w:hAnsi="Arial" w:cs="Arial"/>
          <w:i/>
          <w:iCs/>
          <w:sz w:val="18"/>
          <w:szCs w:val="18"/>
        </w:rPr>
        <w:t xml:space="preserve">Law’s Relations </w:t>
      </w:r>
      <w:r w:rsidRPr="00BE1775">
        <w:rPr>
          <w:rFonts w:ascii="Arial" w:hAnsi="Arial" w:cs="Arial"/>
          <w:sz w:val="18"/>
          <w:szCs w:val="18"/>
        </w:rPr>
        <w:t>(Oxford University Press 2012) 200, 218</w:t>
      </w:r>
      <w:r w:rsidR="00F90922">
        <w:rPr>
          <w:rFonts w:ascii="Arial" w:hAnsi="Arial" w:cs="Arial"/>
          <w:sz w:val="18"/>
          <w:szCs w:val="18"/>
        </w:rPr>
        <w:t>.</w:t>
      </w:r>
    </w:p>
  </w:footnote>
  <w:footnote w:id="12">
    <w:p w14:paraId="6BB6B655" w14:textId="39A19390"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w:t>
      </w:r>
      <w:r w:rsidR="00F90922">
        <w:rPr>
          <w:rFonts w:ascii="Arial" w:hAnsi="Arial" w:cs="Arial"/>
          <w:sz w:val="18"/>
          <w:szCs w:val="18"/>
        </w:rPr>
        <w:t>ibid</w:t>
      </w:r>
      <w:r w:rsidRPr="00BE1775">
        <w:rPr>
          <w:rFonts w:ascii="Arial" w:hAnsi="Arial" w:cs="Arial"/>
          <w:sz w:val="18"/>
          <w:szCs w:val="18"/>
        </w:rPr>
        <w:t>, 218</w:t>
      </w:r>
      <w:r w:rsidR="00F90922">
        <w:rPr>
          <w:rFonts w:ascii="Arial" w:hAnsi="Arial" w:cs="Arial"/>
          <w:sz w:val="18"/>
          <w:szCs w:val="18"/>
        </w:rPr>
        <w:t>.</w:t>
      </w:r>
    </w:p>
  </w:footnote>
  <w:footnote w:id="13">
    <w:p w14:paraId="06A0C280" w14:textId="2490904E" w:rsidR="00B768A3" w:rsidRPr="00BE1775" w:rsidRDefault="00B768A3" w:rsidP="00A555E1">
      <w:pPr>
        <w:pStyle w:val="Heading1"/>
        <w:spacing w:before="0" w:beforeAutospacing="0" w:after="0" w:afterAutospacing="0"/>
        <w:textAlignment w:val="baseline"/>
        <w:rPr>
          <w:rFonts w:ascii="Arial" w:hAnsi="Arial" w:cs="Arial"/>
          <w:sz w:val="18"/>
          <w:szCs w:val="18"/>
        </w:rPr>
      </w:pPr>
      <w:r w:rsidRPr="00BE1775">
        <w:rPr>
          <w:rStyle w:val="FootnoteReference"/>
          <w:rFonts w:ascii="Arial" w:hAnsi="Arial" w:cs="Arial"/>
          <w:b w:val="0"/>
          <w:bCs w:val="0"/>
          <w:sz w:val="18"/>
          <w:szCs w:val="18"/>
        </w:rPr>
        <w:footnoteRef/>
      </w:r>
      <w:r w:rsidRPr="00BE1775">
        <w:rPr>
          <w:rFonts w:ascii="Arial" w:hAnsi="Arial" w:cs="Arial"/>
          <w:b w:val="0"/>
          <w:bCs w:val="0"/>
          <w:sz w:val="18"/>
          <w:szCs w:val="18"/>
        </w:rPr>
        <w:t xml:space="preserve"> Domestic Abuse Commissioner ‘Chancellor </w:t>
      </w:r>
      <w:r w:rsidR="00E0293A">
        <w:rPr>
          <w:rFonts w:ascii="Arial" w:hAnsi="Arial" w:cs="Arial"/>
          <w:b w:val="0"/>
          <w:bCs w:val="0"/>
          <w:sz w:val="18"/>
          <w:szCs w:val="18"/>
        </w:rPr>
        <w:t>M</w:t>
      </w:r>
      <w:r w:rsidRPr="00BE1775">
        <w:rPr>
          <w:rFonts w:ascii="Arial" w:hAnsi="Arial" w:cs="Arial"/>
          <w:b w:val="0"/>
          <w:bCs w:val="0"/>
          <w:sz w:val="18"/>
          <w:szCs w:val="18"/>
        </w:rPr>
        <w:t xml:space="preserve">ust put </w:t>
      </w:r>
      <w:r w:rsidR="00E0293A">
        <w:rPr>
          <w:rFonts w:ascii="Arial" w:hAnsi="Arial" w:cs="Arial"/>
          <w:b w:val="0"/>
          <w:bCs w:val="0"/>
          <w:sz w:val="18"/>
          <w:szCs w:val="18"/>
        </w:rPr>
        <w:t>C</w:t>
      </w:r>
      <w:r w:rsidRPr="00BE1775">
        <w:rPr>
          <w:rFonts w:ascii="Arial" w:hAnsi="Arial" w:cs="Arial"/>
          <w:b w:val="0"/>
          <w:bCs w:val="0"/>
          <w:sz w:val="18"/>
          <w:szCs w:val="18"/>
        </w:rPr>
        <w:t xml:space="preserve">ost of </w:t>
      </w:r>
      <w:r w:rsidR="00E0293A">
        <w:rPr>
          <w:rFonts w:ascii="Arial" w:hAnsi="Arial" w:cs="Arial"/>
          <w:b w:val="0"/>
          <w:bCs w:val="0"/>
          <w:sz w:val="18"/>
          <w:szCs w:val="18"/>
        </w:rPr>
        <w:t>L</w:t>
      </w:r>
      <w:r w:rsidRPr="00BE1775">
        <w:rPr>
          <w:rFonts w:ascii="Arial" w:hAnsi="Arial" w:cs="Arial"/>
          <w:b w:val="0"/>
          <w:bCs w:val="0"/>
          <w:sz w:val="18"/>
          <w:szCs w:val="18"/>
        </w:rPr>
        <w:t xml:space="preserve">iving </w:t>
      </w:r>
      <w:r w:rsidR="00E0293A">
        <w:rPr>
          <w:rFonts w:ascii="Arial" w:hAnsi="Arial" w:cs="Arial"/>
          <w:b w:val="0"/>
          <w:bCs w:val="0"/>
          <w:sz w:val="18"/>
          <w:szCs w:val="18"/>
        </w:rPr>
        <w:t>C</w:t>
      </w:r>
      <w:r w:rsidRPr="00BE1775">
        <w:rPr>
          <w:rFonts w:ascii="Arial" w:hAnsi="Arial" w:cs="Arial"/>
          <w:b w:val="0"/>
          <w:bCs w:val="0"/>
          <w:sz w:val="18"/>
          <w:szCs w:val="18"/>
        </w:rPr>
        <w:t xml:space="preserve">risis and </w:t>
      </w:r>
      <w:r w:rsidR="00E0293A">
        <w:rPr>
          <w:rFonts w:ascii="Arial" w:hAnsi="Arial" w:cs="Arial"/>
          <w:b w:val="0"/>
          <w:bCs w:val="0"/>
          <w:sz w:val="18"/>
          <w:szCs w:val="18"/>
        </w:rPr>
        <w:t>D</w:t>
      </w:r>
      <w:r w:rsidRPr="00BE1775">
        <w:rPr>
          <w:rFonts w:ascii="Arial" w:hAnsi="Arial" w:cs="Arial"/>
          <w:b w:val="0"/>
          <w:bCs w:val="0"/>
          <w:sz w:val="18"/>
          <w:szCs w:val="18"/>
        </w:rPr>
        <w:t xml:space="preserve">omestic </w:t>
      </w:r>
      <w:r w:rsidR="00E0293A">
        <w:rPr>
          <w:rFonts w:ascii="Arial" w:hAnsi="Arial" w:cs="Arial"/>
          <w:b w:val="0"/>
          <w:bCs w:val="0"/>
          <w:sz w:val="18"/>
          <w:szCs w:val="18"/>
        </w:rPr>
        <w:t>A</w:t>
      </w:r>
      <w:r w:rsidRPr="00BE1775">
        <w:rPr>
          <w:rFonts w:ascii="Arial" w:hAnsi="Arial" w:cs="Arial"/>
          <w:b w:val="0"/>
          <w:bCs w:val="0"/>
          <w:sz w:val="18"/>
          <w:szCs w:val="18"/>
        </w:rPr>
        <w:t xml:space="preserve">buse at the </w:t>
      </w:r>
      <w:r w:rsidR="00E0293A">
        <w:rPr>
          <w:rFonts w:ascii="Arial" w:hAnsi="Arial" w:cs="Arial"/>
          <w:b w:val="0"/>
          <w:bCs w:val="0"/>
          <w:sz w:val="18"/>
          <w:szCs w:val="18"/>
        </w:rPr>
        <w:t>T</w:t>
      </w:r>
      <w:r w:rsidRPr="00BE1775">
        <w:rPr>
          <w:rFonts w:ascii="Arial" w:hAnsi="Arial" w:cs="Arial"/>
          <w:b w:val="0"/>
          <w:bCs w:val="0"/>
          <w:sz w:val="18"/>
          <w:szCs w:val="18"/>
        </w:rPr>
        <w:t xml:space="preserve">op of his </w:t>
      </w:r>
      <w:r w:rsidR="00E0293A">
        <w:rPr>
          <w:rFonts w:ascii="Arial" w:hAnsi="Arial" w:cs="Arial"/>
          <w:b w:val="0"/>
          <w:bCs w:val="0"/>
          <w:sz w:val="18"/>
          <w:szCs w:val="18"/>
        </w:rPr>
        <w:t>A</w:t>
      </w:r>
      <w:r w:rsidRPr="00BE1775">
        <w:rPr>
          <w:rFonts w:ascii="Arial" w:hAnsi="Arial" w:cs="Arial"/>
          <w:b w:val="0"/>
          <w:bCs w:val="0"/>
          <w:sz w:val="18"/>
          <w:szCs w:val="18"/>
        </w:rPr>
        <w:t xml:space="preserve">genda – </w:t>
      </w:r>
      <w:r w:rsidR="00E0293A">
        <w:rPr>
          <w:rFonts w:ascii="Arial" w:hAnsi="Arial" w:cs="Arial"/>
          <w:b w:val="0"/>
          <w:bCs w:val="0"/>
          <w:sz w:val="18"/>
          <w:szCs w:val="18"/>
        </w:rPr>
        <w:t>L</w:t>
      </w:r>
      <w:r w:rsidRPr="00BE1775">
        <w:rPr>
          <w:rFonts w:ascii="Arial" w:hAnsi="Arial" w:cs="Arial"/>
          <w:b w:val="0"/>
          <w:bCs w:val="0"/>
          <w:sz w:val="18"/>
          <w:szCs w:val="18"/>
        </w:rPr>
        <w:t xml:space="preserve">ives </w:t>
      </w:r>
      <w:r w:rsidR="00E0293A">
        <w:rPr>
          <w:rFonts w:ascii="Arial" w:hAnsi="Arial" w:cs="Arial"/>
          <w:b w:val="0"/>
          <w:bCs w:val="0"/>
          <w:sz w:val="18"/>
          <w:szCs w:val="18"/>
        </w:rPr>
        <w:t>D</w:t>
      </w:r>
      <w:r w:rsidRPr="00BE1775">
        <w:rPr>
          <w:rFonts w:ascii="Arial" w:hAnsi="Arial" w:cs="Arial"/>
          <w:b w:val="0"/>
          <w:bCs w:val="0"/>
          <w:sz w:val="18"/>
          <w:szCs w:val="18"/>
        </w:rPr>
        <w:t>epend on it’ 3 November 2022</w:t>
      </w:r>
      <w:r w:rsidR="00A555E1">
        <w:rPr>
          <w:rFonts w:ascii="Arial" w:hAnsi="Arial" w:cs="Arial"/>
          <w:b w:val="0"/>
          <w:bCs w:val="0"/>
          <w:sz w:val="18"/>
          <w:szCs w:val="18"/>
        </w:rPr>
        <w:t xml:space="preserve">. Available at: </w:t>
      </w:r>
      <w:hyperlink r:id="rId6" w:history="1">
        <w:r w:rsidR="00871356" w:rsidRPr="00DE33C0">
          <w:rPr>
            <w:rStyle w:val="Hyperlink"/>
            <w:rFonts w:ascii="Arial" w:hAnsi="Arial" w:cs="Arial"/>
            <w:b w:val="0"/>
            <w:bCs w:val="0"/>
            <w:sz w:val="18"/>
            <w:szCs w:val="18"/>
          </w:rPr>
          <w:t>https://domesticabusecommissioner.uk/chancellor-must-put-cost-of-living-crisis-and-domestic-abuse-at-the-top-of-his-agenda-lives-depend-on-it/</w:t>
        </w:r>
      </w:hyperlink>
      <w:r w:rsidR="00871356">
        <w:rPr>
          <w:rFonts w:ascii="Arial" w:hAnsi="Arial" w:cs="Arial"/>
          <w:b w:val="0"/>
          <w:bCs w:val="0"/>
          <w:sz w:val="18"/>
          <w:szCs w:val="18"/>
        </w:rPr>
        <w:t xml:space="preserve"> (last accessed 17 June 2024)</w:t>
      </w:r>
      <w:r w:rsidR="003644FC">
        <w:rPr>
          <w:rFonts w:ascii="Arial" w:hAnsi="Arial" w:cs="Arial"/>
          <w:b w:val="0"/>
          <w:bCs w:val="0"/>
          <w:sz w:val="18"/>
          <w:szCs w:val="18"/>
        </w:rPr>
        <w:t>.</w:t>
      </w:r>
    </w:p>
  </w:footnote>
  <w:footnote w:id="14">
    <w:p w14:paraId="605259F3" w14:textId="619C6CE3" w:rsidR="00B768A3" w:rsidRPr="00BE1775" w:rsidRDefault="00B768A3" w:rsidP="00B768A3">
      <w:pPr>
        <w:pStyle w:val="Heading1"/>
        <w:shd w:val="clear" w:color="auto" w:fill="FFFFFF"/>
        <w:spacing w:before="0" w:beforeAutospacing="0" w:after="0" w:afterAutospacing="0"/>
        <w:rPr>
          <w:rFonts w:ascii="Arial" w:hAnsi="Arial" w:cs="Arial"/>
          <w:sz w:val="18"/>
          <w:szCs w:val="18"/>
        </w:rPr>
      </w:pPr>
      <w:r w:rsidRPr="00BE1775">
        <w:rPr>
          <w:rStyle w:val="FootnoteReference"/>
          <w:rFonts w:ascii="Arial" w:hAnsi="Arial" w:cs="Arial"/>
          <w:b w:val="0"/>
          <w:bCs w:val="0"/>
          <w:sz w:val="18"/>
          <w:szCs w:val="18"/>
        </w:rPr>
        <w:footnoteRef/>
      </w:r>
      <w:r w:rsidRPr="00BE1775">
        <w:rPr>
          <w:rFonts w:ascii="Arial" w:hAnsi="Arial" w:cs="Arial"/>
          <w:b w:val="0"/>
          <w:bCs w:val="0"/>
          <w:sz w:val="18"/>
          <w:szCs w:val="18"/>
        </w:rPr>
        <w:t xml:space="preserve"> Home Office, ‘Domestic </w:t>
      </w:r>
      <w:r w:rsidR="00E0293A">
        <w:rPr>
          <w:rFonts w:ascii="Arial" w:hAnsi="Arial" w:cs="Arial"/>
          <w:b w:val="0"/>
          <w:bCs w:val="0"/>
          <w:sz w:val="18"/>
          <w:szCs w:val="18"/>
        </w:rPr>
        <w:t>A</w:t>
      </w:r>
      <w:r w:rsidRPr="00BE1775">
        <w:rPr>
          <w:rFonts w:ascii="Arial" w:hAnsi="Arial" w:cs="Arial"/>
          <w:b w:val="0"/>
          <w:bCs w:val="0"/>
          <w:sz w:val="18"/>
          <w:szCs w:val="18"/>
        </w:rPr>
        <w:t xml:space="preserve">buse </w:t>
      </w:r>
      <w:r w:rsidR="00E0293A">
        <w:rPr>
          <w:rFonts w:ascii="Arial" w:hAnsi="Arial" w:cs="Arial"/>
          <w:b w:val="0"/>
          <w:bCs w:val="0"/>
          <w:sz w:val="18"/>
          <w:szCs w:val="18"/>
        </w:rPr>
        <w:t>V</w:t>
      </w:r>
      <w:r w:rsidRPr="00BE1775">
        <w:rPr>
          <w:rFonts w:ascii="Arial" w:hAnsi="Arial" w:cs="Arial"/>
          <w:b w:val="0"/>
          <w:bCs w:val="0"/>
          <w:sz w:val="18"/>
          <w:szCs w:val="18"/>
        </w:rPr>
        <w:t xml:space="preserve">ictims </w:t>
      </w:r>
      <w:r w:rsidR="00E0293A">
        <w:rPr>
          <w:rFonts w:ascii="Arial" w:hAnsi="Arial" w:cs="Arial"/>
          <w:b w:val="0"/>
          <w:bCs w:val="0"/>
          <w:sz w:val="18"/>
          <w:szCs w:val="18"/>
        </w:rPr>
        <w:t>G</w:t>
      </w:r>
      <w:r w:rsidRPr="00BE1775">
        <w:rPr>
          <w:rFonts w:ascii="Arial" w:hAnsi="Arial" w:cs="Arial"/>
          <w:b w:val="0"/>
          <w:bCs w:val="0"/>
          <w:sz w:val="18"/>
          <w:szCs w:val="18"/>
        </w:rPr>
        <w:t xml:space="preserve">iven </w:t>
      </w:r>
      <w:r w:rsidR="00E0293A">
        <w:rPr>
          <w:rFonts w:ascii="Arial" w:hAnsi="Arial" w:cs="Arial"/>
          <w:b w:val="0"/>
          <w:bCs w:val="0"/>
          <w:sz w:val="18"/>
          <w:szCs w:val="18"/>
        </w:rPr>
        <w:t>F</w:t>
      </w:r>
      <w:r w:rsidRPr="00BE1775">
        <w:rPr>
          <w:rFonts w:ascii="Arial" w:hAnsi="Arial" w:cs="Arial"/>
          <w:b w:val="0"/>
          <w:bCs w:val="0"/>
          <w:sz w:val="18"/>
          <w:szCs w:val="18"/>
        </w:rPr>
        <w:t xml:space="preserve">resh </w:t>
      </w:r>
      <w:r w:rsidR="00E0293A">
        <w:rPr>
          <w:rFonts w:ascii="Arial" w:hAnsi="Arial" w:cs="Arial"/>
          <w:b w:val="0"/>
          <w:bCs w:val="0"/>
          <w:sz w:val="18"/>
          <w:szCs w:val="18"/>
        </w:rPr>
        <w:t>S</w:t>
      </w:r>
      <w:r w:rsidRPr="00BE1775">
        <w:rPr>
          <w:rFonts w:ascii="Arial" w:hAnsi="Arial" w:cs="Arial"/>
          <w:b w:val="0"/>
          <w:bCs w:val="0"/>
          <w:sz w:val="18"/>
          <w:szCs w:val="18"/>
        </w:rPr>
        <w:t xml:space="preserve">upport to </w:t>
      </w:r>
      <w:r w:rsidR="00E0293A">
        <w:rPr>
          <w:rFonts w:ascii="Arial" w:hAnsi="Arial" w:cs="Arial"/>
          <w:b w:val="0"/>
          <w:bCs w:val="0"/>
          <w:sz w:val="18"/>
          <w:szCs w:val="18"/>
        </w:rPr>
        <w:t>E</w:t>
      </w:r>
      <w:r w:rsidRPr="00BE1775">
        <w:rPr>
          <w:rFonts w:ascii="Arial" w:hAnsi="Arial" w:cs="Arial"/>
          <w:b w:val="0"/>
          <w:bCs w:val="0"/>
          <w:sz w:val="18"/>
          <w:szCs w:val="18"/>
        </w:rPr>
        <w:t xml:space="preserve">scape </w:t>
      </w:r>
      <w:r w:rsidR="00E0293A">
        <w:rPr>
          <w:rFonts w:ascii="Arial" w:hAnsi="Arial" w:cs="Arial"/>
          <w:b w:val="0"/>
          <w:bCs w:val="0"/>
          <w:sz w:val="18"/>
          <w:szCs w:val="18"/>
        </w:rPr>
        <w:t>A</w:t>
      </w:r>
      <w:r w:rsidRPr="00BE1775">
        <w:rPr>
          <w:rFonts w:ascii="Arial" w:hAnsi="Arial" w:cs="Arial"/>
          <w:b w:val="0"/>
          <w:bCs w:val="0"/>
          <w:sz w:val="18"/>
          <w:szCs w:val="18"/>
        </w:rPr>
        <w:t>buse’ 9 January 2024</w:t>
      </w:r>
      <w:r w:rsidR="00A555E1">
        <w:rPr>
          <w:rFonts w:ascii="Arial" w:hAnsi="Arial" w:cs="Arial"/>
          <w:b w:val="0"/>
          <w:bCs w:val="0"/>
          <w:sz w:val="18"/>
          <w:szCs w:val="18"/>
        </w:rPr>
        <w:t>. Available at:</w:t>
      </w:r>
      <w:r w:rsidRPr="00BE1775">
        <w:rPr>
          <w:rFonts w:ascii="Arial" w:hAnsi="Arial" w:cs="Arial"/>
          <w:b w:val="0"/>
          <w:bCs w:val="0"/>
          <w:sz w:val="18"/>
          <w:szCs w:val="18"/>
        </w:rPr>
        <w:t xml:space="preserve"> </w:t>
      </w:r>
      <w:hyperlink r:id="rId7" w:history="1">
        <w:r w:rsidR="00871356" w:rsidRPr="00DE33C0">
          <w:rPr>
            <w:rStyle w:val="Hyperlink"/>
            <w:rFonts w:ascii="Arial" w:hAnsi="Arial" w:cs="Arial"/>
            <w:b w:val="0"/>
            <w:bCs w:val="0"/>
            <w:sz w:val="18"/>
            <w:szCs w:val="18"/>
          </w:rPr>
          <w:t>https://www.gov.uk/government/news/domestic-abuse-victims-given-fresh-support-to-escape-abuse</w:t>
        </w:r>
      </w:hyperlink>
      <w:r w:rsidR="00871356">
        <w:rPr>
          <w:rFonts w:ascii="Arial" w:hAnsi="Arial" w:cs="Arial"/>
          <w:b w:val="0"/>
          <w:bCs w:val="0"/>
          <w:sz w:val="18"/>
          <w:szCs w:val="18"/>
        </w:rPr>
        <w:t xml:space="preserve"> (last accessed 17 June 2024)</w:t>
      </w:r>
      <w:r w:rsidR="003644FC">
        <w:rPr>
          <w:rFonts w:ascii="Arial" w:hAnsi="Arial" w:cs="Arial"/>
          <w:b w:val="0"/>
          <w:bCs w:val="0"/>
          <w:sz w:val="18"/>
          <w:szCs w:val="18"/>
        </w:rPr>
        <w:t>.</w:t>
      </w:r>
    </w:p>
  </w:footnote>
  <w:footnote w:id="15">
    <w:p w14:paraId="5251BAFC" w14:textId="13BDF120"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See for example discussion on Radio 4 Women’s Hour, 3 March 2022</w:t>
      </w:r>
      <w:r w:rsidR="00E16508">
        <w:rPr>
          <w:rFonts w:ascii="Arial" w:hAnsi="Arial" w:cs="Arial"/>
          <w:sz w:val="18"/>
          <w:szCs w:val="18"/>
        </w:rPr>
        <w:t xml:space="preserve">. Available at: </w:t>
      </w:r>
      <w:hyperlink r:id="rId8" w:history="1">
        <w:r w:rsidRPr="00BE1775">
          <w:rPr>
            <w:rStyle w:val="Hyperlink"/>
            <w:rFonts w:ascii="Arial" w:hAnsi="Arial" w:cs="Arial"/>
            <w:color w:val="auto"/>
            <w:sz w:val="18"/>
            <w:szCs w:val="18"/>
          </w:rPr>
          <w:t>https://www.bbc.co.uk/sounds/play/m0014xt6</w:t>
        </w:r>
      </w:hyperlink>
      <w:r w:rsidR="00871356">
        <w:rPr>
          <w:rStyle w:val="Hyperlink"/>
          <w:rFonts w:ascii="Arial" w:hAnsi="Arial" w:cs="Arial"/>
          <w:color w:val="auto"/>
          <w:sz w:val="18"/>
          <w:szCs w:val="18"/>
        </w:rPr>
        <w:t xml:space="preserve"> </w:t>
      </w:r>
      <w:r w:rsidR="00871356">
        <w:rPr>
          <w:rFonts w:ascii="Arial" w:hAnsi="Arial" w:cs="Arial"/>
          <w:sz w:val="18"/>
          <w:szCs w:val="18"/>
        </w:rPr>
        <w:t>(last accessed 17 June 2024)</w:t>
      </w:r>
      <w:r w:rsidR="003644FC">
        <w:rPr>
          <w:rFonts w:ascii="Arial" w:hAnsi="Arial" w:cs="Arial"/>
          <w:sz w:val="18"/>
          <w:szCs w:val="18"/>
        </w:rPr>
        <w:t>.</w:t>
      </w:r>
    </w:p>
  </w:footnote>
  <w:footnote w:id="16">
    <w:p w14:paraId="247F2B1E" w14:textId="3A8B7675" w:rsidR="00B768A3" w:rsidRPr="00BE1775" w:rsidRDefault="00B768A3" w:rsidP="00B768A3">
      <w:pPr>
        <w:pStyle w:val="Heading1"/>
        <w:shd w:val="clear" w:color="auto" w:fill="FFFFFF"/>
        <w:spacing w:before="0" w:beforeAutospacing="0" w:after="0" w:afterAutospacing="0"/>
        <w:textAlignment w:val="baseline"/>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b w:val="0"/>
          <w:bCs w:val="0"/>
          <w:sz w:val="18"/>
          <w:szCs w:val="18"/>
        </w:rPr>
        <w:t xml:space="preserve"> Unattributed, </w:t>
      </w:r>
      <w:r w:rsidRPr="00BE1775">
        <w:rPr>
          <w:rFonts w:ascii="Arial" w:hAnsi="Arial" w:cs="Arial"/>
          <w:sz w:val="18"/>
          <w:szCs w:val="18"/>
        </w:rPr>
        <w:t>‘</w:t>
      </w:r>
      <w:r w:rsidRPr="00BE1775">
        <w:rPr>
          <w:rFonts w:ascii="Arial" w:hAnsi="Arial" w:cs="Arial"/>
          <w:b w:val="0"/>
          <w:bCs w:val="0"/>
          <w:sz w:val="18"/>
          <w:szCs w:val="18"/>
        </w:rPr>
        <w:t xml:space="preserve">Sarah Everard: How a </w:t>
      </w:r>
      <w:r w:rsidR="00D967D9">
        <w:rPr>
          <w:rFonts w:ascii="Arial" w:hAnsi="Arial" w:cs="Arial"/>
          <w:b w:val="0"/>
          <w:bCs w:val="0"/>
          <w:sz w:val="18"/>
          <w:szCs w:val="18"/>
        </w:rPr>
        <w:t>W</w:t>
      </w:r>
      <w:r w:rsidRPr="00BE1775">
        <w:rPr>
          <w:rFonts w:ascii="Arial" w:hAnsi="Arial" w:cs="Arial"/>
          <w:b w:val="0"/>
          <w:bCs w:val="0"/>
          <w:sz w:val="18"/>
          <w:szCs w:val="18"/>
        </w:rPr>
        <w:t xml:space="preserve">oman's </w:t>
      </w:r>
      <w:r w:rsidR="00D967D9">
        <w:rPr>
          <w:rFonts w:ascii="Arial" w:hAnsi="Arial" w:cs="Arial"/>
          <w:b w:val="0"/>
          <w:bCs w:val="0"/>
          <w:sz w:val="18"/>
          <w:szCs w:val="18"/>
        </w:rPr>
        <w:t>D</w:t>
      </w:r>
      <w:r w:rsidRPr="00BE1775">
        <w:rPr>
          <w:rFonts w:ascii="Arial" w:hAnsi="Arial" w:cs="Arial"/>
          <w:b w:val="0"/>
          <w:bCs w:val="0"/>
          <w:sz w:val="18"/>
          <w:szCs w:val="18"/>
        </w:rPr>
        <w:t xml:space="preserve">eath </w:t>
      </w:r>
      <w:r w:rsidR="00D967D9">
        <w:rPr>
          <w:rFonts w:ascii="Arial" w:hAnsi="Arial" w:cs="Arial"/>
          <w:b w:val="0"/>
          <w:bCs w:val="0"/>
          <w:sz w:val="18"/>
          <w:szCs w:val="18"/>
        </w:rPr>
        <w:t>S</w:t>
      </w:r>
      <w:r w:rsidRPr="00BE1775">
        <w:rPr>
          <w:rFonts w:ascii="Arial" w:hAnsi="Arial" w:cs="Arial"/>
          <w:b w:val="0"/>
          <w:bCs w:val="0"/>
          <w:sz w:val="18"/>
          <w:szCs w:val="18"/>
        </w:rPr>
        <w:t xml:space="preserve">parked a </w:t>
      </w:r>
      <w:r w:rsidR="00D967D9">
        <w:rPr>
          <w:rFonts w:ascii="Arial" w:hAnsi="Arial" w:cs="Arial"/>
          <w:b w:val="0"/>
          <w:bCs w:val="0"/>
          <w:sz w:val="18"/>
          <w:szCs w:val="18"/>
        </w:rPr>
        <w:t>N</w:t>
      </w:r>
      <w:r w:rsidRPr="00BE1775">
        <w:rPr>
          <w:rFonts w:ascii="Arial" w:hAnsi="Arial" w:cs="Arial"/>
          <w:b w:val="0"/>
          <w:bCs w:val="0"/>
          <w:sz w:val="18"/>
          <w:szCs w:val="18"/>
        </w:rPr>
        <w:t xml:space="preserve">ation's </w:t>
      </w:r>
      <w:r w:rsidR="00D967D9">
        <w:rPr>
          <w:rFonts w:ascii="Arial" w:hAnsi="Arial" w:cs="Arial"/>
          <w:b w:val="0"/>
          <w:bCs w:val="0"/>
          <w:sz w:val="18"/>
          <w:szCs w:val="18"/>
        </w:rPr>
        <w:t>S</w:t>
      </w:r>
      <w:r w:rsidRPr="00BE1775">
        <w:rPr>
          <w:rFonts w:ascii="Arial" w:hAnsi="Arial" w:cs="Arial"/>
          <w:b w:val="0"/>
          <w:bCs w:val="0"/>
          <w:sz w:val="18"/>
          <w:szCs w:val="18"/>
        </w:rPr>
        <w:t>oul-</w:t>
      </w:r>
      <w:r w:rsidR="00D967D9">
        <w:rPr>
          <w:rFonts w:ascii="Arial" w:hAnsi="Arial" w:cs="Arial"/>
          <w:b w:val="0"/>
          <w:bCs w:val="0"/>
          <w:sz w:val="18"/>
          <w:szCs w:val="18"/>
        </w:rPr>
        <w:t>S</w:t>
      </w:r>
      <w:r w:rsidRPr="00BE1775">
        <w:rPr>
          <w:rFonts w:ascii="Arial" w:hAnsi="Arial" w:cs="Arial"/>
          <w:b w:val="0"/>
          <w:bCs w:val="0"/>
          <w:sz w:val="18"/>
          <w:szCs w:val="18"/>
        </w:rPr>
        <w:t>earching’</w:t>
      </w:r>
      <w:r w:rsidR="00E16508">
        <w:rPr>
          <w:rFonts w:ascii="Arial" w:hAnsi="Arial" w:cs="Arial"/>
          <w:b w:val="0"/>
          <w:bCs w:val="0"/>
          <w:sz w:val="18"/>
          <w:szCs w:val="18"/>
        </w:rPr>
        <w:t xml:space="preserve"> B</w:t>
      </w:r>
      <w:r w:rsidRPr="00BE1775">
        <w:rPr>
          <w:rFonts w:ascii="Arial" w:hAnsi="Arial" w:cs="Arial"/>
          <w:b w:val="0"/>
          <w:bCs w:val="0"/>
          <w:sz w:val="18"/>
          <w:szCs w:val="18"/>
        </w:rPr>
        <w:t xml:space="preserve">BC </w:t>
      </w:r>
      <w:r w:rsidR="00994AD3">
        <w:rPr>
          <w:rFonts w:ascii="Arial" w:hAnsi="Arial" w:cs="Arial"/>
          <w:b w:val="0"/>
          <w:bCs w:val="0"/>
          <w:sz w:val="18"/>
          <w:szCs w:val="18"/>
        </w:rPr>
        <w:t>N</w:t>
      </w:r>
      <w:r w:rsidRPr="00BE1775">
        <w:rPr>
          <w:rFonts w:ascii="Arial" w:hAnsi="Arial" w:cs="Arial"/>
          <w:b w:val="0"/>
          <w:bCs w:val="0"/>
          <w:sz w:val="18"/>
          <w:szCs w:val="18"/>
        </w:rPr>
        <w:t>ews, 14 March 2021</w:t>
      </w:r>
      <w:r w:rsidR="00E16508">
        <w:rPr>
          <w:rFonts w:ascii="Arial" w:hAnsi="Arial" w:cs="Arial"/>
          <w:b w:val="0"/>
          <w:bCs w:val="0"/>
          <w:sz w:val="18"/>
          <w:szCs w:val="18"/>
        </w:rPr>
        <w:t>. Available at:</w:t>
      </w:r>
      <w:r w:rsidRPr="00BE1775">
        <w:rPr>
          <w:rFonts w:ascii="Arial" w:hAnsi="Arial" w:cs="Arial"/>
          <w:b w:val="0"/>
          <w:bCs w:val="0"/>
          <w:sz w:val="18"/>
          <w:szCs w:val="18"/>
        </w:rPr>
        <w:t xml:space="preserve"> </w:t>
      </w:r>
      <w:hyperlink r:id="rId9" w:history="1">
        <w:r w:rsidRPr="00BE1775">
          <w:rPr>
            <w:rStyle w:val="Hyperlink"/>
            <w:rFonts w:ascii="Arial" w:hAnsi="Arial" w:cs="Arial"/>
            <w:b w:val="0"/>
            <w:bCs w:val="0"/>
            <w:color w:val="auto"/>
            <w:sz w:val="18"/>
            <w:szCs w:val="18"/>
          </w:rPr>
          <w:t>https://www.bbc.co.uk/news/uk-56384600</w:t>
        </w:r>
      </w:hyperlink>
      <w:r w:rsidR="00871356">
        <w:rPr>
          <w:rStyle w:val="Hyperlink"/>
          <w:rFonts w:ascii="Arial" w:hAnsi="Arial" w:cs="Arial"/>
          <w:b w:val="0"/>
          <w:bCs w:val="0"/>
          <w:color w:val="auto"/>
          <w:sz w:val="18"/>
          <w:szCs w:val="18"/>
        </w:rPr>
        <w:t xml:space="preserve"> </w:t>
      </w:r>
      <w:r w:rsidR="00871356" w:rsidRPr="00871356">
        <w:rPr>
          <w:rFonts w:ascii="Arial" w:hAnsi="Arial" w:cs="Arial"/>
          <w:b w:val="0"/>
          <w:bCs w:val="0"/>
          <w:sz w:val="18"/>
          <w:szCs w:val="18"/>
        </w:rPr>
        <w:t>(last accessed 17 June 2024)</w:t>
      </w:r>
      <w:r w:rsidR="003644FC">
        <w:rPr>
          <w:rFonts w:ascii="Arial" w:hAnsi="Arial" w:cs="Arial"/>
          <w:b w:val="0"/>
          <w:bCs w:val="0"/>
          <w:sz w:val="18"/>
          <w:szCs w:val="18"/>
        </w:rPr>
        <w:t>.</w:t>
      </w:r>
    </w:p>
  </w:footnote>
  <w:footnote w:id="17">
    <w:p w14:paraId="3DA5E202" w14:textId="5173164C"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HL Deb 10 March 2021, Vol 810, Col 1750</w:t>
      </w:r>
      <w:r w:rsidR="003644FC">
        <w:rPr>
          <w:rFonts w:ascii="Arial" w:hAnsi="Arial" w:cs="Arial"/>
          <w:sz w:val="18"/>
          <w:szCs w:val="18"/>
        </w:rPr>
        <w:t>.</w:t>
      </w:r>
      <w:r w:rsidRPr="00BE1775">
        <w:rPr>
          <w:rFonts w:ascii="Arial" w:hAnsi="Arial" w:cs="Arial"/>
          <w:sz w:val="18"/>
          <w:szCs w:val="18"/>
        </w:rPr>
        <w:t xml:space="preserve"> </w:t>
      </w:r>
    </w:p>
  </w:footnote>
  <w:footnote w:id="18">
    <w:p w14:paraId="1FDC44D7" w14:textId="262D1C39" w:rsidR="00B768A3" w:rsidRPr="00BE1775" w:rsidRDefault="00B768A3" w:rsidP="00B768A3">
      <w:pPr>
        <w:pStyle w:val="Heading1"/>
        <w:shd w:val="clear" w:color="auto" w:fill="FFFFFF"/>
        <w:spacing w:before="0" w:beforeAutospacing="0" w:after="0" w:afterAutospacing="0"/>
        <w:rPr>
          <w:rFonts w:ascii="Arial" w:hAnsi="Arial" w:cs="Arial"/>
          <w:b w:val="0"/>
          <w:bCs w:val="0"/>
          <w:sz w:val="18"/>
          <w:szCs w:val="18"/>
        </w:rPr>
      </w:pPr>
      <w:r w:rsidRPr="00BE1775">
        <w:rPr>
          <w:rStyle w:val="FootnoteReference"/>
          <w:rFonts w:ascii="Arial" w:hAnsi="Arial" w:cs="Arial"/>
          <w:b w:val="0"/>
          <w:bCs w:val="0"/>
          <w:sz w:val="18"/>
          <w:szCs w:val="18"/>
        </w:rPr>
        <w:footnoteRef/>
      </w:r>
      <w:r w:rsidRPr="00BE1775">
        <w:rPr>
          <w:rFonts w:ascii="Arial" w:hAnsi="Arial" w:cs="Arial"/>
          <w:b w:val="0"/>
          <w:bCs w:val="0"/>
          <w:sz w:val="18"/>
          <w:szCs w:val="18"/>
        </w:rPr>
        <w:t xml:space="preserve"> Alan McGuiness ‘Sarah Everard: Baroness who </w:t>
      </w:r>
      <w:r w:rsidR="00D967D9">
        <w:rPr>
          <w:rFonts w:ascii="Arial" w:hAnsi="Arial" w:cs="Arial"/>
          <w:b w:val="0"/>
          <w:bCs w:val="0"/>
          <w:sz w:val="18"/>
          <w:szCs w:val="18"/>
        </w:rPr>
        <w:t>S</w:t>
      </w:r>
      <w:r w:rsidRPr="00BE1775">
        <w:rPr>
          <w:rFonts w:ascii="Arial" w:hAnsi="Arial" w:cs="Arial"/>
          <w:b w:val="0"/>
          <w:bCs w:val="0"/>
          <w:sz w:val="18"/>
          <w:szCs w:val="18"/>
        </w:rPr>
        <w:t xml:space="preserve">uggested 6pm </w:t>
      </w:r>
      <w:r w:rsidR="00D967D9">
        <w:rPr>
          <w:rFonts w:ascii="Arial" w:hAnsi="Arial" w:cs="Arial"/>
          <w:b w:val="0"/>
          <w:bCs w:val="0"/>
          <w:sz w:val="18"/>
          <w:szCs w:val="18"/>
        </w:rPr>
        <w:t>C</w:t>
      </w:r>
      <w:r w:rsidRPr="00BE1775">
        <w:rPr>
          <w:rFonts w:ascii="Arial" w:hAnsi="Arial" w:cs="Arial"/>
          <w:b w:val="0"/>
          <w:bCs w:val="0"/>
          <w:sz w:val="18"/>
          <w:szCs w:val="18"/>
        </w:rPr>
        <w:t xml:space="preserve">urfew for </w:t>
      </w:r>
      <w:r w:rsidR="00D967D9">
        <w:rPr>
          <w:rFonts w:ascii="Arial" w:hAnsi="Arial" w:cs="Arial"/>
          <w:b w:val="0"/>
          <w:bCs w:val="0"/>
          <w:sz w:val="18"/>
          <w:szCs w:val="18"/>
        </w:rPr>
        <w:t>M</w:t>
      </w:r>
      <w:r w:rsidRPr="00BE1775">
        <w:rPr>
          <w:rFonts w:ascii="Arial" w:hAnsi="Arial" w:cs="Arial"/>
          <w:b w:val="0"/>
          <w:bCs w:val="0"/>
          <w:sz w:val="18"/>
          <w:szCs w:val="18"/>
        </w:rPr>
        <w:t xml:space="preserve">en </w:t>
      </w:r>
      <w:r w:rsidR="00D967D9">
        <w:rPr>
          <w:rFonts w:ascii="Arial" w:hAnsi="Arial" w:cs="Arial"/>
          <w:b w:val="0"/>
          <w:bCs w:val="0"/>
          <w:sz w:val="18"/>
          <w:szCs w:val="18"/>
        </w:rPr>
        <w:t>S</w:t>
      </w:r>
      <w:r w:rsidRPr="00BE1775">
        <w:rPr>
          <w:rFonts w:ascii="Arial" w:hAnsi="Arial" w:cs="Arial"/>
          <w:b w:val="0"/>
          <w:bCs w:val="0"/>
          <w:sz w:val="18"/>
          <w:szCs w:val="18"/>
        </w:rPr>
        <w:t xml:space="preserve">ays she </w:t>
      </w:r>
      <w:r w:rsidR="00D967D9">
        <w:rPr>
          <w:rFonts w:ascii="Arial" w:hAnsi="Arial" w:cs="Arial"/>
          <w:b w:val="0"/>
          <w:bCs w:val="0"/>
          <w:sz w:val="18"/>
          <w:szCs w:val="18"/>
        </w:rPr>
        <w:t>W</w:t>
      </w:r>
      <w:r w:rsidRPr="00BE1775">
        <w:rPr>
          <w:rFonts w:ascii="Arial" w:hAnsi="Arial" w:cs="Arial"/>
          <w:b w:val="0"/>
          <w:bCs w:val="0"/>
          <w:sz w:val="18"/>
          <w:szCs w:val="18"/>
        </w:rPr>
        <w:t xml:space="preserve">anted to </w:t>
      </w:r>
      <w:r w:rsidR="00D967D9">
        <w:rPr>
          <w:rFonts w:ascii="Arial" w:hAnsi="Arial" w:cs="Arial"/>
          <w:b w:val="0"/>
          <w:bCs w:val="0"/>
          <w:sz w:val="18"/>
          <w:szCs w:val="18"/>
        </w:rPr>
        <w:t>M</w:t>
      </w:r>
      <w:r w:rsidRPr="00BE1775">
        <w:rPr>
          <w:rFonts w:ascii="Arial" w:hAnsi="Arial" w:cs="Arial"/>
          <w:b w:val="0"/>
          <w:bCs w:val="0"/>
          <w:sz w:val="18"/>
          <w:szCs w:val="18"/>
        </w:rPr>
        <w:t xml:space="preserve">ake a </w:t>
      </w:r>
      <w:r w:rsidR="00D967D9">
        <w:rPr>
          <w:rFonts w:ascii="Arial" w:hAnsi="Arial" w:cs="Arial"/>
          <w:b w:val="0"/>
          <w:bCs w:val="0"/>
          <w:sz w:val="18"/>
          <w:szCs w:val="18"/>
        </w:rPr>
        <w:t>p</w:t>
      </w:r>
      <w:r w:rsidRPr="00BE1775">
        <w:rPr>
          <w:rFonts w:ascii="Arial" w:hAnsi="Arial" w:cs="Arial"/>
          <w:b w:val="0"/>
          <w:bCs w:val="0"/>
          <w:sz w:val="18"/>
          <w:szCs w:val="18"/>
        </w:rPr>
        <w:t>oint’ Sky News</w:t>
      </w:r>
      <w:r w:rsidR="002E0DDC">
        <w:rPr>
          <w:rFonts w:ascii="Arial" w:hAnsi="Arial" w:cs="Arial"/>
          <w:b w:val="0"/>
          <w:bCs w:val="0"/>
          <w:sz w:val="18"/>
          <w:szCs w:val="18"/>
        </w:rPr>
        <w:t>,</w:t>
      </w:r>
      <w:r w:rsidRPr="00BE1775">
        <w:rPr>
          <w:rFonts w:ascii="Arial" w:hAnsi="Arial" w:cs="Arial"/>
          <w:b w:val="0"/>
          <w:bCs w:val="0"/>
          <w:sz w:val="18"/>
          <w:szCs w:val="18"/>
        </w:rPr>
        <w:t xml:space="preserve"> 12 March 2021</w:t>
      </w:r>
      <w:r w:rsidR="00E16508">
        <w:rPr>
          <w:rFonts w:ascii="Arial" w:hAnsi="Arial" w:cs="Arial"/>
          <w:b w:val="0"/>
          <w:bCs w:val="0"/>
          <w:sz w:val="18"/>
          <w:szCs w:val="18"/>
        </w:rPr>
        <w:t>.</w:t>
      </w:r>
      <w:r w:rsidRPr="00BE1775">
        <w:rPr>
          <w:rFonts w:ascii="Arial" w:hAnsi="Arial" w:cs="Arial"/>
          <w:b w:val="0"/>
          <w:bCs w:val="0"/>
          <w:sz w:val="18"/>
          <w:szCs w:val="18"/>
        </w:rPr>
        <w:t xml:space="preserve"> </w:t>
      </w:r>
      <w:r w:rsidR="00E16508">
        <w:rPr>
          <w:rFonts w:ascii="Arial" w:hAnsi="Arial" w:cs="Arial"/>
          <w:b w:val="0"/>
          <w:bCs w:val="0"/>
          <w:sz w:val="18"/>
          <w:szCs w:val="18"/>
        </w:rPr>
        <w:t xml:space="preserve">Available at: </w:t>
      </w:r>
      <w:hyperlink r:id="rId10" w:history="1">
        <w:r w:rsidR="00E16508" w:rsidRPr="00E869E0">
          <w:rPr>
            <w:rStyle w:val="Hyperlink"/>
            <w:rFonts w:ascii="Arial" w:hAnsi="Arial" w:cs="Arial"/>
            <w:b w:val="0"/>
            <w:bCs w:val="0"/>
            <w:sz w:val="18"/>
            <w:szCs w:val="18"/>
          </w:rPr>
          <w:t>https://news.sky.com/story/sarah-everard-baroness-who-suggested-6pm-curfew-for-men-says-she-wanted-to-make-a-point-12243462</w:t>
        </w:r>
      </w:hyperlink>
      <w:r w:rsidR="00871356">
        <w:rPr>
          <w:rStyle w:val="Hyperlink"/>
          <w:rFonts w:ascii="Arial" w:hAnsi="Arial" w:cs="Arial"/>
          <w:b w:val="0"/>
          <w:bCs w:val="0"/>
          <w:sz w:val="18"/>
          <w:szCs w:val="18"/>
        </w:rPr>
        <w:t xml:space="preserve"> </w:t>
      </w:r>
      <w:r w:rsidR="00871356" w:rsidRPr="00871356">
        <w:rPr>
          <w:rFonts w:ascii="Arial" w:hAnsi="Arial" w:cs="Arial"/>
          <w:b w:val="0"/>
          <w:bCs w:val="0"/>
          <w:sz w:val="18"/>
          <w:szCs w:val="18"/>
        </w:rPr>
        <w:t>(last accessed 17 June 2024)</w:t>
      </w:r>
      <w:r w:rsidR="003644FC">
        <w:rPr>
          <w:rFonts w:ascii="Arial" w:hAnsi="Arial" w:cs="Arial"/>
          <w:b w:val="0"/>
          <w:bCs w:val="0"/>
          <w:sz w:val="18"/>
          <w:szCs w:val="18"/>
        </w:rPr>
        <w:t>.</w:t>
      </w:r>
    </w:p>
  </w:footnote>
  <w:footnote w:id="19">
    <w:p w14:paraId="6049A4F9" w14:textId="6B426B5C"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Judi Atkins,</w:t>
      </w:r>
      <w:r w:rsidRPr="00BE1775">
        <w:rPr>
          <w:rFonts w:ascii="Arial" w:hAnsi="Arial" w:cs="Arial"/>
          <w:b/>
          <w:bCs/>
          <w:sz w:val="18"/>
          <w:szCs w:val="18"/>
        </w:rPr>
        <w:t xml:space="preserve"> </w:t>
      </w:r>
      <w:r w:rsidRPr="00E16508">
        <w:rPr>
          <w:rFonts w:ascii="Arial" w:hAnsi="Arial" w:cs="Arial"/>
          <w:b/>
          <w:bCs/>
          <w:sz w:val="18"/>
          <w:szCs w:val="18"/>
        </w:rPr>
        <w:t>‘</w:t>
      </w:r>
      <w:r w:rsidRPr="00E16508">
        <w:rPr>
          <w:rStyle w:val="Strong"/>
          <w:rFonts w:ascii="Arial" w:hAnsi="Arial" w:cs="Arial"/>
          <w:b w:val="0"/>
          <w:bCs w:val="0"/>
          <w:sz w:val="18"/>
          <w:szCs w:val="18"/>
          <w:bdr w:val="none" w:sz="0" w:space="0" w:color="auto" w:frame="1"/>
        </w:rPr>
        <w:t xml:space="preserve">Baroness Jones: </w:t>
      </w:r>
      <w:r w:rsidR="00D967D9">
        <w:rPr>
          <w:rStyle w:val="Strong"/>
          <w:rFonts w:ascii="Arial" w:hAnsi="Arial" w:cs="Arial"/>
          <w:b w:val="0"/>
          <w:bCs w:val="0"/>
          <w:sz w:val="18"/>
          <w:szCs w:val="18"/>
          <w:bdr w:val="none" w:sz="0" w:space="0" w:color="auto" w:frame="1"/>
        </w:rPr>
        <w:t>W</w:t>
      </w:r>
      <w:r w:rsidRPr="00E16508">
        <w:rPr>
          <w:rStyle w:val="Strong"/>
          <w:rFonts w:ascii="Arial" w:hAnsi="Arial" w:cs="Arial"/>
          <w:b w:val="0"/>
          <w:bCs w:val="0"/>
          <w:sz w:val="18"/>
          <w:szCs w:val="18"/>
          <w:bdr w:val="none" w:sz="0" w:space="0" w:color="auto" w:frame="1"/>
        </w:rPr>
        <w:t xml:space="preserve">hy </w:t>
      </w:r>
      <w:r w:rsidR="00D967D9">
        <w:rPr>
          <w:rStyle w:val="Strong"/>
          <w:rFonts w:ascii="Arial" w:hAnsi="Arial" w:cs="Arial"/>
          <w:b w:val="0"/>
          <w:bCs w:val="0"/>
          <w:sz w:val="18"/>
          <w:szCs w:val="18"/>
          <w:bdr w:val="none" w:sz="0" w:space="0" w:color="auto" w:frame="1"/>
        </w:rPr>
        <w:t>D</w:t>
      </w:r>
      <w:r w:rsidRPr="00E16508">
        <w:rPr>
          <w:rStyle w:val="Strong"/>
          <w:rFonts w:ascii="Arial" w:hAnsi="Arial" w:cs="Arial"/>
          <w:b w:val="0"/>
          <w:bCs w:val="0"/>
          <w:sz w:val="18"/>
          <w:szCs w:val="18"/>
          <w:bdr w:val="none" w:sz="0" w:space="0" w:color="auto" w:frame="1"/>
        </w:rPr>
        <w:t xml:space="preserve">id </w:t>
      </w:r>
      <w:r w:rsidR="00D967D9">
        <w:rPr>
          <w:rStyle w:val="Strong"/>
          <w:rFonts w:ascii="Arial" w:hAnsi="Arial" w:cs="Arial"/>
          <w:b w:val="0"/>
          <w:bCs w:val="0"/>
          <w:sz w:val="18"/>
          <w:szCs w:val="18"/>
          <w:bdr w:val="none" w:sz="0" w:space="0" w:color="auto" w:frame="1"/>
        </w:rPr>
        <w:t>S</w:t>
      </w:r>
      <w:r w:rsidRPr="00E16508">
        <w:rPr>
          <w:rStyle w:val="Strong"/>
          <w:rFonts w:ascii="Arial" w:hAnsi="Arial" w:cs="Arial"/>
          <w:b w:val="0"/>
          <w:bCs w:val="0"/>
          <w:sz w:val="18"/>
          <w:szCs w:val="18"/>
          <w:bdr w:val="none" w:sz="0" w:space="0" w:color="auto" w:frame="1"/>
        </w:rPr>
        <w:t xml:space="preserve">o </w:t>
      </w:r>
      <w:r w:rsidR="00D967D9">
        <w:rPr>
          <w:rStyle w:val="Strong"/>
          <w:rFonts w:ascii="Arial" w:hAnsi="Arial" w:cs="Arial"/>
          <w:b w:val="0"/>
          <w:bCs w:val="0"/>
          <w:sz w:val="18"/>
          <w:szCs w:val="18"/>
          <w:bdr w:val="none" w:sz="0" w:space="0" w:color="auto" w:frame="1"/>
        </w:rPr>
        <w:t>M</w:t>
      </w:r>
      <w:r w:rsidRPr="00E16508">
        <w:rPr>
          <w:rStyle w:val="Strong"/>
          <w:rFonts w:ascii="Arial" w:hAnsi="Arial" w:cs="Arial"/>
          <w:b w:val="0"/>
          <w:bCs w:val="0"/>
          <w:sz w:val="18"/>
          <w:szCs w:val="18"/>
          <w:bdr w:val="none" w:sz="0" w:space="0" w:color="auto" w:frame="1"/>
        </w:rPr>
        <w:t xml:space="preserve">any </w:t>
      </w:r>
      <w:r w:rsidR="00D967D9">
        <w:rPr>
          <w:rStyle w:val="Strong"/>
          <w:rFonts w:ascii="Arial" w:hAnsi="Arial" w:cs="Arial"/>
          <w:b w:val="0"/>
          <w:bCs w:val="0"/>
          <w:sz w:val="18"/>
          <w:szCs w:val="18"/>
          <w:bdr w:val="none" w:sz="0" w:space="0" w:color="auto" w:frame="1"/>
        </w:rPr>
        <w:t>P</w:t>
      </w:r>
      <w:r w:rsidRPr="00E16508">
        <w:rPr>
          <w:rStyle w:val="Strong"/>
          <w:rFonts w:ascii="Arial" w:hAnsi="Arial" w:cs="Arial"/>
          <w:b w:val="0"/>
          <w:bCs w:val="0"/>
          <w:sz w:val="18"/>
          <w:szCs w:val="18"/>
          <w:bdr w:val="none" w:sz="0" w:space="0" w:color="auto" w:frame="1"/>
        </w:rPr>
        <w:t xml:space="preserve">eople take her 6pm </w:t>
      </w:r>
      <w:r w:rsidR="00D967D9">
        <w:rPr>
          <w:rStyle w:val="Strong"/>
          <w:rFonts w:ascii="Arial" w:hAnsi="Arial" w:cs="Arial"/>
          <w:b w:val="0"/>
          <w:bCs w:val="0"/>
          <w:sz w:val="18"/>
          <w:szCs w:val="18"/>
          <w:bdr w:val="none" w:sz="0" w:space="0" w:color="auto" w:frame="1"/>
        </w:rPr>
        <w:t>C</w:t>
      </w:r>
      <w:r w:rsidRPr="00E16508">
        <w:rPr>
          <w:rStyle w:val="Strong"/>
          <w:rFonts w:ascii="Arial" w:hAnsi="Arial" w:cs="Arial"/>
          <w:b w:val="0"/>
          <w:bCs w:val="0"/>
          <w:sz w:val="18"/>
          <w:szCs w:val="18"/>
          <w:bdr w:val="none" w:sz="0" w:space="0" w:color="auto" w:frame="1"/>
        </w:rPr>
        <w:t xml:space="preserve">urfew for </w:t>
      </w:r>
      <w:r w:rsidR="00D967D9">
        <w:rPr>
          <w:rStyle w:val="Strong"/>
          <w:rFonts w:ascii="Arial" w:hAnsi="Arial" w:cs="Arial"/>
          <w:b w:val="0"/>
          <w:bCs w:val="0"/>
          <w:sz w:val="18"/>
          <w:szCs w:val="18"/>
          <w:bdr w:val="none" w:sz="0" w:space="0" w:color="auto" w:frame="1"/>
        </w:rPr>
        <w:t>M</w:t>
      </w:r>
      <w:r w:rsidRPr="00E16508">
        <w:rPr>
          <w:rStyle w:val="Strong"/>
          <w:rFonts w:ascii="Arial" w:hAnsi="Arial" w:cs="Arial"/>
          <w:b w:val="0"/>
          <w:bCs w:val="0"/>
          <w:sz w:val="18"/>
          <w:szCs w:val="18"/>
          <w:bdr w:val="none" w:sz="0" w:space="0" w:color="auto" w:frame="1"/>
        </w:rPr>
        <w:t xml:space="preserve">en </w:t>
      </w:r>
      <w:r w:rsidR="00D967D9">
        <w:rPr>
          <w:rStyle w:val="Strong"/>
          <w:rFonts w:ascii="Arial" w:hAnsi="Arial" w:cs="Arial"/>
          <w:b w:val="0"/>
          <w:bCs w:val="0"/>
          <w:sz w:val="18"/>
          <w:szCs w:val="18"/>
          <w:bdr w:val="none" w:sz="0" w:space="0" w:color="auto" w:frame="1"/>
        </w:rPr>
        <w:t>P</w:t>
      </w:r>
      <w:r w:rsidRPr="00E16508">
        <w:rPr>
          <w:rStyle w:val="Strong"/>
          <w:rFonts w:ascii="Arial" w:hAnsi="Arial" w:cs="Arial"/>
          <w:b w:val="0"/>
          <w:bCs w:val="0"/>
          <w:sz w:val="18"/>
          <w:szCs w:val="18"/>
          <w:bdr w:val="none" w:sz="0" w:space="0" w:color="auto" w:frame="1"/>
        </w:rPr>
        <w:t xml:space="preserve">roposal at </w:t>
      </w:r>
      <w:r w:rsidR="00D967D9">
        <w:rPr>
          <w:rStyle w:val="Strong"/>
          <w:rFonts w:ascii="Arial" w:hAnsi="Arial" w:cs="Arial"/>
          <w:b w:val="0"/>
          <w:bCs w:val="0"/>
          <w:sz w:val="18"/>
          <w:szCs w:val="18"/>
          <w:bdr w:val="none" w:sz="0" w:space="0" w:color="auto" w:frame="1"/>
        </w:rPr>
        <w:t>F</w:t>
      </w:r>
      <w:r w:rsidRPr="00E16508">
        <w:rPr>
          <w:rStyle w:val="Strong"/>
          <w:rFonts w:ascii="Arial" w:hAnsi="Arial" w:cs="Arial"/>
          <w:b w:val="0"/>
          <w:bCs w:val="0"/>
          <w:sz w:val="18"/>
          <w:szCs w:val="18"/>
          <w:bdr w:val="none" w:sz="0" w:space="0" w:color="auto" w:frame="1"/>
        </w:rPr>
        <w:t>ace </w:t>
      </w:r>
      <w:r w:rsidR="00D967D9">
        <w:rPr>
          <w:rStyle w:val="Strong"/>
          <w:rFonts w:ascii="Arial" w:hAnsi="Arial" w:cs="Arial"/>
          <w:b w:val="0"/>
          <w:bCs w:val="0"/>
          <w:sz w:val="18"/>
          <w:szCs w:val="18"/>
          <w:bdr w:val="none" w:sz="0" w:space="0" w:color="auto" w:frame="1"/>
        </w:rPr>
        <w:t>V</w:t>
      </w:r>
      <w:r w:rsidRPr="00E16508">
        <w:rPr>
          <w:rStyle w:val="Strong"/>
          <w:rFonts w:ascii="Arial" w:hAnsi="Arial" w:cs="Arial"/>
          <w:b w:val="0"/>
          <w:bCs w:val="0"/>
          <w:sz w:val="18"/>
          <w:szCs w:val="18"/>
          <w:bdr w:val="none" w:sz="0" w:space="0" w:color="auto" w:frame="1"/>
        </w:rPr>
        <w:t>alue?’ The Conversation, 17 March 2021</w:t>
      </w:r>
      <w:r w:rsidR="00E16508">
        <w:rPr>
          <w:rStyle w:val="Strong"/>
          <w:rFonts w:ascii="Arial" w:hAnsi="Arial" w:cs="Arial"/>
          <w:b w:val="0"/>
          <w:bCs w:val="0"/>
          <w:sz w:val="18"/>
          <w:szCs w:val="18"/>
          <w:bdr w:val="none" w:sz="0" w:space="0" w:color="auto" w:frame="1"/>
        </w:rPr>
        <w:t>.</w:t>
      </w:r>
      <w:r w:rsidRPr="00BE1775">
        <w:rPr>
          <w:rStyle w:val="Strong"/>
          <w:rFonts w:ascii="Arial" w:hAnsi="Arial" w:cs="Arial"/>
          <w:sz w:val="18"/>
          <w:szCs w:val="18"/>
          <w:bdr w:val="none" w:sz="0" w:space="0" w:color="auto" w:frame="1"/>
        </w:rPr>
        <w:t xml:space="preserve"> </w:t>
      </w:r>
      <w:r w:rsidR="00A555E1" w:rsidRPr="00A555E1">
        <w:rPr>
          <w:rStyle w:val="Strong"/>
          <w:rFonts w:ascii="Arial" w:hAnsi="Arial" w:cs="Arial"/>
          <w:b w:val="0"/>
          <w:bCs w:val="0"/>
          <w:sz w:val="18"/>
          <w:szCs w:val="18"/>
          <w:bdr w:val="none" w:sz="0" w:space="0" w:color="auto" w:frame="1"/>
        </w:rPr>
        <w:t>Available at:</w:t>
      </w:r>
      <w:r w:rsidR="00A555E1">
        <w:rPr>
          <w:rStyle w:val="Strong"/>
          <w:rFonts w:ascii="Arial" w:hAnsi="Arial" w:cs="Arial"/>
          <w:sz w:val="18"/>
          <w:szCs w:val="18"/>
          <w:bdr w:val="none" w:sz="0" w:space="0" w:color="auto" w:frame="1"/>
        </w:rPr>
        <w:t xml:space="preserve"> </w:t>
      </w:r>
      <w:hyperlink r:id="rId11" w:history="1">
        <w:r w:rsidR="00A555E1" w:rsidRPr="00E869E0">
          <w:rPr>
            <w:rStyle w:val="Hyperlink"/>
            <w:rFonts w:ascii="Arial" w:hAnsi="Arial" w:cs="Arial"/>
            <w:sz w:val="18"/>
            <w:szCs w:val="18"/>
          </w:rPr>
          <w:t>https://theconversation.com/baroness-jones-why-did-so-many-people-take-her-6pm-curfew-for-men-proposal-at-face-value-157183</w:t>
        </w:r>
      </w:hyperlink>
      <w:r w:rsidR="00871356">
        <w:rPr>
          <w:rStyle w:val="Hyperlink"/>
          <w:rFonts w:ascii="Arial" w:hAnsi="Arial" w:cs="Arial"/>
          <w:sz w:val="18"/>
          <w:szCs w:val="18"/>
        </w:rPr>
        <w:t xml:space="preserve"> </w:t>
      </w:r>
      <w:r w:rsidR="00871356">
        <w:rPr>
          <w:rFonts w:ascii="Arial" w:hAnsi="Arial" w:cs="Arial"/>
          <w:sz w:val="18"/>
          <w:szCs w:val="18"/>
        </w:rPr>
        <w:t>(last accessed 17 June 2024)</w:t>
      </w:r>
      <w:r w:rsidR="003644FC">
        <w:rPr>
          <w:rFonts w:ascii="Arial" w:hAnsi="Arial" w:cs="Arial"/>
          <w:sz w:val="18"/>
          <w:szCs w:val="18"/>
        </w:rPr>
        <w:t>.</w:t>
      </w:r>
    </w:p>
  </w:footnote>
  <w:footnote w:id="20">
    <w:p w14:paraId="044ADF7E" w14:textId="06EA8A82"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w:t>
      </w:r>
      <w:r w:rsidR="00D967D9">
        <w:rPr>
          <w:rFonts w:ascii="Arial" w:hAnsi="Arial" w:cs="Arial"/>
          <w:sz w:val="18"/>
          <w:szCs w:val="18"/>
        </w:rPr>
        <w:t>i</w:t>
      </w:r>
      <w:r w:rsidRPr="00BE1775">
        <w:rPr>
          <w:rFonts w:ascii="Arial" w:hAnsi="Arial" w:cs="Arial"/>
          <w:sz w:val="18"/>
          <w:szCs w:val="18"/>
        </w:rPr>
        <w:t>bid</w:t>
      </w:r>
      <w:r w:rsidR="00D967D9">
        <w:rPr>
          <w:rFonts w:ascii="Arial" w:hAnsi="Arial" w:cs="Arial"/>
          <w:sz w:val="18"/>
          <w:szCs w:val="18"/>
        </w:rPr>
        <w:t>.</w:t>
      </w:r>
    </w:p>
  </w:footnote>
  <w:footnote w:id="21">
    <w:p w14:paraId="476CA1FD" w14:textId="1DB0CFBE"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w:t>
      </w:r>
      <w:proofErr w:type="gramStart"/>
      <w:r w:rsidR="00AF7757">
        <w:rPr>
          <w:rFonts w:ascii="Arial" w:hAnsi="Arial" w:cs="Arial"/>
          <w:sz w:val="18"/>
          <w:szCs w:val="18"/>
        </w:rPr>
        <w:t>i</w:t>
      </w:r>
      <w:r w:rsidRPr="00BE1775">
        <w:rPr>
          <w:rFonts w:ascii="Arial" w:hAnsi="Arial" w:cs="Arial"/>
          <w:sz w:val="18"/>
          <w:szCs w:val="18"/>
        </w:rPr>
        <w:t>bid;</w:t>
      </w:r>
      <w:proofErr w:type="gramEnd"/>
      <w:r w:rsidRPr="00BE1775">
        <w:rPr>
          <w:rFonts w:ascii="Arial" w:hAnsi="Arial" w:cs="Arial"/>
          <w:sz w:val="18"/>
          <w:szCs w:val="18"/>
        </w:rPr>
        <w:t xml:space="preserve"> also Arwa </w:t>
      </w:r>
      <w:proofErr w:type="spellStart"/>
      <w:r w:rsidRPr="00BE1775">
        <w:rPr>
          <w:rFonts w:ascii="Arial" w:hAnsi="Arial" w:cs="Arial"/>
          <w:sz w:val="18"/>
          <w:szCs w:val="18"/>
        </w:rPr>
        <w:t>Mahdawi</w:t>
      </w:r>
      <w:proofErr w:type="spellEnd"/>
      <w:r w:rsidRPr="00BE1775">
        <w:rPr>
          <w:rFonts w:ascii="Arial" w:hAnsi="Arial" w:cs="Arial"/>
          <w:sz w:val="18"/>
          <w:szCs w:val="18"/>
        </w:rPr>
        <w:t xml:space="preserve">, ‘Angry at the </w:t>
      </w:r>
      <w:r w:rsidR="00D967D9">
        <w:rPr>
          <w:rFonts w:ascii="Arial" w:hAnsi="Arial" w:cs="Arial"/>
          <w:sz w:val="18"/>
          <w:szCs w:val="18"/>
        </w:rPr>
        <w:t>I</w:t>
      </w:r>
      <w:r w:rsidRPr="00BE1775">
        <w:rPr>
          <w:rFonts w:ascii="Arial" w:hAnsi="Arial" w:cs="Arial"/>
          <w:sz w:val="18"/>
          <w:szCs w:val="18"/>
        </w:rPr>
        <w:t xml:space="preserve">dea of a </w:t>
      </w:r>
      <w:r w:rsidR="00D967D9">
        <w:rPr>
          <w:rFonts w:ascii="Arial" w:hAnsi="Arial" w:cs="Arial"/>
          <w:sz w:val="18"/>
          <w:szCs w:val="18"/>
        </w:rPr>
        <w:t>C</w:t>
      </w:r>
      <w:r w:rsidRPr="00BE1775">
        <w:rPr>
          <w:rFonts w:ascii="Arial" w:hAnsi="Arial" w:cs="Arial"/>
          <w:sz w:val="18"/>
          <w:szCs w:val="18"/>
        </w:rPr>
        <w:t xml:space="preserve">urfew for </w:t>
      </w:r>
      <w:r w:rsidR="00D967D9">
        <w:rPr>
          <w:rFonts w:ascii="Arial" w:hAnsi="Arial" w:cs="Arial"/>
          <w:sz w:val="18"/>
          <w:szCs w:val="18"/>
        </w:rPr>
        <w:t>M</w:t>
      </w:r>
      <w:r w:rsidRPr="00BE1775">
        <w:rPr>
          <w:rFonts w:ascii="Arial" w:hAnsi="Arial" w:cs="Arial"/>
          <w:sz w:val="18"/>
          <w:szCs w:val="18"/>
        </w:rPr>
        <w:t xml:space="preserve">en? Think of all the </w:t>
      </w:r>
      <w:r w:rsidR="00D967D9">
        <w:rPr>
          <w:rFonts w:ascii="Arial" w:hAnsi="Arial" w:cs="Arial"/>
          <w:sz w:val="18"/>
          <w:szCs w:val="18"/>
        </w:rPr>
        <w:t>W</w:t>
      </w:r>
      <w:r w:rsidRPr="00BE1775">
        <w:rPr>
          <w:rFonts w:ascii="Arial" w:hAnsi="Arial" w:cs="Arial"/>
          <w:sz w:val="18"/>
          <w:szCs w:val="18"/>
        </w:rPr>
        <w:t xml:space="preserve">ays </w:t>
      </w:r>
      <w:r w:rsidR="00D967D9">
        <w:rPr>
          <w:rFonts w:ascii="Arial" w:hAnsi="Arial" w:cs="Arial"/>
          <w:sz w:val="18"/>
          <w:szCs w:val="18"/>
        </w:rPr>
        <w:t>W</w:t>
      </w:r>
      <w:r w:rsidRPr="00BE1775">
        <w:rPr>
          <w:rFonts w:ascii="Arial" w:hAnsi="Arial" w:cs="Arial"/>
          <w:sz w:val="18"/>
          <w:szCs w:val="18"/>
        </w:rPr>
        <w:t xml:space="preserve">omen are </w:t>
      </w:r>
      <w:r w:rsidR="00D967D9">
        <w:rPr>
          <w:rFonts w:ascii="Arial" w:hAnsi="Arial" w:cs="Arial"/>
          <w:sz w:val="18"/>
          <w:szCs w:val="18"/>
        </w:rPr>
        <w:t>T</w:t>
      </w:r>
      <w:r w:rsidRPr="00BE1775">
        <w:rPr>
          <w:rFonts w:ascii="Arial" w:hAnsi="Arial" w:cs="Arial"/>
          <w:sz w:val="18"/>
          <w:szCs w:val="18"/>
        </w:rPr>
        <w:t xml:space="preserve">old to </w:t>
      </w:r>
      <w:r w:rsidR="00D967D9">
        <w:rPr>
          <w:rFonts w:ascii="Arial" w:hAnsi="Arial" w:cs="Arial"/>
          <w:sz w:val="18"/>
          <w:szCs w:val="18"/>
        </w:rPr>
        <w:t>A</w:t>
      </w:r>
      <w:r w:rsidRPr="00BE1775">
        <w:rPr>
          <w:rFonts w:ascii="Arial" w:hAnsi="Arial" w:cs="Arial"/>
          <w:sz w:val="18"/>
          <w:szCs w:val="18"/>
        </w:rPr>
        <w:t>dapt’</w:t>
      </w:r>
      <w:r w:rsidR="004342AA">
        <w:rPr>
          <w:rFonts w:ascii="Arial" w:hAnsi="Arial" w:cs="Arial"/>
          <w:sz w:val="18"/>
          <w:szCs w:val="18"/>
        </w:rPr>
        <w:t xml:space="preserve"> </w:t>
      </w:r>
      <w:r w:rsidRPr="00BE1775">
        <w:rPr>
          <w:rFonts w:ascii="Arial" w:hAnsi="Arial" w:cs="Arial"/>
          <w:sz w:val="18"/>
          <w:szCs w:val="18"/>
        </w:rPr>
        <w:t>The Guardian, 13 March 2021</w:t>
      </w:r>
      <w:r w:rsidR="004342AA">
        <w:rPr>
          <w:rFonts w:ascii="Arial" w:hAnsi="Arial" w:cs="Arial"/>
          <w:sz w:val="18"/>
          <w:szCs w:val="18"/>
        </w:rPr>
        <w:t>. Available at:</w:t>
      </w:r>
      <w:r w:rsidRPr="00BE1775">
        <w:rPr>
          <w:rFonts w:ascii="Arial" w:hAnsi="Arial" w:cs="Arial"/>
          <w:sz w:val="18"/>
          <w:szCs w:val="18"/>
        </w:rPr>
        <w:t xml:space="preserve"> </w:t>
      </w:r>
      <w:hyperlink r:id="rId12" w:history="1">
        <w:r w:rsidRPr="00BE1775">
          <w:rPr>
            <w:rStyle w:val="Hyperlink"/>
            <w:rFonts w:ascii="Arial" w:hAnsi="Arial" w:cs="Arial"/>
            <w:color w:val="auto"/>
            <w:sz w:val="18"/>
            <w:szCs w:val="18"/>
          </w:rPr>
          <w:t>https://www.theguardian.com/commentisfree/2021/mar/13/men-curfew-sarah-everard-women-adapt-violence</w:t>
        </w:r>
      </w:hyperlink>
      <w:r w:rsidR="00781B29">
        <w:rPr>
          <w:rStyle w:val="Hyperlink"/>
          <w:rFonts w:ascii="Arial" w:hAnsi="Arial" w:cs="Arial"/>
          <w:color w:val="auto"/>
          <w:sz w:val="18"/>
          <w:szCs w:val="18"/>
        </w:rPr>
        <w:t xml:space="preserve"> </w:t>
      </w:r>
      <w:r w:rsidR="00781B29">
        <w:rPr>
          <w:rFonts w:ascii="Arial" w:hAnsi="Arial" w:cs="Arial"/>
          <w:sz w:val="18"/>
          <w:szCs w:val="18"/>
        </w:rPr>
        <w:t>(last accessed 17 June 2024)</w:t>
      </w:r>
      <w:r w:rsidR="003644FC">
        <w:rPr>
          <w:rFonts w:ascii="Arial" w:hAnsi="Arial" w:cs="Arial"/>
          <w:sz w:val="18"/>
          <w:szCs w:val="18"/>
        </w:rPr>
        <w:t>.</w:t>
      </w:r>
    </w:p>
  </w:footnote>
  <w:footnote w:id="22">
    <w:p w14:paraId="2D8F501C" w14:textId="4B51C7E7" w:rsidR="00B768A3" w:rsidRPr="004342AA"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Judi Atkins,</w:t>
      </w:r>
      <w:r w:rsidRPr="00BE1775">
        <w:rPr>
          <w:rFonts w:ascii="Arial" w:hAnsi="Arial" w:cs="Arial"/>
          <w:b/>
          <w:bCs/>
          <w:sz w:val="18"/>
          <w:szCs w:val="18"/>
        </w:rPr>
        <w:t xml:space="preserve"> </w:t>
      </w:r>
      <w:r w:rsidR="004342AA">
        <w:rPr>
          <w:rFonts w:ascii="Arial" w:hAnsi="Arial" w:cs="Arial"/>
          <w:sz w:val="18"/>
          <w:szCs w:val="18"/>
        </w:rPr>
        <w:t xml:space="preserve">n </w:t>
      </w:r>
      <w:r w:rsidR="008E4655">
        <w:rPr>
          <w:rFonts w:ascii="Arial" w:hAnsi="Arial" w:cs="Arial"/>
          <w:sz w:val="18"/>
          <w:szCs w:val="18"/>
        </w:rPr>
        <w:t>19 above.</w:t>
      </w:r>
    </w:p>
  </w:footnote>
  <w:footnote w:id="23">
    <w:p w14:paraId="6E011CE8" w14:textId="4A852BA7"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Marian Duggan, ‘Victim </w:t>
      </w:r>
      <w:r w:rsidR="008E4655" w:rsidRPr="00BE1775">
        <w:rPr>
          <w:rFonts w:ascii="Arial" w:hAnsi="Arial" w:cs="Arial"/>
          <w:sz w:val="18"/>
          <w:szCs w:val="18"/>
        </w:rPr>
        <w:t xml:space="preserve">Hierarchies </w:t>
      </w:r>
      <w:r w:rsidR="008E4655">
        <w:rPr>
          <w:rFonts w:ascii="Arial" w:hAnsi="Arial" w:cs="Arial"/>
          <w:sz w:val="18"/>
          <w:szCs w:val="18"/>
        </w:rPr>
        <w:t>i</w:t>
      </w:r>
      <w:r w:rsidR="008E4655" w:rsidRPr="00BE1775">
        <w:rPr>
          <w:rFonts w:ascii="Arial" w:hAnsi="Arial" w:cs="Arial"/>
          <w:sz w:val="18"/>
          <w:szCs w:val="18"/>
        </w:rPr>
        <w:t xml:space="preserve">n </w:t>
      </w:r>
      <w:r w:rsidR="008E4655">
        <w:rPr>
          <w:rFonts w:ascii="Arial" w:hAnsi="Arial" w:cs="Arial"/>
          <w:sz w:val="18"/>
          <w:szCs w:val="18"/>
        </w:rPr>
        <w:t>t</w:t>
      </w:r>
      <w:r w:rsidR="008E4655" w:rsidRPr="00BE1775">
        <w:rPr>
          <w:rFonts w:ascii="Arial" w:hAnsi="Arial" w:cs="Arial"/>
          <w:sz w:val="18"/>
          <w:szCs w:val="18"/>
        </w:rPr>
        <w:t xml:space="preserve">he Domestic Violence Disclosure Scheme’ </w:t>
      </w:r>
      <w:r w:rsidRPr="00BE1775">
        <w:rPr>
          <w:rFonts w:ascii="Arial" w:hAnsi="Arial" w:cs="Arial"/>
          <w:sz w:val="18"/>
          <w:szCs w:val="18"/>
        </w:rPr>
        <w:t xml:space="preserve">(2018) </w:t>
      </w:r>
      <w:r w:rsidR="002E0DDC" w:rsidRPr="00BE1775">
        <w:rPr>
          <w:rFonts w:ascii="Arial" w:hAnsi="Arial" w:cs="Arial"/>
          <w:sz w:val="18"/>
          <w:szCs w:val="18"/>
        </w:rPr>
        <w:t xml:space="preserve">24(2) </w:t>
      </w:r>
      <w:r w:rsidRPr="00BE1775">
        <w:rPr>
          <w:rFonts w:ascii="Arial" w:hAnsi="Arial" w:cs="Arial"/>
          <w:sz w:val="18"/>
          <w:szCs w:val="18"/>
        </w:rPr>
        <w:t>International Review of Victimology 199</w:t>
      </w:r>
      <w:r w:rsidR="008E4655">
        <w:rPr>
          <w:rFonts w:ascii="Arial" w:hAnsi="Arial" w:cs="Arial"/>
          <w:sz w:val="18"/>
          <w:szCs w:val="18"/>
        </w:rPr>
        <w:t>.</w:t>
      </w:r>
    </w:p>
  </w:footnote>
  <w:footnote w:id="24">
    <w:p w14:paraId="3BBEEF36" w14:textId="708B4038" w:rsidR="00B768A3" w:rsidRPr="00BE1775" w:rsidRDefault="00B768A3" w:rsidP="00B768A3">
      <w:pPr>
        <w:autoSpaceDE w:val="0"/>
        <w:autoSpaceDN w:val="0"/>
        <w:adjustRightInd w:val="0"/>
        <w:spacing w:after="0" w:line="240" w:lineRule="auto"/>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See for example, Richard Posner, </w:t>
      </w:r>
      <w:r w:rsidRPr="00BE1775">
        <w:rPr>
          <w:rFonts w:ascii="Arial" w:hAnsi="Arial" w:cs="Arial"/>
          <w:i/>
          <w:iCs/>
          <w:sz w:val="18"/>
          <w:szCs w:val="18"/>
        </w:rPr>
        <w:t xml:space="preserve">Law and Literature </w:t>
      </w:r>
      <w:r w:rsidRPr="00BE1775">
        <w:rPr>
          <w:rFonts w:ascii="Arial" w:hAnsi="Arial" w:cs="Arial"/>
          <w:sz w:val="18"/>
          <w:szCs w:val="18"/>
        </w:rPr>
        <w:t>(3</w:t>
      </w:r>
      <w:r w:rsidRPr="00BE1775">
        <w:rPr>
          <w:rFonts w:ascii="Arial" w:hAnsi="Arial" w:cs="Arial"/>
          <w:sz w:val="18"/>
          <w:szCs w:val="18"/>
          <w:vertAlign w:val="superscript"/>
        </w:rPr>
        <w:t>rd</w:t>
      </w:r>
      <w:r w:rsidRPr="00BE1775">
        <w:rPr>
          <w:rFonts w:ascii="Arial" w:hAnsi="Arial" w:cs="Arial"/>
          <w:sz w:val="18"/>
          <w:szCs w:val="18"/>
        </w:rPr>
        <w:t xml:space="preserve"> </w:t>
      </w:r>
      <w:proofErr w:type="spellStart"/>
      <w:r w:rsidRPr="00BE1775">
        <w:rPr>
          <w:rFonts w:ascii="Arial" w:hAnsi="Arial" w:cs="Arial"/>
          <w:sz w:val="18"/>
          <w:szCs w:val="18"/>
        </w:rPr>
        <w:t>Edn</w:t>
      </w:r>
      <w:proofErr w:type="spellEnd"/>
      <w:r w:rsidRPr="00BE1775">
        <w:rPr>
          <w:rFonts w:ascii="Arial" w:hAnsi="Arial" w:cs="Arial"/>
          <w:sz w:val="18"/>
          <w:szCs w:val="18"/>
        </w:rPr>
        <w:t xml:space="preserve">, Harvard University Press 2009) and Robin West’s comments on Posner’s approach in ‘Authority, Autonomy and Choice: The Role of Consent in the moral and political visions of Kafka and Richard Posner’. (1985) 99 </w:t>
      </w:r>
      <w:r w:rsidRPr="00BE1775">
        <w:rPr>
          <w:rFonts w:ascii="Arial" w:hAnsi="Arial" w:cs="Arial"/>
          <w:i/>
          <w:iCs/>
          <w:sz w:val="18"/>
          <w:szCs w:val="18"/>
        </w:rPr>
        <w:t>Harvard Law Review</w:t>
      </w:r>
      <w:r w:rsidRPr="00BE1775">
        <w:rPr>
          <w:rFonts w:ascii="Arial" w:hAnsi="Arial" w:cs="Arial"/>
          <w:sz w:val="18"/>
          <w:szCs w:val="18"/>
        </w:rPr>
        <w:t xml:space="preserve"> 384</w:t>
      </w:r>
      <w:r w:rsidR="005634E7">
        <w:rPr>
          <w:rFonts w:ascii="Arial" w:hAnsi="Arial" w:cs="Arial"/>
          <w:sz w:val="18"/>
          <w:szCs w:val="18"/>
        </w:rPr>
        <w:t>.</w:t>
      </w:r>
    </w:p>
  </w:footnote>
  <w:footnote w:id="25">
    <w:p w14:paraId="26EBB912" w14:textId="292B96E9"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Ian Ward, </w:t>
      </w:r>
      <w:r w:rsidRPr="00BE1775">
        <w:rPr>
          <w:rFonts w:ascii="Arial" w:hAnsi="Arial" w:cs="Arial"/>
          <w:i/>
          <w:iCs/>
          <w:sz w:val="18"/>
          <w:szCs w:val="18"/>
        </w:rPr>
        <w:t xml:space="preserve">Law and Literature: Possibilities and Perspectives </w:t>
      </w:r>
      <w:r w:rsidRPr="00BE1775">
        <w:rPr>
          <w:rFonts w:ascii="Arial" w:hAnsi="Arial" w:cs="Arial"/>
          <w:sz w:val="18"/>
          <w:szCs w:val="18"/>
        </w:rPr>
        <w:t>(Cambridge University Press 2009)</w:t>
      </w:r>
      <w:r w:rsidR="005634E7">
        <w:rPr>
          <w:rFonts w:ascii="Arial" w:hAnsi="Arial" w:cs="Arial"/>
          <w:sz w:val="18"/>
          <w:szCs w:val="18"/>
        </w:rPr>
        <w:t>.</w:t>
      </w:r>
    </w:p>
  </w:footnote>
  <w:footnote w:id="26">
    <w:p w14:paraId="3C27A1D5" w14:textId="7EE955F9"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Robert Weisberg, </w:t>
      </w:r>
      <w:r w:rsidRPr="00BE1775">
        <w:rPr>
          <w:rFonts w:ascii="Arial" w:hAnsi="Arial" w:cs="Arial"/>
          <w:i/>
          <w:iCs/>
          <w:sz w:val="18"/>
          <w:szCs w:val="18"/>
        </w:rPr>
        <w:t xml:space="preserve">The Failure of the Word </w:t>
      </w:r>
      <w:r w:rsidRPr="00BE1775">
        <w:rPr>
          <w:rFonts w:ascii="Arial" w:hAnsi="Arial" w:cs="Arial"/>
          <w:sz w:val="18"/>
          <w:szCs w:val="18"/>
        </w:rPr>
        <w:t xml:space="preserve">(Yale </w:t>
      </w:r>
      <w:r w:rsidR="002E0DDC">
        <w:rPr>
          <w:rFonts w:ascii="Arial" w:hAnsi="Arial" w:cs="Arial"/>
          <w:sz w:val="18"/>
          <w:szCs w:val="18"/>
        </w:rPr>
        <w:t>U</w:t>
      </w:r>
      <w:r w:rsidRPr="00BE1775">
        <w:rPr>
          <w:rFonts w:ascii="Arial" w:hAnsi="Arial" w:cs="Arial"/>
          <w:sz w:val="18"/>
          <w:szCs w:val="18"/>
        </w:rPr>
        <w:t>niversity Press 1989)</w:t>
      </w:r>
      <w:r w:rsidR="005634E7">
        <w:rPr>
          <w:rFonts w:ascii="Arial" w:hAnsi="Arial" w:cs="Arial"/>
          <w:sz w:val="18"/>
          <w:szCs w:val="18"/>
        </w:rPr>
        <w:t>.</w:t>
      </w:r>
    </w:p>
  </w:footnote>
  <w:footnote w:id="27">
    <w:p w14:paraId="57784E5B" w14:textId="2B86E1A5"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Ian Ward, </w:t>
      </w:r>
      <w:r w:rsidRPr="00BE1775">
        <w:rPr>
          <w:rFonts w:ascii="Arial" w:hAnsi="Arial" w:cs="Arial"/>
          <w:i/>
          <w:iCs/>
          <w:sz w:val="18"/>
          <w:szCs w:val="18"/>
        </w:rPr>
        <w:t>Law and Literature: Possibilities and Perspectives</w:t>
      </w:r>
      <w:r w:rsidR="005634E7">
        <w:rPr>
          <w:rFonts w:ascii="Arial" w:hAnsi="Arial" w:cs="Arial"/>
          <w:i/>
          <w:iCs/>
          <w:sz w:val="18"/>
          <w:szCs w:val="18"/>
        </w:rPr>
        <w:t xml:space="preserve">, </w:t>
      </w:r>
      <w:r w:rsidR="005634E7">
        <w:rPr>
          <w:rFonts w:ascii="Arial" w:hAnsi="Arial" w:cs="Arial"/>
          <w:sz w:val="18"/>
          <w:szCs w:val="18"/>
        </w:rPr>
        <w:t>n 25 above.</w:t>
      </w:r>
    </w:p>
  </w:footnote>
  <w:footnote w:id="28">
    <w:p w14:paraId="3D62DB11" w14:textId="6C8FA404" w:rsidR="00B768A3" w:rsidRPr="00BE1775" w:rsidRDefault="00B768A3" w:rsidP="00B768A3">
      <w:pPr>
        <w:autoSpaceDE w:val="0"/>
        <w:autoSpaceDN w:val="0"/>
        <w:adjustRightInd w:val="0"/>
        <w:spacing w:after="0" w:line="240" w:lineRule="auto"/>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Martha C. Nussbaum, </w:t>
      </w:r>
      <w:r w:rsidRPr="00BE1775">
        <w:rPr>
          <w:rFonts w:ascii="Arial" w:hAnsi="Arial" w:cs="Arial"/>
          <w:i/>
          <w:iCs/>
          <w:sz w:val="18"/>
          <w:szCs w:val="18"/>
        </w:rPr>
        <w:t xml:space="preserve">Poetic Justice: The Literary Imagination and Public Life </w:t>
      </w:r>
      <w:r w:rsidRPr="00BE1775">
        <w:rPr>
          <w:rFonts w:ascii="Arial" w:hAnsi="Arial" w:cs="Arial"/>
          <w:sz w:val="18"/>
          <w:szCs w:val="18"/>
        </w:rPr>
        <w:t>(Beacon Press 1995)</w:t>
      </w:r>
      <w:r w:rsidR="00576F02">
        <w:rPr>
          <w:rFonts w:ascii="Arial" w:hAnsi="Arial" w:cs="Arial"/>
          <w:sz w:val="18"/>
          <w:szCs w:val="18"/>
        </w:rPr>
        <w:t>.</w:t>
      </w:r>
    </w:p>
  </w:footnote>
  <w:footnote w:id="29">
    <w:p w14:paraId="147AE522" w14:textId="5D94232A"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James Landman, ‘Using Literature to Teach the Rule of Law’ (2008) </w:t>
      </w:r>
      <w:r w:rsidR="00576F02" w:rsidRPr="00BE1775">
        <w:rPr>
          <w:rFonts w:ascii="Arial" w:hAnsi="Arial" w:cs="Arial"/>
          <w:sz w:val="18"/>
          <w:szCs w:val="18"/>
        </w:rPr>
        <w:t xml:space="preserve">72(4) </w:t>
      </w:r>
      <w:r w:rsidRPr="00BE1775">
        <w:rPr>
          <w:rFonts w:ascii="Arial" w:hAnsi="Arial" w:cs="Arial"/>
          <w:sz w:val="18"/>
          <w:szCs w:val="18"/>
        </w:rPr>
        <w:t>Social Education 165,</w:t>
      </w:r>
      <w:r w:rsidR="00576F02">
        <w:rPr>
          <w:rFonts w:ascii="Arial" w:hAnsi="Arial" w:cs="Arial"/>
          <w:sz w:val="18"/>
          <w:szCs w:val="18"/>
        </w:rPr>
        <w:t xml:space="preserve"> </w:t>
      </w:r>
      <w:r w:rsidRPr="00BE1775">
        <w:rPr>
          <w:rFonts w:ascii="Arial" w:hAnsi="Arial" w:cs="Arial"/>
          <w:sz w:val="18"/>
          <w:szCs w:val="18"/>
        </w:rPr>
        <w:t>165</w:t>
      </w:r>
      <w:r w:rsidR="00576F02">
        <w:rPr>
          <w:rFonts w:ascii="Arial" w:hAnsi="Arial" w:cs="Arial"/>
          <w:sz w:val="18"/>
          <w:szCs w:val="18"/>
        </w:rPr>
        <w:t>.</w:t>
      </w:r>
    </w:p>
  </w:footnote>
  <w:footnote w:id="30">
    <w:p w14:paraId="49B5078B" w14:textId="666F320C" w:rsidR="00B768A3" w:rsidRPr="00BE1775" w:rsidRDefault="00B768A3" w:rsidP="00B768A3">
      <w:pPr>
        <w:pStyle w:val="FootnoteText"/>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w:t>
      </w:r>
      <w:r w:rsidR="005634E7">
        <w:rPr>
          <w:rFonts w:ascii="Arial" w:hAnsi="Arial" w:cs="Arial"/>
          <w:sz w:val="18"/>
          <w:szCs w:val="18"/>
        </w:rPr>
        <w:t>ibid.</w:t>
      </w:r>
    </w:p>
  </w:footnote>
  <w:footnote w:id="31">
    <w:p w14:paraId="40EF3032" w14:textId="4CEFBAB5" w:rsidR="00B768A3" w:rsidRPr="00BE1775" w:rsidRDefault="00B768A3" w:rsidP="00B768A3">
      <w:pPr>
        <w:autoSpaceDE w:val="0"/>
        <w:autoSpaceDN w:val="0"/>
        <w:adjustRightInd w:val="0"/>
        <w:spacing w:after="0" w:line="240" w:lineRule="auto"/>
        <w:rPr>
          <w:rFonts w:ascii="Arial" w:hAnsi="Arial" w:cs="Arial"/>
          <w:sz w:val="18"/>
          <w:szCs w:val="18"/>
        </w:rPr>
      </w:pPr>
      <w:r w:rsidRPr="00BE1775">
        <w:rPr>
          <w:rStyle w:val="FootnoteReference"/>
          <w:rFonts w:ascii="Arial" w:hAnsi="Arial" w:cs="Arial"/>
          <w:sz w:val="18"/>
          <w:szCs w:val="18"/>
        </w:rPr>
        <w:footnoteRef/>
      </w:r>
      <w:r w:rsidRPr="00BE1775">
        <w:rPr>
          <w:rFonts w:ascii="Arial" w:hAnsi="Arial" w:cs="Arial"/>
          <w:sz w:val="18"/>
          <w:szCs w:val="18"/>
        </w:rPr>
        <w:t xml:space="preserve"> Mary Kay O'Malley, ‘Through a Different Lens: Using Film to Teach Family Law’ (2011) Fam</w:t>
      </w:r>
      <w:r w:rsidR="005D414F">
        <w:rPr>
          <w:rFonts w:ascii="Arial" w:hAnsi="Arial" w:cs="Arial"/>
          <w:sz w:val="18"/>
          <w:szCs w:val="18"/>
        </w:rPr>
        <w:t xml:space="preserve">ily Court Review </w:t>
      </w:r>
      <w:r w:rsidRPr="00BE1775">
        <w:rPr>
          <w:rFonts w:ascii="Arial" w:hAnsi="Arial" w:cs="Arial"/>
          <w:sz w:val="18"/>
          <w:szCs w:val="18"/>
        </w:rPr>
        <w:t>715, 715-6.</w:t>
      </w:r>
    </w:p>
  </w:footnote>
  <w:footnote w:id="32">
    <w:p w14:paraId="3318B9B1" w14:textId="1715E9E3" w:rsidR="00B768A3" w:rsidRPr="00781B29" w:rsidRDefault="00B768A3" w:rsidP="00B768A3">
      <w:pPr>
        <w:pStyle w:val="FootnoteText"/>
        <w:rPr>
          <w:rFonts w:ascii="Arial" w:hAnsi="Arial" w:cs="Arial"/>
          <w:sz w:val="18"/>
          <w:szCs w:val="18"/>
          <w:lang w:val="de-DE"/>
        </w:rPr>
      </w:pPr>
      <w:r w:rsidRPr="00BE1775">
        <w:rPr>
          <w:rStyle w:val="FootnoteReference"/>
          <w:rFonts w:ascii="Arial" w:hAnsi="Arial" w:cs="Arial"/>
          <w:sz w:val="18"/>
          <w:szCs w:val="18"/>
        </w:rPr>
        <w:footnoteRef/>
      </w:r>
      <w:r w:rsidRPr="00781B29">
        <w:rPr>
          <w:rFonts w:ascii="Arial" w:hAnsi="Arial" w:cs="Arial"/>
          <w:sz w:val="18"/>
          <w:szCs w:val="18"/>
          <w:lang w:val="de-DE"/>
        </w:rPr>
        <w:t xml:space="preserve"> </w:t>
      </w:r>
      <w:r w:rsidR="005634E7" w:rsidRPr="00781B29">
        <w:rPr>
          <w:rFonts w:ascii="Arial" w:hAnsi="Arial" w:cs="Arial"/>
          <w:sz w:val="18"/>
          <w:szCs w:val="18"/>
          <w:lang w:val="de-DE"/>
        </w:rPr>
        <w:t>i</w:t>
      </w:r>
      <w:r w:rsidRPr="00781B29">
        <w:rPr>
          <w:rFonts w:ascii="Arial" w:hAnsi="Arial" w:cs="Arial"/>
          <w:sz w:val="18"/>
          <w:szCs w:val="18"/>
          <w:lang w:val="de-DE"/>
        </w:rPr>
        <w:t>bid, 716</w:t>
      </w:r>
      <w:r w:rsidR="00576F02" w:rsidRPr="00781B29">
        <w:rPr>
          <w:rFonts w:ascii="Arial" w:hAnsi="Arial" w:cs="Arial"/>
          <w:sz w:val="18"/>
          <w:szCs w:val="18"/>
          <w:lang w:val="de-DE"/>
        </w:rPr>
        <w:t>.</w:t>
      </w:r>
    </w:p>
  </w:footnote>
  <w:footnote w:id="33">
    <w:p w14:paraId="56403AA4" w14:textId="0968CC5E" w:rsidR="00BF12B6" w:rsidRPr="00781B29" w:rsidRDefault="00BF12B6">
      <w:pPr>
        <w:pStyle w:val="FootnoteText"/>
        <w:rPr>
          <w:sz w:val="18"/>
          <w:szCs w:val="18"/>
        </w:rPr>
      </w:pPr>
      <w:r w:rsidRPr="00781B29">
        <w:rPr>
          <w:rStyle w:val="FootnoteReference"/>
          <w:sz w:val="18"/>
          <w:szCs w:val="18"/>
        </w:rPr>
        <w:footnoteRef/>
      </w:r>
      <w:r w:rsidRPr="00781B29">
        <w:rPr>
          <w:sz w:val="18"/>
          <w:szCs w:val="18"/>
        </w:rPr>
        <w:t xml:space="preserve"> </w:t>
      </w:r>
      <w:r w:rsidR="00781B29" w:rsidRPr="00AF7757">
        <w:rPr>
          <w:rFonts w:ascii="Arial" w:hAnsi="Arial" w:cs="Arial"/>
          <w:sz w:val="18"/>
          <w:szCs w:val="18"/>
        </w:rPr>
        <w:t xml:space="preserve">Clare </w:t>
      </w:r>
      <w:r w:rsidR="00781B29" w:rsidRPr="00AF7757">
        <w:rPr>
          <w:rFonts w:ascii="Arial" w:hAnsi="Arial" w:cs="Arial"/>
          <w:sz w:val="18"/>
          <w:szCs w:val="18"/>
          <w:shd w:val="clear" w:color="auto" w:fill="FFFFFF"/>
        </w:rPr>
        <w:t xml:space="preserve">McGlynn and Nicole </w:t>
      </w:r>
      <w:proofErr w:type="spellStart"/>
      <w:r w:rsidR="00781B29" w:rsidRPr="00AF7757">
        <w:rPr>
          <w:rFonts w:ascii="Arial" w:hAnsi="Arial" w:cs="Arial"/>
          <w:sz w:val="18"/>
          <w:szCs w:val="18"/>
          <w:shd w:val="clear" w:color="auto" w:fill="FFFFFF"/>
        </w:rPr>
        <w:t>Westmarland</w:t>
      </w:r>
      <w:proofErr w:type="spellEnd"/>
      <w:r w:rsidR="00781B29" w:rsidRPr="00AF7757">
        <w:rPr>
          <w:rFonts w:ascii="Arial" w:hAnsi="Arial" w:cs="Arial"/>
          <w:sz w:val="18"/>
          <w:szCs w:val="18"/>
          <w:shd w:val="clear" w:color="auto" w:fill="FFFFFF"/>
        </w:rPr>
        <w:t>, ‘Kaleidoscopic Justice: Sexual Violence and Victim-Survivors’ Perceptions of Justice’ (2019) 28(2) Social &amp; Legal Studies 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B229" w14:textId="193D0241" w:rsidR="00EA1DA1" w:rsidRPr="00EA1DA1" w:rsidRDefault="00EA1DA1">
    <w:pPr>
      <w:pStyle w:val="Header"/>
      <w:rPr>
        <w:rFonts w:ascii="Arial" w:hAnsi="Arial" w:cs="Arial"/>
        <w:i/>
        <w:iCs/>
      </w:rPr>
    </w:pPr>
    <w:r w:rsidRPr="00EA1DA1">
      <w:rPr>
        <w:rFonts w:ascii="Arial" w:hAnsi="Arial" w:cs="Arial"/>
        <w:i/>
        <w:iCs/>
      </w:rPr>
      <w:t>Editorial</w:t>
    </w:r>
    <w:r>
      <w:t xml:space="preserve">                                                                  </w:t>
    </w:r>
    <w:r w:rsidRPr="00EA1DA1">
      <w:rPr>
        <w:rFonts w:ascii="Arial" w:hAnsi="Arial" w:cs="Arial"/>
        <w:i/>
        <w:iCs/>
      </w:rPr>
      <w:ptab w:relativeTo="margin" w:alignment="right" w:leader="none"/>
    </w:r>
    <w:r w:rsidRPr="00EA1DA1">
      <w:rPr>
        <w:rFonts w:ascii="Arial" w:hAnsi="Arial" w:cs="Arial"/>
        <w:i/>
        <w:iCs/>
      </w:rPr>
      <w:t>International Journal of Gender, Sexuality and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DD"/>
    <w:rsid w:val="00014943"/>
    <w:rsid w:val="000202FB"/>
    <w:rsid w:val="000545B3"/>
    <w:rsid w:val="00066750"/>
    <w:rsid w:val="00070435"/>
    <w:rsid w:val="0009799D"/>
    <w:rsid w:val="000A6F7A"/>
    <w:rsid w:val="000B6595"/>
    <w:rsid w:val="000D67A2"/>
    <w:rsid w:val="000E7650"/>
    <w:rsid w:val="00111A05"/>
    <w:rsid w:val="00115B6B"/>
    <w:rsid w:val="00122E04"/>
    <w:rsid w:val="0014609A"/>
    <w:rsid w:val="00156655"/>
    <w:rsid w:val="00164DAA"/>
    <w:rsid w:val="00165F10"/>
    <w:rsid w:val="00173E4A"/>
    <w:rsid w:val="00175D04"/>
    <w:rsid w:val="00194729"/>
    <w:rsid w:val="001C012A"/>
    <w:rsid w:val="001C733B"/>
    <w:rsid w:val="001F1747"/>
    <w:rsid w:val="001F4012"/>
    <w:rsid w:val="001F6D4B"/>
    <w:rsid w:val="00233C07"/>
    <w:rsid w:val="0023654D"/>
    <w:rsid w:val="00250076"/>
    <w:rsid w:val="002558AE"/>
    <w:rsid w:val="002A3A95"/>
    <w:rsid w:val="002B5858"/>
    <w:rsid w:val="002C6390"/>
    <w:rsid w:val="002D5A14"/>
    <w:rsid w:val="002E0DDC"/>
    <w:rsid w:val="00317795"/>
    <w:rsid w:val="00321918"/>
    <w:rsid w:val="00345A5B"/>
    <w:rsid w:val="003644FC"/>
    <w:rsid w:val="0037598B"/>
    <w:rsid w:val="00375F4A"/>
    <w:rsid w:val="00380E9F"/>
    <w:rsid w:val="00383EDA"/>
    <w:rsid w:val="00394D3A"/>
    <w:rsid w:val="003E1F17"/>
    <w:rsid w:val="003F3E2B"/>
    <w:rsid w:val="00402B47"/>
    <w:rsid w:val="004342AA"/>
    <w:rsid w:val="004533F1"/>
    <w:rsid w:val="00454D4B"/>
    <w:rsid w:val="00464A00"/>
    <w:rsid w:val="00473557"/>
    <w:rsid w:val="004A35D9"/>
    <w:rsid w:val="004B3529"/>
    <w:rsid w:val="00540A60"/>
    <w:rsid w:val="00545590"/>
    <w:rsid w:val="005634E7"/>
    <w:rsid w:val="00576F02"/>
    <w:rsid w:val="00585B98"/>
    <w:rsid w:val="005A504A"/>
    <w:rsid w:val="005A56D2"/>
    <w:rsid w:val="005C16AD"/>
    <w:rsid w:val="005C378C"/>
    <w:rsid w:val="005D414F"/>
    <w:rsid w:val="005D5C5B"/>
    <w:rsid w:val="005F0B43"/>
    <w:rsid w:val="005F3B92"/>
    <w:rsid w:val="00601D35"/>
    <w:rsid w:val="006049AC"/>
    <w:rsid w:val="006209F9"/>
    <w:rsid w:val="0064237D"/>
    <w:rsid w:val="00657336"/>
    <w:rsid w:val="006A1189"/>
    <w:rsid w:val="006A2D75"/>
    <w:rsid w:val="006B1704"/>
    <w:rsid w:val="006C3624"/>
    <w:rsid w:val="006F13C7"/>
    <w:rsid w:val="00705453"/>
    <w:rsid w:val="00707F6F"/>
    <w:rsid w:val="00712051"/>
    <w:rsid w:val="00712209"/>
    <w:rsid w:val="00732B84"/>
    <w:rsid w:val="007337A7"/>
    <w:rsid w:val="00734E8E"/>
    <w:rsid w:val="007379DB"/>
    <w:rsid w:val="0074733F"/>
    <w:rsid w:val="00754E69"/>
    <w:rsid w:val="0075E98E"/>
    <w:rsid w:val="00762918"/>
    <w:rsid w:val="00781B29"/>
    <w:rsid w:val="00782F3C"/>
    <w:rsid w:val="007B6A8A"/>
    <w:rsid w:val="007C0011"/>
    <w:rsid w:val="007C70AF"/>
    <w:rsid w:val="007E1EEC"/>
    <w:rsid w:val="0080167E"/>
    <w:rsid w:val="0080213B"/>
    <w:rsid w:val="00806A9E"/>
    <w:rsid w:val="0083752B"/>
    <w:rsid w:val="00843687"/>
    <w:rsid w:val="00871356"/>
    <w:rsid w:val="008A482E"/>
    <w:rsid w:val="008B5729"/>
    <w:rsid w:val="008C4F25"/>
    <w:rsid w:val="008D39B6"/>
    <w:rsid w:val="008E1E91"/>
    <w:rsid w:val="008E4655"/>
    <w:rsid w:val="008E4B69"/>
    <w:rsid w:val="00911D0A"/>
    <w:rsid w:val="00914996"/>
    <w:rsid w:val="00930C14"/>
    <w:rsid w:val="00933C1D"/>
    <w:rsid w:val="0099462E"/>
    <w:rsid w:val="00994AD3"/>
    <w:rsid w:val="009E4464"/>
    <w:rsid w:val="009F23B5"/>
    <w:rsid w:val="00A42065"/>
    <w:rsid w:val="00A473ED"/>
    <w:rsid w:val="00A555E1"/>
    <w:rsid w:val="00A81814"/>
    <w:rsid w:val="00A87285"/>
    <w:rsid w:val="00A96C6D"/>
    <w:rsid w:val="00A97CAF"/>
    <w:rsid w:val="00AB1A2B"/>
    <w:rsid w:val="00AB3293"/>
    <w:rsid w:val="00AF7757"/>
    <w:rsid w:val="00B232C0"/>
    <w:rsid w:val="00B4248E"/>
    <w:rsid w:val="00B47AD7"/>
    <w:rsid w:val="00B73D98"/>
    <w:rsid w:val="00B768A3"/>
    <w:rsid w:val="00B77E89"/>
    <w:rsid w:val="00B86BB0"/>
    <w:rsid w:val="00BC2519"/>
    <w:rsid w:val="00BC595D"/>
    <w:rsid w:val="00BD6C2C"/>
    <w:rsid w:val="00BE1775"/>
    <w:rsid w:val="00BF12B6"/>
    <w:rsid w:val="00BF44C5"/>
    <w:rsid w:val="00C04F47"/>
    <w:rsid w:val="00C435E9"/>
    <w:rsid w:val="00C75961"/>
    <w:rsid w:val="00C75CD5"/>
    <w:rsid w:val="00CA719B"/>
    <w:rsid w:val="00CB672C"/>
    <w:rsid w:val="00CC6D10"/>
    <w:rsid w:val="00CE222B"/>
    <w:rsid w:val="00CE5069"/>
    <w:rsid w:val="00CF7FB4"/>
    <w:rsid w:val="00D03DCB"/>
    <w:rsid w:val="00D106BE"/>
    <w:rsid w:val="00D147AA"/>
    <w:rsid w:val="00D861A8"/>
    <w:rsid w:val="00D93CAF"/>
    <w:rsid w:val="00D967D9"/>
    <w:rsid w:val="00DB7A39"/>
    <w:rsid w:val="00DC552B"/>
    <w:rsid w:val="00DF1159"/>
    <w:rsid w:val="00E0293A"/>
    <w:rsid w:val="00E135B9"/>
    <w:rsid w:val="00E16508"/>
    <w:rsid w:val="00E16D76"/>
    <w:rsid w:val="00E16DD1"/>
    <w:rsid w:val="00E20ABA"/>
    <w:rsid w:val="00E30577"/>
    <w:rsid w:val="00E37F69"/>
    <w:rsid w:val="00E45944"/>
    <w:rsid w:val="00E519FD"/>
    <w:rsid w:val="00E707FF"/>
    <w:rsid w:val="00EA1DA1"/>
    <w:rsid w:val="00EA330D"/>
    <w:rsid w:val="00EA36B5"/>
    <w:rsid w:val="00EF78FD"/>
    <w:rsid w:val="00F1686D"/>
    <w:rsid w:val="00F43A98"/>
    <w:rsid w:val="00F83857"/>
    <w:rsid w:val="00F90922"/>
    <w:rsid w:val="00FA2358"/>
    <w:rsid w:val="00FC28AF"/>
    <w:rsid w:val="00FC3B95"/>
    <w:rsid w:val="00FD5B37"/>
    <w:rsid w:val="00FF35DD"/>
    <w:rsid w:val="018F0727"/>
    <w:rsid w:val="018F1F0E"/>
    <w:rsid w:val="01B95A09"/>
    <w:rsid w:val="023F826D"/>
    <w:rsid w:val="026ACD27"/>
    <w:rsid w:val="0349F0AC"/>
    <w:rsid w:val="037F45B1"/>
    <w:rsid w:val="03DEABD7"/>
    <w:rsid w:val="04016F35"/>
    <w:rsid w:val="041C1BD8"/>
    <w:rsid w:val="0492486F"/>
    <w:rsid w:val="04CC8CDF"/>
    <w:rsid w:val="04F0FACB"/>
    <w:rsid w:val="050DFBBD"/>
    <w:rsid w:val="05B03184"/>
    <w:rsid w:val="060CBC3E"/>
    <w:rsid w:val="064C2F1A"/>
    <w:rsid w:val="0667330F"/>
    <w:rsid w:val="067015DA"/>
    <w:rsid w:val="06B1140E"/>
    <w:rsid w:val="06EF4EF2"/>
    <w:rsid w:val="07715ADD"/>
    <w:rsid w:val="089AFE1D"/>
    <w:rsid w:val="08A483C7"/>
    <w:rsid w:val="08B21CFA"/>
    <w:rsid w:val="08E16285"/>
    <w:rsid w:val="0923DF90"/>
    <w:rsid w:val="0964EBDC"/>
    <w:rsid w:val="0A411B04"/>
    <w:rsid w:val="0AF380E2"/>
    <w:rsid w:val="0C1735B4"/>
    <w:rsid w:val="0C45C594"/>
    <w:rsid w:val="0CC2A680"/>
    <w:rsid w:val="0DDF3815"/>
    <w:rsid w:val="0DE195F5"/>
    <w:rsid w:val="0DF24772"/>
    <w:rsid w:val="0E3F1EA6"/>
    <w:rsid w:val="0EE857F3"/>
    <w:rsid w:val="0F0D2B81"/>
    <w:rsid w:val="0F25F2FB"/>
    <w:rsid w:val="1037296D"/>
    <w:rsid w:val="106F1D6B"/>
    <w:rsid w:val="10AF95AC"/>
    <w:rsid w:val="10B2C772"/>
    <w:rsid w:val="123DF5C6"/>
    <w:rsid w:val="124B660D"/>
    <w:rsid w:val="127FDD6E"/>
    <w:rsid w:val="131189C5"/>
    <w:rsid w:val="131DE147"/>
    <w:rsid w:val="14217F9D"/>
    <w:rsid w:val="14B9B1A8"/>
    <w:rsid w:val="14C68283"/>
    <w:rsid w:val="15108445"/>
    <w:rsid w:val="158306CF"/>
    <w:rsid w:val="16446FC2"/>
    <w:rsid w:val="16E06ACD"/>
    <w:rsid w:val="16EDDEF1"/>
    <w:rsid w:val="171D72FD"/>
    <w:rsid w:val="17572147"/>
    <w:rsid w:val="177E0C44"/>
    <w:rsid w:val="18091479"/>
    <w:rsid w:val="182A6A1E"/>
    <w:rsid w:val="1889AF52"/>
    <w:rsid w:val="18D86885"/>
    <w:rsid w:val="196DD44B"/>
    <w:rsid w:val="19896425"/>
    <w:rsid w:val="19CFBAA1"/>
    <w:rsid w:val="1A5677F2"/>
    <w:rsid w:val="1B0086FD"/>
    <w:rsid w:val="1B09A4AC"/>
    <w:rsid w:val="1B62D0DA"/>
    <w:rsid w:val="1B72A3A7"/>
    <w:rsid w:val="1B7EB246"/>
    <w:rsid w:val="1BAA983C"/>
    <w:rsid w:val="1C1CB61F"/>
    <w:rsid w:val="1CB640FC"/>
    <w:rsid w:val="1CB86C0B"/>
    <w:rsid w:val="1CC153BF"/>
    <w:rsid w:val="1DC732F3"/>
    <w:rsid w:val="1E764C7D"/>
    <w:rsid w:val="1E98721A"/>
    <w:rsid w:val="1FDAE538"/>
    <w:rsid w:val="20743834"/>
    <w:rsid w:val="20C5B976"/>
    <w:rsid w:val="2189B21F"/>
    <w:rsid w:val="2194C4E2"/>
    <w:rsid w:val="21A08681"/>
    <w:rsid w:val="21F88DC0"/>
    <w:rsid w:val="22100895"/>
    <w:rsid w:val="2221A760"/>
    <w:rsid w:val="226CA923"/>
    <w:rsid w:val="229D2934"/>
    <w:rsid w:val="22A64E94"/>
    <w:rsid w:val="22CFFBD2"/>
    <w:rsid w:val="22ED14AB"/>
    <w:rsid w:val="232F9B15"/>
    <w:rsid w:val="23309543"/>
    <w:rsid w:val="234A122A"/>
    <w:rsid w:val="2361E281"/>
    <w:rsid w:val="23945E21"/>
    <w:rsid w:val="23FD5A38"/>
    <w:rsid w:val="240E9FA7"/>
    <w:rsid w:val="2421AA45"/>
    <w:rsid w:val="24421EF5"/>
    <w:rsid w:val="256CFE8B"/>
    <w:rsid w:val="25B137FD"/>
    <w:rsid w:val="25BBA199"/>
    <w:rsid w:val="25FD7613"/>
    <w:rsid w:val="26683605"/>
    <w:rsid w:val="26AED65A"/>
    <w:rsid w:val="26F09142"/>
    <w:rsid w:val="274D085E"/>
    <w:rsid w:val="280F9590"/>
    <w:rsid w:val="28440CF1"/>
    <w:rsid w:val="284AA6BB"/>
    <w:rsid w:val="28D5B948"/>
    <w:rsid w:val="29BD93A1"/>
    <w:rsid w:val="29E6771C"/>
    <w:rsid w:val="2A5E92AB"/>
    <w:rsid w:val="2A7DE12B"/>
    <w:rsid w:val="2AB16079"/>
    <w:rsid w:val="2B3BA728"/>
    <w:rsid w:val="2B596402"/>
    <w:rsid w:val="2BCF8F60"/>
    <w:rsid w:val="2BDC400F"/>
    <w:rsid w:val="2C298830"/>
    <w:rsid w:val="2C995072"/>
    <w:rsid w:val="2CD1C296"/>
    <w:rsid w:val="2CF53463"/>
    <w:rsid w:val="2D4CA7BE"/>
    <w:rsid w:val="2D8ACD72"/>
    <w:rsid w:val="2E9104C4"/>
    <w:rsid w:val="2F44FACC"/>
    <w:rsid w:val="2FE20821"/>
    <w:rsid w:val="2FE25564"/>
    <w:rsid w:val="300BF30E"/>
    <w:rsid w:val="31497B93"/>
    <w:rsid w:val="31B4DFB2"/>
    <w:rsid w:val="31EE068B"/>
    <w:rsid w:val="32270CD3"/>
    <w:rsid w:val="334393D0"/>
    <w:rsid w:val="335A35BD"/>
    <w:rsid w:val="337B3811"/>
    <w:rsid w:val="338FC0A1"/>
    <w:rsid w:val="33CE2997"/>
    <w:rsid w:val="33E0E699"/>
    <w:rsid w:val="33F4D2E4"/>
    <w:rsid w:val="344C6D7D"/>
    <w:rsid w:val="3460F587"/>
    <w:rsid w:val="348B39FA"/>
    <w:rsid w:val="34EC8074"/>
    <w:rsid w:val="355D4949"/>
    <w:rsid w:val="35C5802F"/>
    <w:rsid w:val="360A18C0"/>
    <w:rsid w:val="36270A5B"/>
    <w:rsid w:val="36ABA950"/>
    <w:rsid w:val="36FA7DF6"/>
    <w:rsid w:val="3718875B"/>
    <w:rsid w:val="37500CB1"/>
    <w:rsid w:val="377ED76F"/>
    <w:rsid w:val="385FFDCA"/>
    <w:rsid w:val="39F1E003"/>
    <w:rsid w:val="3A7CA3FB"/>
    <w:rsid w:val="3A9BF27B"/>
    <w:rsid w:val="3A9CEB2D"/>
    <w:rsid w:val="3AFA7B7E"/>
    <w:rsid w:val="3B39DA4A"/>
    <w:rsid w:val="3BE12902"/>
    <w:rsid w:val="3C479980"/>
    <w:rsid w:val="3CCDC131"/>
    <w:rsid w:val="3CCE8B32"/>
    <w:rsid w:val="3D87C8DF"/>
    <w:rsid w:val="3DD3933D"/>
    <w:rsid w:val="3DE1B2D0"/>
    <w:rsid w:val="3ED9BF9B"/>
    <w:rsid w:val="3F19B477"/>
    <w:rsid w:val="3FF42310"/>
    <w:rsid w:val="40A259D0"/>
    <w:rsid w:val="4102DD45"/>
    <w:rsid w:val="417506E0"/>
    <w:rsid w:val="425B3A02"/>
    <w:rsid w:val="42939E7A"/>
    <w:rsid w:val="43807158"/>
    <w:rsid w:val="43ED259A"/>
    <w:rsid w:val="44C79433"/>
    <w:rsid w:val="44F3018B"/>
    <w:rsid w:val="44F63351"/>
    <w:rsid w:val="4526B362"/>
    <w:rsid w:val="452778EC"/>
    <w:rsid w:val="4540A149"/>
    <w:rsid w:val="4549011F"/>
    <w:rsid w:val="454908A6"/>
    <w:rsid w:val="4553B9EC"/>
    <w:rsid w:val="45D24DA0"/>
    <w:rsid w:val="46FB661B"/>
    <w:rsid w:val="4723DBA9"/>
    <w:rsid w:val="4730C7EC"/>
    <w:rsid w:val="474A74A4"/>
    <w:rsid w:val="47670F9D"/>
    <w:rsid w:val="476E1E01"/>
    <w:rsid w:val="4864EB7C"/>
    <w:rsid w:val="48A76E60"/>
    <w:rsid w:val="48CC984D"/>
    <w:rsid w:val="48FBD90B"/>
    <w:rsid w:val="4909EE62"/>
    <w:rsid w:val="4912D616"/>
    <w:rsid w:val="4914ACC5"/>
    <w:rsid w:val="49EEDB70"/>
    <w:rsid w:val="4A00BBDD"/>
    <w:rsid w:val="4B6906B5"/>
    <w:rsid w:val="4BDF2818"/>
    <w:rsid w:val="4BEB39DE"/>
    <w:rsid w:val="4BEE033F"/>
    <w:rsid w:val="4C4A76D8"/>
    <w:rsid w:val="4C8A18BC"/>
    <w:rsid w:val="4CBEAD79"/>
    <w:rsid w:val="4D328AD1"/>
    <w:rsid w:val="4DDFF60F"/>
    <w:rsid w:val="4DE64739"/>
    <w:rsid w:val="4E25E91D"/>
    <w:rsid w:val="4ECA1414"/>
    <w:rsid w:val="4F792FE6"/>
    <w:rsid w:val="4FC8B7EF"/>
    <w:rsid w:val="5121899F"/>
    <w:rsid w:val="51A64338"/>
    <w:rsid w:val="51AE9D72"/>
    <w:rsid w:val="5201B4D6"/>
    <w:rsid w:val="5205E40D"/>
    <w:rsid w:val="525A7B62"/>
    <w:rsid w:val="5297BE76"/>
    <w:rsid w:val="52B0D0A8"/>
    <w:rsid w:val="52B9B85C"/>
    <w:rsid w:val="52F7285D"/>
    <w:rsid w:val="532C8AB1"/>
    <w:rsid w:val="53436673"/>
    <w:rsid w:val="535BDE06"/>
    <w:rsid w:val="53867D51"/>
    <w:rsid w:val="545730EA"/>
    <w:rsid w:val="54669AC1"/>
    <w:rsid w:val="5492F8BE"/>
    <w:rsid w:val="549AA48C"/>
    <w:rsid w:val="54B9519B"/>
    <w:rsid w:val="5544C4B2"/>
    <w:rsid w:val="56270E6A"/>
    <w:rsid w:val="5639C706"/>
    <w:rsid w:val="5678C9A8"/>
    <w:rsid w:val="568175E4"/>
    <w:rsid w:val="579F7C4F"/>
    <w:rsid w:val="58149A09"/>
    <w:rsid w:val="587C6574"/>
    <w:rsid w:val="59AEDB92"/>
    <w:rsid w:val="59B06A6A"/>
    <w:rsid w:val="5A1EC653"/>
    <w:rsid w:val="5AEBA86F"/>
    <w:rsid w:val="5B0D3829"/>
    <w:rsid w:val="5B4C3ACB"/>
    <w:rsid w:val="5B86AB1F"/>
    <w:rsid w:val="5B967D23"/>
    <w:rsid w:val="5B9F15FF"/>
    <w:rsid w:val="5C279417"/>
    <w:rsid w:val="5C53016F"/>
    <w:rsid w:val="5C8778D0"/>
    <w:rsid w:val="5CA0A12D"/>
    <w:rsid w:val="5CBCA27A"/>
    <w:rsid w:val="5CD5CAD7"/>
    <w:rsid w:val="5CE80B2C"/>
    <w:rsid w:val="5D3FFC86"/>
    <w:rsid w:val="5E25BB21"/>
    <w:rsid w:val="5EC70F81"/>
    <w:rsid w:val="5EDBCCE7"/>
    <w:rsid w:val="5EE74642"/>
    <w:rsid w:val="5F2D9DF7"/>
    <w:rsid w:val="5F40EBF0"/>
    <w:rsid w:val="5F983B64"/>
    <w:rsid w:val="5FA2665B"/>
    <w:rsid w:val="603DCEEB"/>
    <w:rsid w:val="60B02376"/>
    <w:rsid w:val="61F65989"/>
    <w:rsid w:val="620E5783"/>
    <w:rsid w:val="622C6D1A"/>
    <w:rsid w:val="626C61F6"/>
    <w:rsid w:val="626C7AEC"/>
    <w:rsid w:val="62F6BA54"/>
    <w:rsid w:val="6383320F"/>
    <w:rsid w:val="639229EA"/>
    <w:rsid w:val="63E5C4B6"/>
    <w:rsid w:val="63EA18A0"/>
    <w:rsid w:val="64867C16"/>
    <w:rsid w:val="64985C83"/>
    <w:rsid w:val="6547A921"/>
    <w:rsid w:val="65A41BAE"/>
    <w:rsid w:val="66215058"/>
    <w:rsid w:val="6657D856"/>
    <w:rsid w:val="66823CC3"/>
    <w:rsid w:val="676A46BE"/>
    <w:rsid w:val="67765791"/>
    <w:rsid w:val="678843CF"/>
    <w:rsid w:val="683D7AD5"/>
    <w:rsid w:val="6848E0D0"/>
    <w:rsid w:val="68C0605A"/>
    <w:rsid w:val="692FEC53"/>
    <w:rsid w:val="694AACD4"/>
    <w:rsid w:val="698F7918"/>
    <w:rsid w:val="69D94B36"/>
    <w:rsid w:val="6A30D4BC"/>
    <w:rsid w:val="6A595A24"/>
    <w:rsid w:val="6A839E97"/>
    <w:rsid w:val="6AD5425E"/>
    <w:rsid w:val="6B159AD2"/>
    <w:rsid w:val="6BA0CAF8"/>
    <w:rsid w:val="6C1F45CC"/>
    <w:rsid w:val="6CC719DA"/>
    <w:rsid w:val="6CDBBD0C"/>
    <w:rsid w:val="6D072025"/>
    <w:rsid w:val="6E04F59A"/>
    <w:rsid w:val="6E0CE320"/>
    <w:rsid w:val="6E50319F"/>
    <w:rsid w:val="6E62EA3B"/>
    <w:rsid w:val="6E778D6D"/>
    <w:rsid w:val="6EF4C811"/>
    <w:rsid w:val="6F8F4F0D"/>
    <w:rsid w:val="6FBBECA1"/>
    <w:rsid w:val="7023C139"/>
    <w:rsid w:val="70257F94"/>
    <w:rsid w:val="70FE29F9"/>
    <w:rsid w:val="719A8AFD"/>
    <w:rsid w:val="71DA9148"/>
    <w:rsid w:val="722C68D3"/>
    <w:rsid w:val="726F6AA6"/>
    <w:rsid w:val="731D2B7A"/>
    <w:rsid w:val="734CE872"/>
    <w:rsid w:val="735D2056"/>
    <w:rsid w:val="7393D79F"/>
    <w:rsid w:val="747C24A4"/>
    <w:rsid w:val="7499DC20"/>
    <w:rsid w:val="752FA800"/>
    <w:rsid w:val="755C6AE7"/>
    <w:rsid w:val="75A04428"/>
    <w:rsid w:val="75A5727B"/>
    <w:rsid w:val="76405DC7"/>
    <w:rsid w:val="7673E8E6"/>
    <w:rsid w:val="76CB21BF"/>
    <w:rsid w:val="76F83B48"/>
    <w:rsid w:val="7742DBC9"/>
    <w:rsid w:val="77A6551F"/>
    <w:rsid w:val="77BBBB50"/>
    <w:rsid w:val="7884FC24"/>
    <w:rsid w:val="789F9AD3"/>
    <w:rsid w:val="7924286F"/>
    <w:rsid w:val="798C6CFE"/>
    <w:rsid w:val="79CC61DA"/>
    <w:rsid w:val="7ABFF8D0"/>
    <w:rsid w:val="7AEB6628"/>
    <w:rsid w:val="7B05EFA2"/>
    <w:rsid w:val="7BE4ABF5"/>
    <w:rsid w:val="7C531CF5"/>
    <w:rsid w:val="7C563E4A"/>
    <w:rsid w:val="7C65D9F7"/>
    <w:rsid w:val="7CA4F77D"/>
    <w:rsid w:val="7E2306EA"/>
    <w:rsid w:val="7E4D74B6"/>
    <w:rsid w:val="7EF1C37E"/>
    <w:rsid w:val="7F1C4CB7"/>
    <w:rsid w:val="7F309CAE"/>
    <w:rsid w:val="7FD2D500"/>
    <w:rsid w:val="7FF34EAC"/>
    <w:rsid w:val="7FFBA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EE87"/>
  <w15:chartTrackingRefBased/>
  <w15:docId w15:val="{CA607F43-BBCA-4710-B52E-AA7A11AD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68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35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F35DD"/>
  </w:style>
  <w:style w:type="paragraph" w:styleId="FootnoteText">
    <w:name w:val="footnote text"/>
    <w:aliases w:val=" Char,Footnote Text Char2,Footnote Text Char Char1,Footnote Text Char1 Char Char,Footnote Text Char Char Char Char,Footnote Text Char1 Char Char Char Char,Footnote Text Char Char Char Char Char Char,Footnote Text Char1 Char,Char Char,Ch"/>
    <w:basedOn w:val="Normal"/>
    <w:link w:val="FootnoteTextChar"/>
    <w:uiPriority w:val="99"/>
    <w:unhideWhenUsed/>
    <w:rsid w:val="00EA1DA1"/>
    <w:pPr>
      <w:spacing w:after="0" w:line="240" w:lineRule="auto"/>
    </w:pPr>
    <w:rPr>
      <w:sz w:val="20"/>
      <w:szCs w:val="20"/>
    </w:rPr>
  </w:style>
  <w:style w:type="character" w:customStyle="1" w:styleId="FootnoteTextChar">
    <w:name w:val="Footnote Text Char"/>
    <w:aliases w:val=" Char Char,Footnote Text Char2 Char,Footnote Text Char Char1 Char,Footnote Text Char1 Char Char Char,Footnote Text Char Char Char Char Char,Footnote Text Char1 Char Char Char Char Char,Footnote Text Char Char Char Char Char Char Char"/>
    <w:basedOn w:val="DefaultParagraphFont"/>
    <w:link w:val="FootnoteText"/>
    <w:uiPriority w:val="99"/>
    <w:rsid w:val="00EA1DA1"/>
    <w:rPr>
      <w:sz w:val="20"/>
      <w:szCs w:val="20"/>
    </w:rPr>
  </w:style>
  <w:style w:type="character" w:styleId="FootnoteReference">
    <w:name w:val="footnote reference"/>
    <w:basedOn w:val="DefaultParagraphFont"/>
    <w:uiPriority w:val="99"/>
    <w:unhideWhenUsed/>
    <w:rsid w:val="00EA1DA1"/>
    <w:rPr>
      <w:vertAlign w:val="superscript"/>
    </w:rPr>
  </w:style>
  <w:style w:type="character" w:styleId="Hyperlink">
    <w:name w:val="Hyperlink"/>
    <w:basedOn w:val="DefaultParagraphFont"/>
    <w:uiPriority w:val="99"/>
    <w:unhideWhenUsed/>
    <w:rsid w:val="00EA1DA1"/>
    <w:rPr>
      <w:color w:val="0563C1" w:themeColor="hyperlink"/>
      <w:u w:val="single"/>
    </w:rPr>
  </w:style>
  <w:style w:type="character" w:styleId="UnresolvedMention">
    <w:name w:val="Unresolved Mention"/>
    <w:basedOn w:val="DefaultParagraphFont"/>
    <w:uiPriority w:val="99"/>
    <w:semiHidden/>
    <w:unhideWhenUsed/>
    <w:rsid w:val="00EA1DA1"/>
    <w:rPr>
      <w:color w:val="605E5C"/>
      <w:shd w:val="clear" w:color="auto" w:fill="E1DFDD"/>
    </w:rPr>
  </w:style>
  <w:style w:type="paragraph" w:styleId="Header">
    <w:name w:val="header"/>
    <w:basedOn w:val="Normal"/>
    <w:link w:val="HeaderChar"/>
    <w:uiPriority w:val="99"/>
    <w:unhideWhenUsed/>
    <w:rsid w:val="00EA1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A1"/>
  </w:style>
  <w:style w:type="paragraph" w:styleId="Footer">
    <w:name w:val="footer"/>
    <w:basedOn w:val="Normal"/>
    <w:link w:val="FooterChar"/>
    <w:uiPriority w:val="99"/>
    <w:unhideWhenUsed/>
    <w:rsid w:val="00EA1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A1"/>
  </w:style>
  <w:style w:type="paragraph" w:customStyle="1" w:styleId="Bodyoftext">
    <w:name w:val="Body of text"/>
    <w:basedOn w:val="Normal"/>
    <w:link w:val="BodyoftextChar"/>
    <w:qFormat/>
    <w:rsid w:val="00C04F47"/>
    <w:pPr>
      <w:tabs>
        <w:tab w:val="left" w:pos="993"/>
      </w:tabs>
      <w:jc w:val="both"/>
    </w:pPr>
    <w:rPr>
      <w:rFonts w:ascii="Arial" w:hAnsi="Arial" w:cs="Arial"/>
      <w:bCs/>
      <w:sz w:val="24"/>
      <w:szCs w:val="24"/>
      <w:lang w:val="en-US"/>
    </w:rPr>
  </w:style>
  <w:style w:type="character" w:customStyle="1" w:styleId="BodyoftextChar">
    <w:name w:val="Body of text Char"/>
    <w:basedOn w:val="DefaultParagraphFont"/>
    <w:link w:val="Bodyoftext"/>
    <w:rsid w:val="00C04F47"/>
    <w:rPr>
      <w:rFonts w:ascii="Arial" w:hAnsi="Arial" w:cs="Arial"/>
      <w:bCs/>
      <w:sz w:val="24"/>
      <w:szCs w:val="24"/>
      <w:lang w:val="en-US"/>
    </w:rPr>
  </w:style>
  <w:style w:type="paragraph" w:customStyle="1" w:styleId="FootnoteText1">
    <w:name w:val="Footnote Text1"/>
    <w:basedOn w:val="Normal"/>
    <w:next w:val="FootnoteText"/>
    <w:uiPriority w:val="99"/>
    <w:unhideWhenUsed/>
    <w:rsid w:val="00473557"/>
    <w:pPr>
      <w:spacing w:after="0" w:line="240" w:lineRule="auto"/>
    </w:pPr>
    <w:rPr>
      <w:rFonts w:eastAsia="Calibri"/>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5F10"/>
    <w:pPr>
      <w:spacing w:after="0" w:line="240" w:lineRule="auto"/>
    </w:pPr>
  </w:style>
  <w:style w:type="character" w:styleId="FollowedHyperlink">
    <w:name w:val="FollowedHyperlink"/>
    <w:basedOn w:val="DefaultParagraphFont"/>
    <w:uiPriority w:val="99"/>
    <w:semiHidden/>
    <w:unhideWhenUsed/>
    <w:rsid w:val="00F8385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30577"/>
    <w:rPr>
      <w:b/>
      <w:bCs/>
    </w:rPr>
  </w:style>
  <w:style w:type="character" w:customStyle="1" w:styleId="CommentSubjectChar">
    <w:name w:val="Comment Subject Char"/>
    <w:basedOn w:val="CommentTextChar"/>
    <w:link w:val="CommentSubject"/>
    <w:uiPriority w:val="99"/>
    <w:semiHidden/>
    <w:rsid w:val="00E30577"/>
    <w:rPr>
      <w:b/>
      <w:bCs/>
      <w:sz w:val="20"/>
      <w:szCs w:val="20"/>
    </w:rPr>
  </w:style>
  <w:style w:type="character" w:customStyle="1" w:styleId="Heading1Char">
    <w:name w:val="Heading 1 Char"/>
    <w:basedOn w:val="DefaultParagraphFont"/>
    <w:link w:val="Heading1"/>
    <w:uiPriority w:val="9"/>
    <w:rsid w:val="00B768A3"/>
    <w:rPr>
      <w:rFonts w:ascii="Times New Roman" w:eastAsia="Times New Roman" w:hAnsi="Times New Roman" w:cs="Times New Roman"/>
      <w:b/>
      <w:bCs/>
      <w:kern w:val="36"/>
      <w:sz w:val="48"/>
      <w:szCs w:val="48"/>
      <w:lang w:eastAsia="en-GB"/>
    </w:rPr>
  </w:style>
  <w:style w:type="paragraph" w:customStyle="1" w:styleId="Default">
    <w:name w:val="Default"/>
    <w:rsid w:val="00B768A3"/>
    <w:pPr>
      <w:autoSpaceDE w:val="0"/>
      <w:autoSpaceDN w:val="0"/>
      <w:adjustRightInd w:val="0"/>
      <w:spacing w:after="0" w:line="240" w:lineRule="auto"/>
    </w:pPr>
    <w:rPr>
      <w:rFonts w:ascii="Arial" w:hAnsi="Arial" w:cs="Arial"/>
      <w:color w:val="000000"/>
      <w:sz w:val="24"/>
      <w:szCs w:val="24"/>
      <w14:ligatures w14:val="standardContextual"/>
    </w:rPr>
  </w:style>
  <w:style w:type="character" w:styleId="Strong">
    <w:name w:val="Strong"/>
    <w:basedOn w:val="DefaultParagraphFont"/>
    <w:uiPriority w:val="22"/>
    <w:qFormat/>
    <w:rsid w:val="00B76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9642">
      <w:bodyDiv w:val="1"/>
      <w:marLeft w:val="0"/>
      <w:marRight w:val="0"/>
      <w:marTop w:val="0"/>
      <w:marBottom w:val="0"/>
      <w:divBdr>
        <w:top w:val="none" w:sz="0" w:space="0" w:color="auto"/>
        <w:left w:val="none" w:sz="0" w:space="0" w:color="auto"/>
        <w:bottom w:val="none" w:sz="0" w:space="0" w:color="auto"/>
        <w:right w:val="none" w:sz="0" w:space="0" w:color="auto"/>
      </w:divBdr>
    </w:div>
    <w:div w:id="88670995">
      <w:bodyDiv w:val="1"/>
      <w:marLeft w:val="0"/>
      <w:marRight w:val="0"/>
      <w:marTop w:val="0"/>
      <w:marBottom w:val="0"/>
      <w:divBdr>
        <w:top w:val="none" w:sz="0" w:space="0" w:color="auto"/>
        <w:left w:val="none" w:sz="0" w:space="0" w:color="auto"/>
        <w:bottom w:val="none" w:sz="0" w:space="0" w:color="auto"/>
        <w:right w:val="none" w:sz="0" w:space="0" w:color="auto"/>
      </w:divBdr>
    </w:div>
    <w:div w:id="220215274">
      <w:bodyDiv w:val="1"/>
      <w:marLeft w:val="0"/>
      <w:marRight w:val="0"/>
      <w:marTop w:val="0"/>
      <w:marBottom w:val="0"/>
      <w:divBdr>
        <w:top w:val="none" w:sz="0" w:space="0" w:color="auto"/>
        <w:left w:val="none" w:sz="0" w:space="0" w:color="auto"/>
        <w:bottom w:val="none" w:sz="0" w:space="0" w:color="auto"/>
        <w:right w:val="none" w:sz="0" w:space="0" w:color="auto"/>
      </w:divBdr>
    </w:div>
    <w:div w:id="515079283">
      <w:bodyDiv w:val="1"/>
      <w:marLeft w:val="0"/>
      <w:marRight w:val="0"/>
      <w:marTop w:val="0"/>
      <w:marBottom w:val="0"/>
      <w:divBdr>
        <w:top w:val="none" w:sz="0" w:space="0" w:color="auto"/>
        <w:left w:val="none" w:sz="0" w:space="0" w:color="auto"/>
        <w:bottom w:val="none" w:sz="0" w:space="0" w:color="auto"/>
        <w:right w:val="none" w:sz="0" w:space="0" w:color="auto"/>
      </w:divBdr>
    </w:div>
    <w:div w:id="564028641">
      <w:bodyDiv w:val="1"/>
      <w:marLeft w:val="0"/>
      <w:marRight w:val="0"/>
      <w:marTop w:val="0"/>
      <w:marBottom w:val="0"/>
      <w:divBdr>
        <w:top w:val="none" w:sz="0" w:space="0" w:color="auto"/>
        <w:left w:val="none" w:sz="0" w:space="0" w:color="auto"/>
        <w:bottom w:val="none" w:sz="0" w:space="0" w:color="auto"/>
        <w:right w:val="none" w:sz="0" w:space="0" w:color="auto"/>
      </w:divBdr>
    </w:div>
    <w:div w:id="830679039">
      <w:bodyDiv w:val="1"/>
      <w:marLeft w:val="0"/>
      <w:marRight w:val="0"/>
      <w:marTop w:val="0"/>
      <w:marBottom w:val="0"/>
      <w:divBdr>
        <w:top w:val="none" w:sz="0" w:space="0" w:color="auto"/>
        <w:left w:val="none" w:sz="0" w:space="0" w:color="auto"/>
        <w:bottom w:val="none" w:sz="0" w:space="0" w:color="auto"/>
        <w:right w:val="none" w:sz="0" w:space="0" w:color="auto"/>
      </w:divBdr>
    </w:div>
    <w:div w:id="957219182">
      <w:bodyDiv w:val="1"/>
      <w:marLeft w:val="0"/>
      <w:marRight w:val="0"/>
      <w:marTop w:val="0"/>
      <w:marBottom w:val="0"/>
      <w:divBdr>
        <w:top w:val="none" w:sz="0" w:space="0" w:color="auto"/>
        <w:left w:val="none" w:sz="0" w:space="0" w:color="auto"/>
        <w:bottom w:val="none" w:sz="0" w:space="0" w:color="auto"/>
        <w:right w:val="none" w:sz="0" w:space="0" w:color="auto"/>
      </w:divBdr>
    </w:div>
    <w:div w:id="1002855360">
      <w:bodyDiv w:val="1"/>
      <w:marLeft w:val="0"/>
      <w:marRight w:val="0"/>
      <w:marTop w:val="0"/>
      <w:marBottom w:val="0"/>
      <w:divBdr>
        <w:top w:val="none" w:sz="0" w:space="0" w:color="auto"/>
        <w:left w:val="none" w:sz="0" w:space="0" w:color="auto"/>
        <w:bottom w:val="none" w:sz="0" w:space="0" w:color="auto"/>
        <w:right w:val="none" w:sz="0" w:space="0" w:color="auto"/>
      </w:divBdr>
    </w:div>
    <w:div w:id="1032919741">
      <w:bodyDiv w:val="1"/>
      <w:marLeft w:val="0"/>
      <w:marRight w:val="0"/>
      <w:marTop w:val="0"/>
      <w:marBottom w:val="0"/>
      <w:divBdr>
        <w:top w:val="none" w:sz="0" w:space="0" w:color="auto"/>
        <w:left w:val="none" w:sz="0" w:space="0" w:color="auto"/>
        <w:bottom w:val="none" w:sz="0" w:space="0" w:color="auto"/>
        <w:right w:val="none" w:sz="0" w:space="0" w:color="auto"/>
      </w:divBdr>
    </w:div>
    <w:div w:id="1058897132">
      <w:bodyDiv w:val="1"/>
      <w:marLeft w:val="0"/>
      <w:marRight w:val="0"/>
      <w:marTop w:val="0"/>
      <w:marBottom w:val="0"/>
      <w:divBdr>
        <w:top w:val="none" w:sz="0" w:space="0" w:color="auto"/>
        <w:left w:val="none" w:sz="0" w:space="0" w:color="auto"/>
        <w:bottom w:val="none" w:sz="0" w:space="0" w:color="auto"/>
        <w:right w:val="none" w:sz="0" w:space="0" w:color="auto"/>
      </w:divBdr>
    </w:div>
    <w:div w:id="1069695229">
      <w:bodyDiv w:val="1"/>
      <w:marLeft w:val="0"/>
      <w:marRight w:val="0"/>
      <w:marTop w:val="0"/>
      <w:marBottom w:val="0"/>
      <w:divBdr>
        <w:top w:val="none" w:sz="0" w:space="0" w:color="auto"/>
        <w:left w:val="none" w:sz="0" w:space="0" w:color="auto"/>
        <w:bottom w:val="none" w:sz="0" w:space="0" w:color="auto"/>
        <w:right w:val="none" w:sz="0" w:space="0" w:color="auto"/>
      </w:divBdr>
    </w:div>
    <w:div w:id="1097990722">
      <w:bodyDiv w:val="1"/>
      <w:marLeft w:val="0"/>
      <w:marRight w:val="0"/>
      <w:marTop w:val="0"/>
      <w:marBottom w:val="0"/>
      <w:divBdr>
        <w:top w:val="none" w:sz="0" w:space="0" w:color="auto"/>
        <w:left w:val="none" w:sz="0" w:space="0" w:color="auto"/>
        <w:bottom w:val="none" w:sz="0" w:space="0" w:color="auto"/>
        <w:right w:val="none" w:sz="0" w:space="0" w:color="auto"/>
      </w:divBdr>
    </w:div>
    <w:div w:id="1245796027">
      <w:bodyDiv w:val="1"/>
      <w:marLeft w:val="0"/>
      <w:marRight w:val="0"/>
      <w:marTop w:val="0"/>
      <w:marBottom w:val="0"/>
      <w:divBdr>
        <w:top w:val="none" w:sz="0" w:space="0" w:color="auto"/>
        <w:left w:val="none" w:sz="0" w:space="0" w:color="auto"/>
        <w:bottom w:val="none" w:sz="0" w:space="0" w:color="auto"/>
        <w:right w:val="none" w:sz="0" w:space="0" w:color="auto"/>
      </w:divBdr>
    </w:div>
    <w:div w:id="1283027816">
      <w:bodyDiv w:val="1"/>
      <w:marLeft w:val="0"/>
      <w:marRight w:val="0"/>
      <w:marTop w:val="0"/>
      <w:marBottom w:val="0"/>
      <w:divBdr>
        <w:top w:val="none" w:sz="0" w:space="0" w:color="auto"/>
        <w:left w:val="none" w:sz="0" w:space="0" w:color="auto"/>
        <w:bottom w:val="none" w:sz="0" w:space="0" w:color="auto"/>
        <w:right w:val="none" w:sz="0" w:space="0" w:color="auto"/>
      </w:divBdr>
    </w:div>
    <w:div w:id="1392264612">
      <w:bodyDiv w:val="1"/>
      <w:marLeft w:val="0"/>
      <w:marRight w:val="0"/>
      <w:marTop w:val="0"/>
      <w:marBottom w:val="0"/>
      <w:divBdr>
        <w:top w:val="none" w:sz="0" w:space="0" w:color="auto"/>
        <w:left w:val="none" w:sz="0" w:space="0" w:color="auto"/>
        <w:bottom w:val="none" w:sz="0" w:space="0" w:color="auto"/>
        <w:right w:val="none" w:sz="0" w:space="0" w:color="auto"/>
      </w:divBdr>
    </w:div>
    <w:div w:id="1853521114">
      <w:bodyDiv w:val="1"/>
      <w:marLeft w:val="0"/>
      <w:marRight w:val="0"/>
      <w:marTop w:val="0"/>
      <w:marBottom w:val="0"/>
      <w:divBdr>
        <w:top w:val="none" w:sz="0" w:space="0" w:color="auto"/>
        <w:left w:val="none" w:sz="0" w:space="0" w:color="auto"/>
        <w:bottom w:val="none" w:sz="0" w:space="0" w:color="auto"/>
        <w:right w:val="none" w:sz="0" w:space="0" w:color="auto"/>
      </w:divBdr>
    </w:div>
    <w:div w:id="1933708004">
      <w:bodyDiv w:val="1"/>
      <w:marLeft w:val="0"/>
      <w:marRight w:val="0"/>
      <w:marTop w:val="0"/>
      <w:marBottom w:val="0"/>
      <w:divBdr>
        <w:top w:val="none" w:sz="0" w:space="0" w:color="auto"/>
        <w:left w:val="none" w:sz="0" w:space="0" w:color="auto"/>
        <w:bottom w:val="none" w:sz="0" w:space="0" w:color="auto"/>
        <w:right w:val="none" w:sz="0" w:space="0" w:color="auto"/>
      </w:divBdr>
    </w:div>
    <w:div w:id="1998532477">
      <w:bodyDiv w:val="1"/>
      <w:marLeft w:val="0"/>
      <w:marRight w:val="0"/>
      <w:marTop w:val="0"/>
      <w:marBottom w:val="0"/>
      <w:divBdr>
        <w:top w:val="none" w:sz="0" w:space="0" w:color="auto"/>
        <w:left w:val="none" w:sz="0" w:space="0" w:color="auto"/>
        <w:bottom w:val="none" w:sz="0" w:space="0" w:color="auto"/>
        <w:right w:val="none" w:sz="0" w:space="0" w:color="auto"/>
      </w:divBdr>
    </w:div>
    <w:div w:id="20118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uk/sounds/play/m0014xt6" TargetMode="External"/><Relationship Id="rId3" Type="http://schemas.openxmlformats.org/officeDocument/2006/relationships/hyperlink" Target="https://homeofficemedia.blog.gov.uk/2019/03/07/violence-against-women-and-girls-and-male-position-factsheets/" TargetMode="External"/><Relationship Id="rId7" Type="http://schemas.openxmlformats.org/officeDocument/2006/relationships/hyperlink" Target="https://www.gov.uk/government/news/domestic-abuse-victims-given-fresh-support-to-escape-abuse" TargetMode="External"/><Relationship Id="rId12" Type="http://schemas.openxmlformats.org/officeDocument/2006/relationships/hyperlink" Target="https://www.theguardian.com/commentisfree/2021/mar/13/men-curfew-sarah-everard-women-adapt-violence" TargetMode="External"/><Relationship Id="rId2" Type="http://schemas.openxmlformats.org/officeDocument/2006/relationships/hyperlink" Target="https://www.gov.uk/government/publications/tackling-violence-against-women-and-girls-strategy" TargetMode="External"/><Relationship Id="rId1" Type="http://schemas.openxmlformats.org/officeDocument/2006/relationships/hyperlink" Target="https://www.worldbank.org/en/topic/socialsustainability/brief/violence-against-women-and-girls" TargetMode="External"/><Relationship Id="rId6" Type="http://schemas.openxmlformats.org/officeDocument/2006/relationships/hyperlink" Target="https://domesticabusecommissioner.uk/chancellor-must-put-cost-of-living-crisis-and-domestic-abuse-at-the-top-of-his-agenda-lives-depend-on-it/" TargetMode="External"/><Relationship Id="rId11" Type="http://schemas.openxmlformats.org/officeDocument/2006/relationships/hyperlink" Target="https://theconversation.com/baroness-jones-why-did-so-many-people-take-her-6pm-curfew-for-men-proposal-at-face-value-157183" TargetMode="External"/><Relationship Id="rId5" Type="http://schemas.openxmlformats.org/officeDocument/2006/relationships/hyperlink" Target="https://www.gov.uk/government/publications/evaluating-the-support-for-migrant-victims-smv-pilot/evaluating-the-support-for-migrant-victims-smv-pilot-findings-from-a-process-evaluation" TargetMode="External"/><Relationship Id="rId10" Type="http://schemas.openxmlformats.org/officeDocument/2006/relationships/hyperlink" Target="https://news.sky.com/story/sarah-everard-baroness-who-suggested-6pm-curfew-for-men-says-she-wanted-to-make-a-point-12243462" TargetMode="External"/><Relationship Id="rId4" Type="http://schemas.openxmlformats.org/officeDocument/2006/relationships/hyperlink" Target="https://lordslibrary.parliament.uk/istanbul-convention-preventing-and-combating-violence-against-women-and-domestic-violence/" TargetMode="External"/><Relationship Id="rId9" Type="http://schemas.openxmlformats.org/officeDocument/2006/relationships/hyperlink" Target="https://www.bbc.co.uk/news/uk-56384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6D755-3BDE-491F-9479-FEEB3B31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14</cp:revision>
  <cp:lastPrinted>2024-07-18T16:23:00Z</cp:lastPrinted>
  <dcterms:created xsi:type="dcterms:W3CDTF">2024-07-18T16:22:00Z</dcterms:created>
  <dcterms:modified xsi:type="dcterms:W3CDTF">2024-07-18T16:49:00Z</dcterms:modified>
</cp:coreProperties>
</file>