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944B1" w14:textId="46F9326E" w:rsidR="00C84785" w:rsidRPr="00840665" w:rsidRDefault="00C84785" w:rsidP="00C84785">
      <w:pPr>
        <w:pStyle w:val="ArticleTitle"/>
        <w:spacing w:after="0" w:line="360" w:lineRule="auto"/>
        <w:rPr>
          <w:rFonts w:ascii="Arial" w:hAnsi="Arial" w:cs="Arial"/>
          <w:b/>
          <w:sz w:val="22"/>
          <w:szCs w:val="22"/>
        </w:rPr>
      </w:pPr>
      <w:r w:rsidRPr="00840665">
        <w:rPr>
          <w:rFonts w:ascii="Arial" w:hAnsi="Arial" w:cs="Arial"/>
          <w:b/>
          <w:sz w:val="22"/>
          <w:szCs w:val="22"/>
        </w:rPr>
        <w:t xml:space="preserve">A </w:t>
      </w:r>
      <w:r w:rsidR="0071747B">
        <w:rPr>
          <w:rFonts w:ascii="Arial" w:hAnsi="Arial" w:cs="Arial"/>
          <w:b/>
          <w:sz w:val="22"/>
          <w:szCs w:val="22"/>
        </w:rPr>
        <w:t>Right to a Male Curfew</w:t>
      </w:r>
    </w:p>
    <w:p w14:paraId="7AEA7629" w14:textId="77777777" w:rsidR="00C84785" w:rsidRPr="00840665" w:rsidRDefault="00C84785" w:rsidP="00C84785">
      <w:pPr>
        <w:pStyle w:val="ArticleTitle"/>
        <w:spacing w:after="0" w:line="360" w:lineRule="auto"/>
        <w:rPr>
          <w:rFonts w:ascii="Arial" w:hAnsi="Arial" w:cs="Arial"/>
          <w:b/>
          <w:sz w:val="22"/>
          <w:szCs w:val="22"/>
        </w:rPr>
      </w:pPr>
    </w:p>
    <w:p w14:paraId="3DBFC95C" w14:textId="340D3962" w:rsidR="004324AD" w:rsidRPr="00840665" w:rsidRDefault="0071747B" w:rsidP="00C84785">
      <w:pPr>
        <w:pStyle w:val="ArticleTitle"/>
        <w:spacing w:after="0" w:line="360" w:lineRule="auto"/>
        <w:rPr>
          <w:rFonts w:ascii="Arial" w:hAnsi="Arial" w:cs="Arial"/>
          <w:bCs/>
          <w:i/>
          <w:iCs/>
          <w:sz w:val="22"/>
          <w:szCs w:val="22"/>
        </w:rPr>
      </w:pPr>
      <w:r>
        <w:rPr>
          <w:rFonts w:ascii="Arial" w:hAnsi="Arial" w:cs="Arial"/>
          <w:bCs/>
          <w:i/>
          <w:iCs/>
          <w:sz w:val="22"/>
          <w:szCs w:val="22"/>
        </w:rPr>
        <w:t>Jonathan Herring</w:t>
      </w:r>
      <w:r w:rsidR="004324AD" w:rsidRPr="00840665">
        <w:rPr>
          <w:rStyle w:val="FootnoteReference"/>
          <w:rFonts w:ascii="Arial" w:hAnsi="Arial" w:cs="Arial"/>
          <w:bCs/>
          <w:sz w:val="22"/>
          <w:szCs w:val="22"/>
        </w:rPr>
        <w:footnoteReference w:id="1"/>
      </w:r>
      <w:r w:rsidR="004324AD" w:rsidRPr="00840665">
        <w:rPr>
          <w:rFonts w:ascii="Arial" w:hAnsi="Arial" w:cs="Arial"/>
          <w:bCs/>
          <w:sz w:val="22"/>
          <w:szCs w:val="22"/>
        </w:rPr>
        <w:t xml:space="preserve"> </w:t>
      </w:r>
    </w:p>
    <w:p w14:paraId="64E8B883" w14:textId="6348C0E6" w:rsidR="00FE5F32" w:rsidRDefault="00FE5F32" w:rsidP="00C84785">
      <w:pPr>
        <w:pStyle w:val="ArticleTitle"/>
        <w:spacing w:after="0" w:line="360" w:lineRule="auto"/>
        <w:rPr>
          <w:rFonts w:ascii="Arial" w:hAnsi="Arial" w:cs="Arial"/>
          <w:bCs/>
          <w:i/>
          <w:iCs/>
          <w:sz w:val="22"/>
          <w:szCs w:val="22"/>
        </w:rPr>
      </w:pPr>
    </w:p>
    <w:p w14:paraId="41C63186" w14:textId="77777777" w:rsidR="00CE568F" w:rsidRPr="00840665" w:rsidRDefault="00CE568F" w:rsidP="00C84785">
      <w:pPr>
        <w:pStyle w:val="ArticleTitle"/>
        <w:spacing w:after="0" w:line="360" w:lineRule="auto"/>
        <w:rPr>
          <w:rFonts w:ascii="Arial" w:hAnsi="Arial" w:cs="Arial"/>
          <w:bCs/>
          <w:i/>
          <w:iCs/>
          <w:sz w:val="22"/>
          <w:szCs w:val="22"/>
        </w:rPr>
      </w:pPr>
    </w:p>
    <w:p w14:paraId="791D1DE7" w14:textId="07533B23" w:rsidR="00FE5F32" w:rsidRPr="00CE568F" w:rsidRDefault="00FE5F32" w:rsidP="00C84785">
      <w:pPr>
        <w:pStyle w:val="ArticleTitle"/>
        <w:spacing w:after="0" w:line="360" w:lineRule="auto"/>
        <w:rPr>
          <w:rFonts w:ascii="Arial" w:hAnsi="Arial" w:cs="Arial"/>
          <w:b/>
          <w:sz w:val="22"/>
          <w:szCs w:val="22"/>
        </w:rPr>
      </w:pPr>
      <w:r w:rsidRPr="00CE568F">
        <w:rPr>
          <w:rFonts w:ascii="Arial" w:hAnsi="Arial" w:cs="Arial"/>
          <w:b/>
          <w:sz w:val="22"/>
          <w:szCs w:val="22"/>
        </w:rPr>
        <w:t>Abstract</w:t>
      </w:r>
    </w:p>
    <w:p w14:paraId="1F1073DA" w14:textId="77777777" w:rsidR="00C84785" w:rsidRPr="00840665" w:rsidRDefault="00C84785" w:rsidP="00C84785">
      <w:pPr>
        <w:pStyle w:val="ArticleTitle"/>
        <w:spacing w:after="0" w:line="360" w:lineRule="auto"/>
        <w:rPr>
          <w:rFonts w:ascii="Arial" w:hAnsi="Arial" w:cs="Arial"/>
          <w:b/>
          <w:i/>
          <w:iCs/>
          <w:sz w:val="22"/>
          <w:szCs w:val="22"/>
        </w:rPr>
      </w:pPr>
    </w:p>
    <w:p w14:paraId="0C7E0820" w14:textId="4426205B" w:rsidR="00C84785" w:rsidRDefault="00934B7B" w:rsidP="00C84785">
      <w:pPr>
        <w:pStyle w:val="ArticleTitle"/>
        <w:spacing w:after="0" w:line="360" w:lineRule="auto"/>
        <w:rPr>
          <w:rFonts w:ascii="Arial" w:hAnsi="Arial" w:cs="Arial"/>
          <w:bCs/>
          <w:sz w:val="22"/>
          <w:szCs w:val="22"/>
        </w:rPr>
      </w:pPr>
      <w:r w:rsidRPr="00934B7B">
        <w:rPr>
          <w:rFonts w:ascii="Arial" w:hAnsi="Arial" w:cs="Arial"/>
          <w:bCs/>
          <w:sz w:val="22"/>
          <w:szCs w:val="22"/>
        </w:rPr>
        <w:t>This article explores the case for a right to a male curfew.</w:t>
      </w:r>
      <w:r w:rsidR="009F3F37">
        <w:rPr>
          <w:rFonts w:ascii="Arial" w:hAnsi="Arial" w:cs="Arial"/>
          <w:bCs/>
          <w:sz w:val="22"/>
          <w:szCs w:val="22"/>
        </w:rPr>
        <w:t xml:space="preserve"> </w:t>
      </w:r>
      <w:r w:rsidRPr="00934B7B">
        <w:rPr>
          <w:rFonts w:ascii="Arial" w:hAnsi="Arial" w:cs="Arial"/>
          <w:bCs/>
          <w:sz w:val="22"/>
          <w:szCs w:val="22"/>
        </w:rPr>
        <w:t>It argues the epidemic of male violence and harassment against women in public spaces is a major breach of women’s human rights.</w:t>
      </w:r>
      <w:r w:rsidR="009F3F37">
        <w:rPr>
          <w:rFonts w:ascii="Arial" w:hAnsi="Arial" w:cs="Arial"/>
          <w:bCs/>
          <w:sz w:val="22"/>
          <w:szCs w:val="22"/>
        </w:rPr>
        <w:t xml:space="preserve"> </w:t>
      </w:r>
      <w:r w:rsidRPr="00934B7B">
        <w:rPr>
          <w:rFonts w:ascii="Arial" w:hAnsi="Arial" w:cs="Arial"/>
          <w:bCs/>
          <w:sz w:val="22"/>
          <w:szCs w:val="22"/>
        </w:rPr>
        <w:t>This generates an obligation on the state to protect women.</w:t>
      </w:r>
      <w:r w:rsidR="009F3F37">
        <w:rPr>
          <w:rFonts w:ascii="Arial" w:hAnsi="Arial" w:cs="Arial"/>
          <w:bCs/>
          <w:sz w:val="22"/>
          <w:szCs w:val="22"/>
        </w:rPr>
        <w:t xml:space="preserve"> </w:t>
      </w:r>
      <w:r w:rsidRPr="00934B7B">
        <w:rPr>
          <w:rFonts w:ascii="Arial" w:hAnsi="Arial" w:cs="Arial"/>
          <w:bCs/>
          <w:sz w:val="22"/>
          <w:szCs w:val="22"/>
        </w:rPr>
        <w:t>The article substantiates that claim and explains why a male curfew would be a reasonable way for the state to fulfil its obligations and is therefore required unless an alternative can be found.</w:t>
      </w:r>
    </w:p>
    <w:p w14:paraId="34ACDEEB" w14:textId="77777777" w:rsidR="00934B7B" w:rsidRPr="00C84785" w:rsidRDefault="00934B7B" w:rsidP="00C84785">
      <w:pPr>
        <w:pStyle w:val="ArticleTitle"/>
        <w:spacing w:after="0" w:line="360" w:lineRule="auto"/>
        <w:rPr>
          <w:rFonts w:ascii="Arial" w:hAnsi="Arial" w:cs="Arial"/>
          <w:b/>
          <w:i/>
          <w:iCs/>
          <w:sz w:val="22"/>
          <w:szCs w:val="22"/>
        </w:rPr>
      </w:pPr>
    </w:p>
    <w:p w14:paraId="0E9E1307" w14:textId="24D0EF87" w:rsidR="00CE568F" w:rsidRPr="00CE568F" w:rsidRDefault="00521899" w:rsidP="00C84785">
      <w:pPr>
        <w:pStyle w:val="ArticleTitle"/>
        <w:spacing w:after="0" w:line="360" w:lineRule="auto"/>
        <w:rPr>
          <w:rFonts w:ascii="Arial" w:hAnsi="Arial" w:cs="Arial"/>
          <w:b/>
          <w:sz w:val="22"/>
          <w:szCs w:val="22"/>
        </w:rPr>
      </w:pPr>
      <w:r w:rsidRPr="00CE568F">
        <w:rPr>
          <w:rFonts w:ascii="Arial" w:hAnsi="Arial" w:cs="Arial"/>
          <w:b/>
          <w:sz w:val="22"/>
          <w:szCs w:val="22"/>
        </w:rPr>
        <w:t>Keywords</w:t>
      </w:r>
    </w:p>
    <w:p w14:paraId="510D7FC8" w14:textId="77777777" w:rsidR="00CE568F" w:rsidRPr="00CE568F" w:rsidRDefault="00CE568F" w:rsidP="00C84785">
      <w:pPr>
        <w:pStyle w:val="ArticleTitle"/>
        <w:spacing w:after="0" w:line="360" w:lineRule="auto"/>
        <w:rPr>
          <w:rFonts w:ascii="Arial" w:hAnsi="Arial" w:cs="Arial"/>
          <w:b/>
          <w:sz w:val="22"/>
          <w:szCs w:val="22"/>
        </w:rPr>
      </w:pPr>
    </w:p>
    <w:p w14:paraId="45550442" w14:textId="5123F870" w:rsidR="00521899" w:rsidRPr="00CE568F" w:rsidRDefault="00011BD2" w:rsidP="00C84785">
      <w:pPr>
        <w:pStyle w:val="ArticleTitle"/>
        <w:spacing w:after="0" w:line="360" w:lineRule="auto"/>
        <w:rPr>
          <w:rFonts w:ascii="Arial" w:hAnsi="Arial" w:cs="Arial"/>
          <w:bCs/>
          <w:sz w:val="22"/>
          <w:szCs w:val="22"/>
        </w:rPr>
      </w:pPr>
      <w:r w:rsidRPr="00CE568F">
        <w:rPr>
          <w:rFonts w:ascii="Arial" w:hAnsi="Arial" w:cs="Arial"/>
          <w:bCs/>
          <w:sz w:val="22"/>
          <w:szCs w:val="22"/>
        </w:rPr>
        <w:t xml:space="preserve">Curfew; </w:t>
      </w:r>
      <w:r w:rsidR="00CE568F" w:rsidRPr="00CE568F">
        <w:rPr>
          <w:rFonts w:ascii="Arial" w:hAnsi="Arial" w:cs="Arial"/>
          <w:bCs/>
          <w:sz w:val="22"/>
          <w:szCs w:val="22"/>
        </w:rPr>
        <w:t>Human Right</w:t>
      </w:r>
      <w:r w:rsidR="00CE568F">
        <w:rPr>
          <w:rFonts w:ascii="Arial" w:hAnsi="Arial" w:cs="Arial"/>
          <w:bCs/>
          <w:sz w:val="22"/>
          <w:szCs w:val="22"/>
        </w:rPr>
        <w:t>s</w:t>
      </w:r>
      <w:r w:rsidR="00CE568F" w:rsidRPr="00CE568F">
        <w:rPr>
          <w:rFonts w:ascii="Arial" w:hAnsi="Arial" w:cs="Arial"/>
          <w:bCs/>
          <w:sz w:val="22"/>
          <w:szCs w:val="22"/>
        </w:rPr>
        <w:t>; Autonomy; Protection; Harassment</w:t>
      </w:r>
    </w:p>
    <w:p w14:paraId="5CDFD995" w14:textId="77777777" w:rsidR="00C84785" w:rsidRPr="00C84785" w:rsidRDefault="00C84785" w:rsidP="00C84785">
      <w:pPr>
        <w:pStyle w:val="ArticleTitle"/>
        <w:spacing w:after="0" w:line="360" w:lineRule="auto"/>
        <w:rPr>
          <w:rFonts w:ascii="Arial" w:hAnsi="Arial" w:cs="Arial"/>
          <w:b/>
          <w:i/>
          <w:iCs/>
          <w:sz w:val="22"/>
          <w:szCs w:val="22"/>
        </w:rPr>
      </w:pPr>
    </w:p>
    <w:p w14:paraId="45083C7E" w14:textId="71630789" w:rsidR="00C84785" w:rsidRDefault="00C84785" w:rsidP="00C84785">
      <w:pPr>
        <w:pStyle w:val="ArticleTitle"/>
        <w:spacing w:after="0" w:line="360" w:lineRule="auto"/>
        <w:rPr>
          <w:rFonts w:ascii="Arial" w:hAnsi="Arial" w:cs="Arial"/>
          <w:bCs/>
          <w:sz w:val="22"/>
          <w:szCs w:val="22"/>
        </w:rPr>
      </w:pPr>
    </w:p>
    <w:p w14:paraId="6787590B" w14:textId="51D117A6" w:rsidR="00FE5F32" w:rsidRDefault="00FE5F32" w:rsidP="00C84785">
      <w:pPr>
        <w:pStyle w:val="ArticleTitle"/>
        <w:spacing w:after="0" w:line="360" w:lineRule="auto"/>
        <w:rPr>
          <w:rFonts w:ascii="Arial" w:hAnsi="Arial" w:cs="Arial"/>
          <w:b/>
          <w:i/>
          <w:iCs/>
          <w:sz w:val="22"/>
          <w:szCs w:val="22"/>
        </w:rPr>
      </w:pPr>
      <w:r w:rsidRPr="00C84785">
        <w:rPr>
          <w:rFonts w:ascii="Arial" w:hAnsi="Arial" w:cs="Arial"/>
          <w:b/>
          <w:i/>
          <w:iCs/>
          <w:sz w:val="22"/>
          <w:szCs w:val="22"/>
        </w:rPr>
        <w:t>Introduction</w:t>
      </w:r>
    </w:p>
    <w:p w14:paraId="5D852EC5" w14:textId="77777777" w:rsidR="00C84785" w:rsidRPr="00C84785" w:rsidRDefault="00C84785" w:rsidP="00C84785">
      <w:pPr>
        <w:pStyle w:val="ArticleTitle"/>
        <w:spacing w:after="0" w:line="360" w:lineRule="auto"/>
        <w:rPr>
          <w:rFonts w:ascii="Arial" w:hAnsi="Arial" w:cs="Arial"/>
          <w:b/>
          <w:i/>
          <w:iCs/>
          <w:sz w:val="22"/>
          <w:szCs w:val="22"/>
        </w:rPr>
      </w:pPr>
    </w:p>
    <w:p w14:paraId="285E83BC" w14:textId="6A6F190F" w:rsidR="001E3C88" w:rsidRPr="001E3C88" w:rsidRDefault="001E3C88" w:rsidP="001E3C88">
      <w:pPr>
        <w:spacing w:after="0" w:line="360" w:lineRule="auto"/>
        <w:jc w:val="both"/>
        <w:rPr>
          <w:rFonts w:ascii="Arial" w:hAnsi="Arial" w:cs="Arial"/>
        </w:rPr>
      </w:pPr>
      <w:r w:rsidRPr="001E3C88">
        <w:rPr>
          <w:rFonts w:ascii="Arial" w:hAnsi="Arial" w:cs="Arial"/>
        </w:rPr>
        <w:t>This article will make the case for a human right to a male curfew. To be clear this is a stronger claim than suggesting that a male curfew could be permitted under human rights law, but rather argues it is required under human rights law. Male violence against women in public spaces is a breach of women’s human rights, generating a right for women to be protected from that violence. It will be argued there is a legal duty on the state to protect women from violence and harassment in public places and that a curfew is the only way to fulfil this responsibility effectively.</w:t>
      </w:r>
      <w:r w:rsidR="009F3F37">
        <w:rPr>
          <w:rFonts w:ascii="Arial" w:hAnsi="Arial" w:cs="Arial"/>
        </w:rPr>
        <w:t xml:space="preserve"> </w:t>
      </w:r>
    </w:p>
    <w:p w14:paraId="4CF09AD0" w14:textId="77777777" w:rsidR="001E3C88" w:rsidRPr="001E3C88" w:rsidRDefault="001E3C88" w:rsidP="001E3C88">
      <w:pPr>
        <w:spacing w:after="0" w:line="360" w:lineRule="auto"/>
        <w:jc w:val="both"/>
        <w:rPr>
          <w:rFonts w:ascii="Arial" w:hAnsi="Arial" w:cs="Arial"/>
        </w:rPr>
      </w:pPr>
    </w:p>
    <w:p w14:paraId="456FFD65" w14:textId="72B73B58" w:rsidR="001E3C88" w:rsidRDefault="001E3C88" w:rsidP="0079283F">
      <w:pPr>
        <w:spacing w:after="0" w:line="360" w:lineRule="auto"/>
        <w:ind w:firstLine="720"/>
        <w:jc w:val="both"/>
        <w:rPr>
          <w:rFonts w:ascii="Arial" w:hAnsi="Arial" w:cs="Arial"/>
        </w:rPr>
      </w:pPr>
      <w:r w:rsidRPr="001E3C88">
        <w:rPr>
          <w:rFonts w:ascii="Arial" w:hAnsi="Arial" w:cs="Arial"/>
        </w:rPr>
        <w:t>I accept straight away that many readers will find the proposal of an all-male curfew deeply unsettling, as indeed I do, and may find it an impossible to accept. Nigel Farage has described the proposal as “deranged”.</w:t>
      </w:r>
      <w:r w:rsidRPr="001E3C88">
        <w:rPr>
          <w:rFonts w:ascii="Arial" w:hAnsi="Arial" w:cs="Arial"/>
          <w:vertAlign w:val="superscript"/>
        </w:rPr>
        <w:footnoteReference w:id="2"/>
      </w:r>
      <w:r w:rsidRPr="001E3C88">
        <w:rPr>
          <w:rFonts w:ascii="Arial" w:hAnsi="Arial" w:cs="Arial"/>
        </w:rPr>
        <w:t xml:space="preserve"> The challenge of this article for such readers is that there is a duty on the state to provide effective protection for women and it is a duty that must </w:t>
      </w:r>
      <w:r w:rsidRPr="001E3C88">
        <w:rPr>
          <w:rFonts w:ascii="Arial" w:hAnsi="Arial" w:cs="Arial"/>
        </w:rPr>
        <w:lastRenderedPageBreak/>
        <w:t>be met. If any readers are not convinced by the proposed curfew solution, it is for them to find an effective alternative.</w:t>
      </w:r>
    </w:p>
    <w:p w14:paraId="2FF48CDF" w14:textId="77777777" w:rsidR="0079283F" w:rsidRPr="001E3C88" w:rsidRDefault="0079283F" w:rsidP="0079283F">
      <w:pPr>
        <w:spacing w:after="0" w:line="360" w:lineRule="auto"/>
        <w:ind w:firstLine="720"/>
        <w:jc w:val="both"/>
        <w:rPr>
          <w:rFonts w:ascii="Arial" w:hAnsi="Arial" w:cs="Arial"/>
        </w:rPr>
      </w:pPr>
    </w:p>
    <w:p w14:paraId="7458F1BE" w14:textId="6D834153" w:rsidR="001E3C88" w:rsidRPr="001E3C88" w:rsidRDefault="001E3C88" w:rsidP="009F3F37">
      <w:pPr>
        <w:spacing w:after="0" w:line="360" w:lineRule="auto"/>
        <w:ind w:firstLine="360"/>
        <w:jc w:val="both"/>
        <w:rPr>
          <w:rFonts w:ascii="Arial" w:hAnsi="Arial" w:cs="Arial"/>
        </w:rPr>
      </w:pPr>
      <w:r w:rsidRPr="001E3C88">
        <w:rPr>
          <w:rFonts w:ascii="Arial" w:hAnsi="Arial" w:cs="Arial"/>
        </w:rPr>
        <w:t>The argument will be structured in this way. First the article will set out the current evidence of the harms faced by women in public at night. Second, the article will set out the positive obligations that a state has to protect women from harassment and violence under the European Convention on Human Rights (ECHR). Third it will look at how the state might meet its duties and argue that a curfew is the most effective one. Fourth, it will explore potential challenges to the argument put forward in this article.</w:t>
      </w:r>
      <w:r w:rsidR="009F3F37">
        <w:rPr>
          <w:rFonts w:ascii="Arial" w:hAnsi="Arial" w:cs="Arial"/>
        </w:rPr>
        <w:t xml:space="preserve"> </w:t>
      </w:r>
    </w:p>
    <w:p w14:paraId="133EEF00" w14:textId="77777777" w:rsidR="001E3C88" w:rsidRPr="001E3C88" w:rsidRDefault="001E3C88" w:rsidP="001E3C88">
      <w:pPr>
        <w:spacing w:after="0" w:line="360" w:lineRule="auto"/>
        <w:jc w:val="both"/>
        <w:rPr>
          <w:rFonts w:ascii="Arial" w:hAnsi="Arial" w:cs="Arial"/>
        </w:rPr>
      </w:pPr>
    </w:p>
    <w:p w14:paraId="706398E8" w14:textId="77777777" w:rsidR="001E3C88" w:rsidRPr="001E3C88" w:rsidRDefault="001E3C88" w:rsidP="009F3F37">
      <w:pPr>
        <w:spacing w:after="0" w:line="360" w:lineRule="auto"/>
        <w:jc w:val="both"/>
        <w:rPr>
          <w:rFonts w:ascii="Arial" w:hAnsi="Arial" w:cs="Arial"/>
          <w:b/>
          <w:bCs/>
          <w:i/>
          <w:iCs/>
        </w:rPr>
      </w:pPr>
      <w:r w:rsidRPr="001E3C88">
        <w:rPr>
          <w:rFonts w:ascii="Arial" w:hAnsi="Arial" w:cs="Arial"/>
          <w:b/>
          <w:bCs/>
          <w:i/>
          <w:iCs/>
        </w:rPr>
        <w:t>The Social Context</w:t>
      </w:r>
    </w:p>
    <w:p w14:paraId="37EDE82E" w14:textId="77777777" w:rsidR="001E3C88" w:rsidRPr="001E3C88" w:rsidRDefault="001E3C88" w:rsidP="001E3C88">
      <w:pPr>
        <w:spacing w:after="0" w:line="360" w:lineRule="auto"/>
        <w:jc w:val="both"/>
        <w:rPr>
          <w:rFonts w:ascii="Arial" w:hAnsi="Arial" w:cs="Arial"/>
        </w:rPr>
      </w:pPr>
    </w:p>
    <w:p w14:paraId="3CF0F5C4" w14:textId="316E6BFA" w:rsidR="001E3C88" w:rsidRDefault="001E3C88" w:rsidP="001E3C88">
      <w:pPr>
        <w:spacing w:after="0" w:line="360" w:lineRule="auto"/>
        <w:jc w:val="both"/>
        <w:rPr>
          <w:rFonts w:ascii="Arial" w:hAnsi="Arial" w:cs="Arial"/>
        </w:rPr>
      </w:pPr>
      <w:r w:rsidRPr="001E3C88">
        <w:rPr>
          <w:rFonts w:ascii="Arial" w:hAnsi="Arial" w:cs="Arial"/>
        </w:rPr>
        <w:t>There is an epidemic of male violence against women.</w:t>
      </w:r>
      <w:r w:rsidR="009F3F37">
        <w:rPr>
          <w:rFonts w:ascii="Arial" w:hAnsi="Arial" w:cs="Arial"/>
        </w:rPr>
        <w:t xml:space="preserve"> </w:t>
      </w:r>
      <w:r w:rsidRPr="001E3C88">
        <w:rPr>
          <w:rFonts w:ascii="Arial" w:hAnsi="Arial" w:cs="Arial"/>
        </w:rPr>
        <w:t>The Office of the United Nations High Commissioner for Human Rights has said:</w:t>
      </w:r>
    </w:p>
    <w:p w14:paraId="733DE903" w14:textId="77777777" w:rsidR="00146D4A" w:rsidRPr="001E3C88" w:rsidRDefault="00146D4A" w:rsidP="001E3C88">
      <w:pPr>
        <w:spacing w:after="0" w:line="360" w:lineRule="auto"/>
        <w:jc w:val="both"/>
        <w:rPr>
          <w:rFonts w:ascii="Arial" w:hAnsi="Arial" w:cs="Arial"/>
        </w:rPr>
      </w:pPr>
    </w:p>
    <w:p w14:paraId="03113DDE" w14:textId="217FA6DF" w:rsidR="001E3C88" w:rsidRDefault="001E3C88" w:rsidP="00146D4A">
      <w:pPr>
        <w:spacing w:after="0" w:line="360" w:lineRule="auto"/>
        <w:ind w:left="709" w:right="521"/>
        <w:jc w:val="both"/>
        <w:rPr>
          <w:rFonts w:ascii="Arial" w:hAnsi="Arial" w:cs="Arial"/>
          <w:vertAlign w:val="superscript"/>
        </w:rPr>
      </w:pPr>
      <w:r w:rsidRPr="001E3C88">
        <w:rPr>
          <w:rFonts w:ascii="Arial" w:hAnsi="Arial" w:cs="Arial"/>
        </w:rPr>
        <w:t>Every day, OHCHR offices around the world receive reports of violence against women: – intimate-partner violence; gender-motivated killings, including so-called “honour crimes”; sexual and gender-based violence; use of sexual violence as a weapon of war; forced marriages; acid attacks; so called “corrective” rape of lesbians; trafficking of young women; physical and psychological abuse of migrant and domestic workers; torture in detention, forced sterilisation– these are just some examples. Violence against women comes in many different forms. Violence against women and girls harm families and communities and is a major cause of death and disability.</w:t>
      </w:r>
      <w:r w:rsidRPr="001E3C88">
        <w:rPr>
          <w:rFonts w:ascii="Arial" w:hAnsi="Arial" w:cs="Arial"/>
          <w:vertAlign w:val="superscript"/>
        </w:rPr>
        <w:footnoteReference w:id="3"/>
      </w:r>
    </w:p>
    <w:p w14:paraId="718BF695" w14:textId="77777777" w:rsidR="00146D4A" w:rsidRPr="001E3C88" w:rsidRDefault="00146D4A" w:rsidP="00146D4A">
      <w:pPr>
        <w:spacing w:after="0" w:line="360" w:lineRule="auto"/>
        <w:ind w:left="709" w:right="521"/>
        <w:jc w:val="both"/>
        <w:rPr>
          <w:rFonts w:ascii="Arial" w:hAnsi="Arial" w:cs="Arial"/>
        </w:rPr>
      </w:pPr>
    </w:p>
    <w:p w14:paraId="477F2312" w14:textId="6354C75E" w:rsidR="001E3C88" w:rsidRDefault="001E3C88" w:rsidP="001E3C88">
      <w:pPr>
        <w:spacing w:after="0" w:line="360" w:lineRule="auto"/>
        <w:jc w:val="both"/>
        <w:rPr>
          <w:rFonts w:ascii="Arial" w:hAnsi="Arial" w:cs="Arial"/>
        </w:rPr>
      </w:pPr>
      <w:r w:rsidRPr="001E3C88">
        <w:rPr>
          <w:rFonts w:ascii="Arial" w:hAnsi="Arial" w:cs="Arial"/>
        </w:rPr>
        <w:t>An important feature of this is the abuse of women in public spaces.</w:t>
      </w:r>
      <w:r w:rsidR="009F3F37">
        <w:rPr>
          <w:rFonts w:ascii="Arial" w:hAnsi="Arial" w:cs="Arial"/>
        </w:rPr>
        <w:t xml:space="preserve"> </w:t>
      </w:r>
      <w:r w:rsidRPr="001E3C88">
        <w:rPr>
          <w:rFonts w:ascii="Arial" w:hAnsi="Arial" w:cs="Arial"/>
        </w:rPr>
        <w:t>Looking at the UK, statistics presented by the Office for National Statistics showed that over 80% of women felt unsafe in a park or open space at night and around 50% felt unsafe in a quiet street, even if close to home, or on public transport.</w:t>
      </w:r>
      <w:r w:rsidRPr="001E3C88">
        <w:rPr>
          <w:rFonts w:ascii="Arial" w:hAnsi="Arial" w:cs="Arial"/>
          <w:vertAlign w:val="superscript"/>
        </w:rPr>
        <w:footnoteReference w:id="4"/>
      </w:r>
      <w:r w:rsidR="009F3F37">
        <w:rPr>
          <w:rFonts w:ascii="Arial" w:hAnsi="Arial" w:cs="Arial"/>
        </w:rPr>
        <w:t xml:space="preserve"> </w:t>
      </w:r>
      <w:r w:rsidRPr="001E3C88">
        <w:rPr>
          <w:rFonts w:ascii="Arial" w:hAnsi="Arial" w:cs="Arial"/>
        </w:rPr>
        <w:t>Even among those aged 16-34 nearly half of women felt unsafe using public transport.</w:t>
      </w:r>
      <w:r w:rsidR="00EB3634">
        <w:rPr>
          <w:rFonts w:ascii="Arial" w:hAnsi="Arial" w:cs="Arial"/>
        </w:rPr>
        <w:t xml:space="preserve"> </w:t>
      </w:r>
      <w:r w:rsidRPr="001E3C88">
        <w:rPr>
          <w:rFonts w:ascii="Arial" w:hAnsi="Arial" w:cs="Arial"/>
        </w:rPr>
        <w:t>The study also asked women if they had experienced “catcalls, whistles, unwanted sexual comments or jokes” from a stranger in the previous year and nearly 40% said they had.</w:t>
      </w:r>
      <w:r w:rsidR="009F3F37">
        <w:rPr>
          <w:rFonts w:ascii="Arial" w:hAnsi="Arial" w:cs="Arial"/>
        </w:rPr>
        <w:t xml:space="preserve"> </w:t>
      </w:r>
      <w:r w:rsidRPr="001E3C88">
        <w:rPr>
          <w:rFonts w:ascii="Arial" w:hAnsi="Arial" w:cs="Arial"/>
        </w:rPr>
        <w:t>Nearly a quarter report a feeling they were being followed; over 20% being insulted or shouted at by a stranger.</w:t>
      </w:r>
      <w:r w:rsidR="009F3F37">
        <w:rPr>
          <w:rFonts w:ascii="Arial" w:hAnsi="Arial" w:cs="Arial"/>
        </w:rPr>
        <w:t xml:space="preserve"> </w:t>
      </w:r>
      <w:r w:rsidRPr="001E3C88">
        <w:rPr>
          <w:rFonts w:ascii="Arial" w:hAnsi="Arial" w:cs="Arial"/>
        </w:rPr>
        <w:t>Less than fifty per cent of women had not experienced any form of harassment in public in the previous year.</w:t>
      </w:r>
      <w:r w:rsidR="009F3F37">
        <w:rPr>
          <w:rFonts w:ascii="Arial" w:hAnsi="Arial" w:cs="Arial"/>
        </w:rPr>
        <w:t xml:space="preserve"> </w:t>
      </w:r>
    </w:p>
    <w:p w14:paraId="1748F3FA" w14:textId="77777777" w:rsidR="00EB3634" w:rsidRPr="001E3C88" w:rsidRDefault="00EB3634" w:rsidP="001E3C88">
      <w:pPr>
        <w:spacing w:after="0" w:line="360" w:lineRule="auto"/>
        <w:jc w:val="both"/>
        <w:rPr>
          <w:rFonts w:ascii="Arial" w:hAnsi="Arial" w:cs="Arial"/>
        </w:rPr>
      </w:pPr>
    </w:p>
    <w:p w14:paraId="737156EF" w14:textId="01981E25" w:rsidR="001E3C88" w:rsidRDefault="001E3C88" w:rsidP="00EB3634">
      <w:pPr>
        <w:spacing w:after="0" w:line="360" w:lineRule="auto"/>
        <w:ind w:firstLine="720"/>
        <w:jc w:val="both"/>
        <w:rPr>
          <w:rFonts w:ascii="Arial" w:hAnsi="Arial" w:cs="Arial"/>
        </w:rPr>
      </w:pPr>
      <w:r w:rsidRPr="001E3C88">
        <w:rPr>
          <w:rFonts w:ascii="Arial" w:hAnsi="Arial" w:cs="Arial"/>
        </w:rPr>
        <w:t>UN Women in their study of women’s experience in the UK found 71% of women of all ages had experienced some form of sexual harassment in a public space, with that rising to 86% of those aged 18-24 (and only 3% of that age group saying they had not experienced any form of harassment).</w:t>
      </w:r>
      <w:r w:rsidRPr="001E3C88">
        <w:rPr>
          <w:rFonts w:ascii="Arial" w:hAnsi="Arial" w:cs="Arial"/>
          <w:vertAlign w:val="superscript"/>
        </w:rPr>
        <w:footnoteReference w:id="5"/>
      </w:r>
      <w:r w:rsidR="009F3F37">
        <w:rPr>
          <w:rFonts w:ascii="Arial" w:hAnsi="Arial" w:cs="Arial"/>
        </w:rPr>
        <w:t xml:space="preserve"> </w:t>
      </w:r>
      <w:r w:rsidRPr="001E3C88">
        <w:rPr>
          <w:rFonts w:ascii="Arial" w:hAnsi="Arial" w:cs="Arial"/>
        </w:rPr>
        <w:t xml:space="preserve">A study by </w:t>
      </w:r>
      <w:r w:rsidR="00C67E89" w:rsidRPr="001E3C88">
        <w:rPr>
          <w:rFonts w:ascii="Arial" w:hAnsi="Arial" w:cs="Arial"/>
        </w:rPr>
        <w:t>Girlguiding</w:t>
      </w:r>
      <w:r w:rsidRPr="001E3C88">
        <w:rPr>
          <w:rFonts w:ascii="Arial" w:hAnsi="Arial" w:cs="Arial"/>
        </w:rPr>
        <w:t xml:space="preserve"> found 53% of girls aged 11-21 did not feel safe outside on their own, with the figure being 58% in the North of England.</w:t>
      </w:r>
      <w:r w:rsidRPr="001E3C88">
        <w:rPr>
          <w:rFonts w:ascii="Arial" w:hAnsi="Arial" w:cs="Arial"/>
          <w:vertAlign w:val="superscript"/>
        </w:rPr>
        <w:footnoteReference w:id="6"/>
      </w:r>
    </w:p>
    <w:p w14:paraId="6DA57A52" w14:textId="77777777" w:rsidR="00800FB2" w:rsidRPr="001E3C88" w:rsidRDefault="00800FB2" w:rsidP="00EB3634">
      <w:pPr>
        <w:spacing w:after="0" w:line="360" w:lineRule="auto"/>
        <w:ind w:firstLine="720"/>
        <w:jc w:val="both"/>
        <w:rPr>
          <w:rFonts w:ascii="Arial" w:hAnsi="Arial" w:cs="Arial"/>
        </w:rPr>
      </w:pPr>
    </w:p>
    <w:p w14:paraId="5E210728" w14:textId="2D166FAA" w:rsidR="001E3C88" w:rsidRDefault="001E3C88" w:rsidP="00800FB2">
      <w:pPr>
        <w:spacing w:after="0" w:line="360" w:lineRule="auto"/>
        <w:ind w:firstLine="720"/>
        <w:jc w:val="both"/>
        <w:rPr>
          <w:rFonts w:ascii="Arial" w:hAnsi="Arial" w:cs="Arial"/>
          <w:b/>
          <w:bCs/>
        </w:rPr>
      </w:pPr>
      <w:r w:rsidRPr="001E3C88">
        <w:rPr>
          <w:rFonts w:ascii="Arial" w:hAnsi="Arial" w:cs="Arial"/>
        </w:rPr>
        <w:t>In addition to looking at the issue as a matter of broad statistics, it is important to appreciate</w:t>
      </w:r>
      <w:r w:rsidR="009F3F37">
        <w:rPr>
          <w:rFonts w:ascii="Arial" w:hAnsi="Arial" w:cs="Arial"/>
        </w:rPr>
        <w:t xml:space="preserve"> </w:t>
      </w:r>
      <w:r w:rsidRPr="001E3C88">
        <w:rPr>
          <w:rFonts w:ascii="Arial" w:hAnsi="Arial" w:cs="Arial"/>
        </w:rPr>
        <w:t>what this means in practice for individual women.</w:t>
      </w:r>
      <w:r w:rsidR="009F3F37">
        <w:rPr>
          <w:rFonts w:ascii="Arial" w:hAnsi="Arial" w:cs="Arial"/>
        </w:rPr>
        <w:t xml:space="preserve"> </w:t>
      </w:r>
      <w:r w:rsidRPr="001E3C88">
        <w:rPr>
          <w:rFonts w:ascii="Arial" w:hAnsi="Arial" w:cs="Arial"/>
        </w:rPr>
        <w:t>Claudia, a student aged 19, writes</w:t>
      </w:r>
      <w:r w:rsidR="00C67E89">
        <w:rPr>
          <w:rFonts w:ascii="Arial" w:hAnsi="Arial" w:cs="Arial"/>
        </w:rPr>
        <w:t>:</w:t>
      </w:r>
      <w:r w:rsidRPr="001E3C88">
        <w:rPr>
          <w:rFonts w:ascii="Arial" w:hAnsi="Arial" w:cs="Arial"/>
          <w:b/>
          <w:bCs/>
        </w:rPr>
        <w:t xml:space="preserve"> </w:t>
      </w:r>
    </w:p>
    <w:p w14:paraId="2C74E14C" w14:textId="77777777" w:rsidR="00800FB2" w:rsidRPr="001E3C88" w:rsidRDefault="00800FB2" w:rsidP="00800FB2">
      <w:pPr>
        <w:spacing w:after="0" w:line="360" w:lineRule="auto"/>
        <w:ind w:firstLine="720"/>
        <w:jc w:val="both"/>
        <w:rPr>
          <w:rFonts w:ascii="Arial" w:hAnsi="Arial" w:cs="Arial"/>
        </w:rPr>
      </w:pPr>
    </w:p>
    <w:p w14:paraId="341C7EF2" w14:textId="2BF87EEF" w:rsidR="001E3C88" w:rsidRDefault="001E3C88" w:rsidP="00800FB2">
      <w:pPr>
        <w:spacing w:after="0" w:line="360" w:lineRule="auto"/>
        <w:ind w:left="709" w:right="521"/>
        <w:jc w:val="both"/>
        <w:rPr>
          <w:rFonts w:ascii="Arial" w:hAnsi="Arial" w:cs="Arial"/>
        </w:rPr>
      </w:pPr>
      <w:r w:rsidRPr="001E3C88">
        <w:rPr>
          <w:rFonts w:ascii="Arial" w:hAnsi="Arial" w:cs="Arial"/>
        </w:rPr>
        <w:t>It’s the everyday things women go through that breeds this fear of being alone at night – catcalls on the street, men twice my age staring, vulgar comments at the pub with my friends. These are things that every woman has experienced, and so, when it comes to being alone in a public space at night, I’ve found I’m naturally more fearful… Just the thought of walking past a group of men at night is enough to have my heart beating.</w:t>
      </w:r>
      <w:r w:rsidR="00800FB2" w:rsidRPr="001E3C88">
        <w:rPr>
          <w:rFonts w:ascii="Arial" w:hAnsi="Arial" w:cs="Arial"/>
          <w:vertAlign w:val="superscript"/>
        </w:rPr>
        <w:footnoteReference w:id="7"/>
      </w:r>
    </w:p>
    <w:p w14:paraId="1BCDC29D" w14:textId="77777777" w:rsidR="00800FB2" w:rsidRPr="001E3C88" w:rsidRDefault="00800FB2" w:rsidP="00800FB2">
      <w:pPr>
        <w:spacing w:after="0" w:line="360" w:lineRule="auto"/>
        <w:ind w:left="709" w:right="521"/>
        <w:jc w:val="both"/>
        <w:rPr>
          <w:rFonts w:ascii="Arial" w:hAnsi="Arial" w:cs="Arial"/>
        </w:rPr>
      </w:pPr>
    </w:p>
    <w:p w14:paraId="443ED597" w14:textId="021C539F" w:rsidR="001E3C88" w:rsidRPr="001E3C88" w:rsidRDefault="001E3C88" w:rsidP="001E3C88">
      <w:pPr>
        <w:spacing w:after="0" w:line="360" w:lineRule="auto"/>
        <w:jc w:val="both"/>
        <w:rPr>
          <w:rFonts w:ascii="Arial" w:hAnsi="Arial" w:cs="Arial"/>
        </w:rPr>
      </w:pPr>
      <w:r w:rsidRPr="001E3C88">
        <w:rPr>
          <w:rFonts w:ascii="Arial" w:hAnsi="Arial" w:cs="Arial"/>
        </w:rPr>
        <w:t>It is quite clear that the issue of safety in public at night is a major issue for many women.</w:t>
      </w:r>
      <w:r w:rsidR="009F3F37">
        <w:rPr>
          <w:rFonts w:ascii="Arial" w:hAnsi="Arial" w:cs="Arial"/>
        </w:rPr>
        <w:t xml:space="preserve"> </w:t>
      </w:r>
      <w:r w:rsidRPr="001E3C88">
        <w:rPr>
          <w:rFonts w:ascii="Arial" w:hAnsi="Arial" w:cs="Arial"/>
        </w:rPr>
        <w:t>The research cited demonstrates that a large number of women are being severely impacted in the freedom of movement; many women are regularly fearful of suffering violence in public spaces; and that many women do in fact suffer abuse and violence in public. That, I argue, raises major human rights claim, which will be discussed next.</w:t>
      </w:r>
    </w:p>
    <w:p w14:paraId="3994ED3A" w14:textId="77777777" w:rsidR="001E3C88" w:rsidRPr="001E3C88" w:rsidRDefault="001E3C88" w:rsidP="001E3C88">
      <w:pPr>
        <w:spacing w:after="0" w:line="360" w:lineRule="auto"/>
        <w:jc w:val="both"/>
        <w:rPr>
          <w:rFonts w:ascii="Arial" w:hAnsi="Arial" w:cs="Arial"/>
        </w:rPr>
      </w:pPr>
    </w:p>
    <w:p w14:paraId="215DAF13" w14:textId="77777777" w:rsidR="001E3C88" w:rsidRPr="001E3C88" w:rsidRDefault="001E3C88" w:rsidP="00C67E89">
      <w:pPr>
        <w:spacing w:after="0" w:line="360" w:lineRule="auto"/>
        <w:jc w:val="both"/>
        <w:rPr>
          <w:rFonts w:ascii="Arial" w:hAnsi="Arial" w:cs="Arial"/>
          <w:b/>
          <w:bCs/>
          <w:i/>
          <w:iCs/>
        </w:rPr>
      </w:pPr>
      <w:r w:rsidRPr="001E3C88">
        <w:rPr>
          <w:rFonts w:ascii="Arial" w:hAnsi="Arial" w:cs="Arial"/>
          <w:b/>
          <w:bCs/>
          <w:i/>
          <w:iCs/>
        </w:rPr>
        <w:t>The Positive Obligations to Protect</w:t>
      </w:r>
    </w:p>
    <w:p w14:paraId="2212400D" w14:textId="77777777" w:rsidR="001E3C88" w:rsidRPr="001E3C88" w:rsidRDefault="001E3C88" w:rsidP="001E3C88">
      <w:pPr>
        <w:spacing w:after="0" w:line="360" w:lineRule="auto"/>
        <w:jc w:val="both"/>
        <w:rPr>
          <w:rFonts w:ascii="Arial" w:hAnsi="Arial" w:cs="Arial"/>
        </w:rPr>
      </w:pPr>
    </w:p>
    <w:p w14:paraId="312FE586" w14:textId="66D97FEA" w:rsidR="001E3C88" w:rsidRDefault="001E3C88" w:rsidP="001E3C88">
      <w:pPr>
        <w:spacing w:after="0" w:line="360" w:lineRule="auto"/>
        <w:jc w:val="both"/>
        <w:rPr>
          <w:rFonts w:ascii="Arial" w:hAnsi="Arial" w:cs="Arial"/>
        </w:rPr>
      </w:pPr>
      <w:r w:rsidRPr="001E3C88">
        <w:rPr>
          <w:rFonts w:ascii="Arial" w:hAnsi="Arial" w:cs="Arial"/>
        </w:rPr>
        <w:t>Historically</w:t>
      </w:r>
      <w:r w:rsidR="00C67E89">
        <w:rPr>
          <w:rFonts w:ascii="Arial" w:hAnsi="Arial" w:cs="Arial"/>
        </w:rPr>
        <w:t>,</w:t>
      </w:r>
      <w:r w:rsidRPr="001E3C88">
        <w:rPr>
          <w:rFonts w:ascii="Arial" w:hAnsi="Arial" w:cs="Arial"/>
        </w:rPr>
        <w:t xml:space="preserve"> human rights operated as a constraint on the state.</w:t>
      </w:r>
      <w:r w:rsidR="009F3F37">
        <w:rPr>
          <w:rFonts w:ascii="Arial" w:hAnsi="Arial" w:cs="Arial"/>
        </w:rPr>
        <w:t xml:space="preserve"> </w:t>
      </w:r>
      <w:r w:rsidRPr="001E3C88">
        <w:rPr>
          <w:rFonts w:ascii="Arial" w:hAnsi="Arial" w:cs="Arial"/>
        </w:rPr>
        <w:t>In other words, they prevented the state from acting in ways which infringed important human interests.</w:t>
      </w:r>
      <w:r w:rsidRPr="001E3C88" w:rsidDel="00304462">
        <w:rPr>
          <w:rFonts w:ascii="Arial" w:hAnsi="Arial" w:cs="Arial"/>
        </w:rPr>
        <w:t xml:space="preserve"> </w:t>
      </w:r>
      <w:r w:rsidRPr="001E3C88">
        <w:rPr>
          <w:rFonts w:ascii="Arial" w:hAnsi="Arial" w:cs="Arial"/>
        </w:rPr>
        <w:t>However, in recent decades</w:t>
      </w:r>
      <w:r w:rsidR="00C67E89">
        <w:rPr>
          <w:rFonts w:ascii="Arial" w:hAnsi="Arial" w:cs="Arial"/>
        </w:rPr>
        <w:t>,</w:t>
      </w:r>
      <w:r w:rsidRPr="001E3C88">
        <w:rPr>
          <w:rFonts w:ascii="Arial" w:hAnsi="Arial" w:cs="Arial"/>
        </w:rPr>
        <w:t xml:space="preserve"> it has been widely accepted that human rights can also impose positive obligations on the state.</w:t>
      </w:r>
      <w:r w:rsidRPr="001E3C88">
        <w:rPr>
          <w:rFonts w:ascii="Arial" w:hAnsi="Arial" w:cs="Arial"/>
          <w:vertAlign w:val="superscript"/>
        </w:rPr>
        <w:footnoteReference w:id="8"/>
      </w:r>
      <w:r w:rsidR="009F3F37">
        <w:rPr>
          <w:rFonts w:ascii="Arial" w:hAnsi="Arial" w:cs="Arial"/>
        </w:rPr>
        <w:t xml:space="preserve"> </w:t>
      </w:r>
      <w:r w:rsidRPr="001E3C88">
        <w:rPr>
          <w:rFonts w:ascii="Arial" w:hAnsi="Arial" w:cs="Arial"/>
        </w:rPr>
        <w:t>There are three primary reasons for this.</w:t>
      </w:r>
      <w:r w:rsidR="009F3F37">
        <w:rPr>
          <w:rFonts w:ascii="Arial" w:hAnsi="Arial" w:cs="Arial"/>
        </w:rPr>
        <w:t xml:space="preserve"> </w:t>
      </w:r>
    </w:p>
    <w:p w14:paraId="2F114450" w14:textId="77777777" w:rsidR="00C67E89" w:rsidRPr="001E3C88" w:rsidRDefault="00C67E89" w:rsidP="001E3C88">
      <w:pPr>
        <w:spacing w:after="0" w:line="360" w:lineRule="auto"/>
        <w:jc w:val="both"/>
        <w:rPr>
          <w:rFonts w:ascii="Arial" w:hAnsi="Arial" w:cs="Arial"/>
        </w:rPr>
      </w:pPr>
    </w:p>
    <w:p w14:paraId="1815EB10" w14:textId="77777777" w:rsidR="00AE0960" w:rsidRDefault="001E3C88" w:rsidP="00C67E89">
      <w:pPr>
        <w:spacing w:after="0" w:line="360" w:lineRule="auto"/>
        <w:ind w:firstLine="720"/>
        <w:jc w:val="both"/>
        <w:rPr>
          <w:rFonts w:ascii="Arial" w:hAnsi="Arial" w:cs="Arial"/>
        </w:rPr>
      </w:pPr>
      <w:r w:rsidRPr="001E3C88">
        <w:rPr>
          <w:rFonts w:ascii="Arial" w:hAnsi="Arial" w:cs="Arial"/>
        </w:rPr>
        <w:t>First, some rights in their nature require positive action.</w:t>
      </w:r>
      <w:r w:rsidR="009F3F37">
        <w:rPr>
          <w:rFonts w:ascii="Arial" w:hAnsi="Arial" w:cs="Arial"/>
        </w:rPr>
        <w:t xml:space="preserve"> </w:t>
      </w:r>
      <w:r w:rsidRPr="001E3C88">
        <w:rPr>
          <w:rFonts w:ascii="Arial" w:hAnsi="Arial" w:cs="Arial"/>
        </w:rPr>
        <w:t>The right to health, for example, can only be met by the state providing or facilitating health services for its citizens.</w:t>
      </w:r>
      <w:r w:rsidR="009F3F37">
        <w:rPr>
          <w:rFonts w:ascii="Arial" w:hAnsi="Arial" w:cs="Arial"/>
        </w:rPr>
        <w:t xml:space="preserve"> </w:t>
      </w:r>
      <w:r w:rsidRPr="001E3C88">
        <w:rPr>
          <w:rFonts w:ascii="Arial" w:hAnsi="Arial" w:cs="Arial"/>
        </w:rPr>
        <w:t>Indeed, a broad range of social and economic rights fall into this category.</w:t>
      </w:r>
      <w:r w:rsidRPr="001E3C88">
        <w:rPr>
          <w:rFonts w:ascii="Arial" w:hAnsi="Arial" w:cs="Arial"/>
          <w:vertAlign w:val="superscript"/>
        </w:rPr>
        <w:footnoteReference w:id="9"/>
      </w:r>
      <w:r w:rsidR="009F3F37">
        <w:rPr>
          <w:rFonts w:ascii="Arial" w:hAnsi="Arial" w:cs="Arial"/>
        </w:rPr>
        <w:t xml:space="preserve"> </w:t>
      </w:r>
      <w:r w:rsidRPr="001E3C88">
        <w:rPr>
          <w:rFonts w:ascii="Arial" w:hAnsi="Arial" w:cs="Arial"/>
        </w:rPr>
        <w:t>If human rights only ever worked to prevent the state behaving in certain ways, their impact would be greatly reduced, indeed some rights, such as the right to health, would become extremely limited and people’s interests in their health would not effectively be protected.</w:t>
      </w:r>
      <w:r w:rsidR="009F3F37">
        <w:rPr>
          <w:rFonts w:ascii="Arial" w:hAnsi="Arial" w:cs="Arial"/>
        </w:rPr>
        <w:t xml:space="preserve"> </w:t>
      </w:r>
      <w:r w:rsidRPr="001E3C88">
        <w:rPr>
          <w:rFonts w:ascii="Arial" w:hAnsi="Arial" w:cs="Arial"/>
        </w:rPr>
        <w:t>By requiring positive acts of the state, rights can be an effective way of ensuring citizen’s core needs are met.</w:t>
      </w:r>
      <w:r w:rsidR="009F3F37">
        <w:rPr>
          <w:rFonts w:ascii="Arial" w:hAnsi="Arial" w:cs="Arial"/>
        </w:rPr>
        <w:t xml:space="preserve"> </w:t>
      </w:r>
    </w:p>
    <w:p w14:paraId="1B0414CA" w14:textId="77777777" w:rsidR="00AE0960" w:rsidRDefault="00AE0960" w:rsidP="00C67E89">
      <w:pPr>
        <w:spacing w:after="0" w:line="360" w:lineRule="auto"/>
        <w:ind w:firstLine="720"/>
        <w:jc w:val="both"/>
        <w:rPr>
          <w:rFonts w:ascii="Arial" w:hAnsi="Arial" w:cs="Arial"/>
        </w:rPr>
      </w:pPr>
    </w:p>
    <w:p w14:paraId="1585255E" w14:textId="1BE77F1C" w:rsidR="001E3C88" w:rsidRDefault="001E3C88" w:rsidP="00C67E89">
      <w:pPr>
        <w:spacing w:after="0" w:line="360" w:lineRule="auto"/>
        <w:ind w:firstLine="720"/>
        <w:jc w:val="both"/>
        <w:rPr>
          <w:rFonts w:ascii="Arial" w:hAnsi="Arial" w:cs="Arial"/>
        </w:rPr>
      </w:pPr>
      <w:r w:rsidRPr="001E3C88">
        <w:rPr>
          <w:rFonts w:ascii="Arial" w:hAnsi="Arial" w:cs="Arial"/>
        </w:rPr>
        <w:t>The second is that an interference in a person’s rights can come not just from the state but from other citizens.</w:t>
      </w:r>
      <w:r w:rsidR="009F3F37">
        <w:rPr>
          <w:rFonts w:ascii="Arial" w:hAnsi="Arial" w:cs="Arial"/>
        </w:rPr>
        <w:t xml:space="preserve"> </w:t>
      </w:r>
      <w:r w:rsidRPr="001E3C88">
        <w:rPr>
          <w:rFonts w:ascii="Arial" w:hAnsi="Arial" w:cs="Arial"/>
        </w:rPr>
        <w:t>While a negative right might prevent a person’s rights being interfered with by the state, a positive right on the state to protect individual citizens from other citizens is required to protect the right fully.</w:t>
      </w:r>
      <w:r w:rsidR="009F3F37">
        <w:rPr>
          <w:rFonts w:ascii="Arial" w:hAnsi="Arial" w:cs="Arial"/>
        </w:rPr>
        <w:t xml:space="preserve"> </w:t>
      </w:r>
      <w:r w:rsidRPr="001E3C88">
        <w:rPr>
          <w:rFonts w:ascii="Arial" w:hAnsi="Arial" w:cs="Arial"/>
        </w:rPr>
        <w:t>It is that latter sense which is the primary focus of the discussion in this paper.</w:t>
      </w:r>
      <w:r w:rsidR="009F3F37">
        <w:rPr>
          <w:rFonts w:ascii="Arial" w:hAnsi="Arial" w:cs="Arial"/>
        </w:rPr>
        <w:t xml:space="preserve"> </w:t>
      </w:r>
    </w:p>
    <w:p w14:paraId="44E4EB6F" w14:textId="77777777" w:rsidR="00AE0960" w:rsidRPr="001E3C88" w:rsidRDefault="00AE0960" w:rsidP="00C67E89">
      <w:pPr>
        <w:spacing w:after="0" w:line="360" w:lineRule="auto"/>
        <w:ind w:firstLine="720"/>
        <w:jc w:val="both"/>
        <w:rPr>
          <w:rFonts w:ascii="Arial" w:hAnsi="Arial" w:cs="Arial"/>
        </w:rPr>
      </w:pPr>
    </w:p>
    <w:p w14:paraId="2FF738E7" w14:textId="2827EE95" w:rsidR="001E3C88" w:rsidRDefault="001E3C88" w:rsidP="00AE0960">
      <w:pPr>
        <w:spacing w:after="0" w:line="360" w:lineRule="auto"/>
        <w:ind w:firstLine="720"/>
        <w:jc w:val="both"/>
        <w:rPr>
          <w:rFonts w:ascii="Arial" w:hAnsi="Arial" w:cs="Arial"/>
        </w:rPr>
      </w:pPr>
      <w:r w:rsidRPr="001E3C88">
        <w:rPr>
          <w:rFonts w:ascii="Arial" w:hAnsi="Arial" w:cs="Arial"/>
        </w:rPr>
        <w:t>Third, recognising positive human rights obligations on the state is particularly important for women.</w:t>
      </w:r>
      <w:r w:rsidR="009F3F37">
        <w:rPr>
          <w:rFonts w:ascii="Arial" w:hAnsi="Arial" w:cs="Arial"/>
        </w:rPr>
        <w:t xml:space="preserve"> </w:t>
      </w:r>
      <w:r w:rsidRPr="001E3C88">
        <w:rPr>
          <w:rFonts w:ascii="Arial" w:hAnsi="Arial" w:cs="Arial"/>
        </w:rPr>
        <w:t>As women are disadvantaged in a wide range of ways within society, without positive interventions from the state these will go without remedy.</w:t>
      </w:r>
      <w:r w:rsidR="009F3F37">
        <w:rPr>
          <w:rFonts w:ascii="Arial" w:hAnsi="Arial" w:cs="Arial"/>
        </w:rPr>
        <w:t xml:space="preserve"> </w:t>
      </w:r>
      <w:r w:rsidRPr="001E3C88">
        <w:rPr>
          <w:rFonts w:ascii="Arial" w:hAnsi="Arial" w:cs="Arial"/>
        </w:rPr>
        <w:t>Positive obligations flowing from human rights are an important part of promoting gender equality.</w:t>
      </w:r>
      <w:r w:rsidRPr="001E3C88">
        <w:rPr>
          <w:rFonts w:ascii="Arial" w:hAnsi="Arial" w:cs="Arial"/>
          <w:vertAlign w:val="superscript"/>
        </w:rPr>
        <w:footnoteReference w:id="10"/>
      </w:r>
    </w:p>
    <w:p w14:paraId="00CAE780" w14:textId="77777777" w:rsidR="00AE0960" w:rsidRPr="001E3C88" w:rsidRDefault="00AE0960" w:rsidP="00AE0960">
      <w:pPr>
        <w:spacing w:after="0" w:line="360" w:lineRule="auto"/>
        <w:ind w:firstLine="720"/>
        <w:jc w:val="both"/>
        <w:rPr>
          <w:rFonts w:ascii="Arial" w:hAnsi="Arial" w:cs="Arial"/>
        </w:rPr>
      </w:pPr>
    </w:p>
    <w:p w14:paraId="3A4EC0C6" w14:textId="6AA7F385" w:rsidR="001E3C88" w:rsidRPr="001E3C88" w:rsidRDefault="001E3C88" w:rsidP="00AE0960">
      <w:pPr>
        <w:spacing w:after="0" w:line="360" w:lineRule="auto"/>
        <w:ind w:firstLine="720"/>
        <w:jc w:val="both"/>
        <w:rPr>
          <w:rFonts w:ascii="Arial" w:hAnsi="Arial" w:cs="Arial"/>
        </w:rPr>
      </w:pPr>
      <w:r w:rsidRPr="001E3C88">
        <w:rPr>
          <w:rFonts w:ascii="Arial" w:hAnsi="Arial" w:cs="Arial"/>
        </w:rPr>
        <w:t>In short, in order to protect women’s rights to life and bodily and psychological security and liberty in public spaces more is need than simply the state itself not killing or harming women.</w:t>
      </w:r>
      <w:r w:rsidR="009F3F37">
        <w:rPr>
          <w:rFonts w:ascii="Arial" w:hAnsi="Arial" w:cs="Arial"/>
        </w:rPr>
        <w:t xml:space="preserve"> </w:t>
      </w:r>
      <w:r w:rsidRPr="001E3C88">
        <w:rPr>
          <w:rFonts w:ascii="Arial" w:hAnsi="Arial" w:cs="Arial"/>
        </w:rPr>
        <w:t xml:space="preserve"> The state has a duty to protect women from others.</w:t>
      </w:r>
      <w:r w:rsidRPr="001E3C88">
        <w:rPr>
          <w:rFonts w:ascii="Arial" w:hAnsi="Arial" w:cs="Arial"/>
          <w:vertAlign w:val="superscript"/>
        </w:rPr>
        <w:footnoteReference w:id="11"/>
      </w:r>
      <w:r w:rsidR="009F3F37">
        <w:rPr>
          <w:rFonts w:ascii="Arial" w:hAnsi="Arial" w:cs="Arial"/>
        </w:rPr>
        <w:t xml:space="preserve"> </w:t>
      </w:r>
      <w:r w:rsidRPr="001E3C88">
        <w:rPr>
          <w:rFonts w:ascii="Arial" w:hAnsi="Arial" w:cs="Arial"/>
        </w:rPr>
        <w:t>The detail of this will be set out by reference to the different rights under the ECHR, although similar points could be made using other human rights documents.</w:t>
      </w:r>
      <w:r w:rsidRPr="001E3C88">
        <w:rPr>
          <w:rFonts w:ascii="Arial" w:hAnsi="Arial" w:cs="Arial"/>
          <w:vertAlign w:val="superscript"/>
        </w:rPr>
        <w:footnoteReference w:id="12"/>
      </w:r>
      <w:r w:rsidR="009F3F37">
        <w:rPr>
          <w:rFonts w:ascii="Arial" w:hAnsi="Arial" w:cs="Arial"/>
        </w:rPr>
        <w:t xml:space="preserve"> </w:t>
      </w:r>
    </w:p>
    <w:p w14:paraId="7A463103" w14:textId="77777777" w:rsidR="001E3C88" w:rsidRPr="001E3C88" w:rsidRDefault="001E3C88" w:rsidP="001E3C88">
      <w:pPr>
        <w:spacing w:after="0" w:line="360" w:lineRule="auto"/>
        <w:jc w:val="both"/>
        <w:rPr>
          <w:rFonts w:ascii="Arial" w:hAnsi="Arial" w:cs="Arial"/>
        </w:rPr>
      </w:pPr>
    </w:p>
    <w:p w14:paraId="71D32C0F" w14:textId="7D8A098E" w:rsidR="001E3C88" w:rsidRPr="001E3C88" w:rsidRDefault="001E3C88" w:rsidP="001E3C88">
      <w:pPr>
        <w:spacing w:after="0" w:line="360" w:lineRule="auto"/>
        <w:jc w:val="both"/>
        <w:rPr>
          <w:rFonts w:ascii="Arial" w:hAnsi="Arial" w:cs="Arial"/>
          <w:b/>
          <w:bCs/>
        </w:rPr>
      </w:pPr>
      <w:r w:rsidRPr="001E3C88">
        <w:rPr>
          <w:rFonts w:ascii="Arial" w:hAnsi="Arial" w:cs="Arial"/>
          <w:b/>
          <w:bCs/>
        </w:rPr>
        <w:t>Article 2</w:t>
      </w:r>
    </w:p>
    <w:p w14:paraId="4D4E31E9" w14:textId="77777777" w:rsidR="001E3C88" w:rsidRPr="001E3C88" w:rsidRDefault="001E3C88" w:rsidP="001E3C88">
      <w:pPr>
        <w:spacing w:after="0" w:line="360" w:lineRule="auto"/>
        <w:jc w:val="both"/>
        <w:rPr>
          <w:rFonts w:ascii="Arial" w:hAnsi="Arial" w:cs="Arial"/>
        </w:rPr>
      </w:pPr>
    </w:p>
    <w:p w14:paraId="4BDD983A" w14:textId="77777777" w:rsidR="001E3C88" w:rsidRPr="001E3C88" w:rsidRDefault="001E3C88" w:rsidP="001E3C88">
      <w:pPr>
        <w:spacing w:after="0" w:line="360" w:lineRule="auto"/>
        <w:jc w:val="both"/>
        <w:rPr>
          <w:rFonts w:ascii="Arial" w:hAnsi="Arial" w:cs="Arial"/>
        </w:rPr>
      </w:pPr>
      <w:r w:rsidRPr="001E3C88">
        <w:rPr>
          <w:rFonts w:ascii="Arial" w:hAnsi="Arial" w:cs="Arial"/>
        </w:rPr>
        <w:t>Article 2 provides:</w:t>
      </w:r>
    </w:p>
    <w:p w14:paraId="0F25C815" w14:textId="77777777" w:rsidR="001E3C88" w:rsidRPr="001E3C88" w:rsidRDefault="001E3C88" w:rsidP="001E3C88">
      <w:pPr>
        <w:numPr>
          <w:ilvl w:val="0"/>
          <w:numId w:val="21"/>
        </w:numPr>
        <w:spacing w:after="0" w:line="360" w:lineRule="auto"/>
        <w:jc w:val="both"/>
        <w:rPr>
          <w:rFonts w:ascii="Arial" w:hAnsi="Arial" w:cs="Arial"/>
        </w:rPr>
      </w:pPr>
      <w:r w:rsidRPr="001E3C88">
        <w:rPr>
          <w:rFonts w:ascii="Arial" w:hAnsi="Arial" w:cs="Arial"/>
        </w:rPr>
        <w:lastRenderedPageBreak/>
        <w:t xml:space="preserve">Everyone's right to life shall be protected by law. No one shall be deprived of his life intentionally save in the execution of a sentence of a court following his conviction of a crime for which this penalty is provided by law. </w:t>
      </w:r>
    </w:p>
    <w:p w14:paraId="37798D65" w14:textId="77777777" w:rsidR="001E3C88" w:rsidRPr="001E3C88" w:rsidRDefault="001E3C88" w:rsidP="001E3C88">
      <w:pPr>
        <w:numPr>
          <w:ilvl w:val="0"/>
          <w:numId w:val="21"/>
        </w:numPr>
        <w:spacing w:after="0" w:line="360" w:lineRule="auto"/>
        <w:jc w:val="both"/>
        <w:rPr>
          <w:rFonts w:ascii="Arial" w:hAnsi="Arial" w:cs="Arial"/>
        </w:rPr>
      </w:pPr>
      <w:r w:rsidRPr="001E3C88">
        <w:rPr>
          <w:rFonts w:ascii="Arial" w:hAnsi="Arial" w:cs="Arial"/>
        </w:rPr>
        <w:t xml:space="preserve">Deprivation of life shall not be regarded as inflicted in contravention of this article when it results from the use of force which is no more than absolutely necessary: </w:t>
      </w:r>
    </w:p>
    <w:p w14:paraId="4D322545" w14:textId="77777777" w:rsidR="001E3C88" w:rsidRPr="001E3C88" w:rsidRDefault="001E3C88" w:rsidP="0028657B">
      <w:pPr>
        <w:spacing w:after="0" w:line="360" w:lineRule="auto"/>
        <w:ind w:firstLine="720"/>
        <w:jc w:val="both"/>
        <w:rPr>
          <w:rFonts w:ascii="Arial" w:hAnsi="Arial" w:cs="Arial"/>
        </w:rPr>
      </w:pPr>
      <w:r w:rsidRPr="001E3C88">
        <w:rPr>
          <w:rFonts w:ascii="Arial" w:hAnsi="Arial" w:cs="Arial"/>
        </w:rPr>
        <w:t xml:space="preserve">(a) in defence of any person from unlawful violence; </w:t>
      </w:r>
    </w:p>
    <w:p w14:paraId="17CCB025" w14:textId="77777777" w:rsidR="001E3C88" w:rsidRPr="001E3C88" w:rsidRDefault="001E3C88" w:rsidP="0028657B">
      <w:pPr>
        <w:spacing w:after="0" w:line="360" w:lineRule="auto"/>
        <w:ind w:firstLine="720"/>
        <w:jc w:val="both"/>
        <w:rPr>
          <w:rFonts w:ascii="Arial" w:hAnsi="Arial" w:cs="Arial"/>
        </w:rPr>
      </w:pPr>
      <w:r w:rsidRPr="001E3C88">
        <w:rPr>
          <w:rFonts w:ascii="Arial" w:hAnsi="Arial" w:cs="Arial"/>
        </w:rPr>
        <w:t xml:space="preserve">(b) in order to effect a lawful arrest or to prevent escape of a person lawfully detained; </w:t>
      </w:r>
    </w:p>
    <w:p w14:paraId="228E3A62" w14:textId="77777777" w:rsidR="001E3C88" w:rsidRPr="001E3C88" w:rsidRDefault="001E3C88" w:rsidP="0028657B">
      <w:pPr>
        <w:spacing w:after="0" w:line="360" w:lineRule="auto"/>
        <w:ind w:firstLine="720"/>
        <w:jc w:val="both"/>
        <w:rPr>
          <w:rFonts w:ascii="Arial" w:hAnsi="Arial" w:cs="Arial"/>
        </w:rPr>
      </w:pPr>
      <w:r w:rsidRPr="001E3C88">
        <w:rPr>
          <w:rFonts w:ascii="Arial" w:hAnsi="Arial" w:cs="Arial"/>
        </w:rPr>
        <w:t xml:space="preserve">(c) in action lawfully taken for the purpose of quelling a riot or insurrection. </w:t>
      </w:r>
    </w:p>
    <w:p w14:paraId="45628B42" w14:textId="77777777" w:rsidR="001E3C88" w:rsidRPr="001E3C88" w:rsidRDefault="001E3C88" w:rsidP="001E3C88">
      <w:pPr>
        <w:spacing w:after="0" w:line="360" w:lineRule="auto"/>
        <w:jc w:val="both"/>
        <w:rPr>
          <w:rFonts w:ascii="Arial" w:hAnsi="Arial" w:cs="Arial"/>
        </w:rPr>
      </w:pPr>
    </w:p>
    <w:p w14:paraId="70852BA8" w14:textId="5C24400A" w:rsidR="001E3C88" w:rsidRDefault="001E3C88" w:rsidP="001E3C88">
      <w:pPr>
        <w:spacing w:after="0" w:line="360" w:lineRule="auto"/>
        <w:jc w:val="both"/>
        <w:rPr>
          <w:rFonts w:ascii="Arial" w:hAnsi="Arial" w:cs="Arial"/>
        </w:rPr>
      </w:pPr>
      <w:r w:rsidRPr="001E3C88">
        <w:rPr>
          <w:rFonts w:ascii="Arial" w:hAnsi="Arial" w:cs="Arial"/>
        </w:rPr>
        <w:t>Under Article 2 the state has the obligation to protect a person from a threat to their life.</w:t>
      </w:r>
      <w:r w:rsidRPr="001E3C88">
        <w:rPr>
          <w:rFonts w:ascii="Arial" w:hAnsi="Arial" w:cs="Arial"/>
          <w:vertAlign w:val="superscript"/>
        </w:rPr>
        <w:footnoteReference w:id="13"/>
      </w:r>
      <w:r w:rsidR="009F3F37">
        <w:rPr>
          <w:rFonts w:ascii="Arial" w:hAnsi="Arial" w:cs="Arial"/>
        </w:rPr>
        <w:t xml:space="preserve"> </w:t>
      </w:r>
      <w:r w:rsidRPr="001E3C88">
        <w:rPr>
          <w:rFonts w:ascii="Arial" w:hAnsi="Arial" w:cs="Arial"/>
        </w:rPr>
        <w:t>There are two key aspects of this.</w:t>
      </w:r>
      <w:r w:rsidR="009F3F37">
        <w:rPr>
          <w:rFonts w:ascii="Arial" w:hAnsi="Arial" w:cs="Arial"/>
        </w:rPr>
        <w:t xml:space="preserve"> </w:t>
      </w:r>
      <w:r w:rsidRPr="001E3C88">
        <w:rPr>
          <w:rFonts w:ascii="Arial" w:hAnsi="Arial" w:cs="Arial"/>
        </w:rPr>
        <w:t>First, the law has a general duty to ensure there are effective criminal law provisions to prevent homicide.</w:t>
      </w:r>
      <w:r w:rsidR="009F3F37">
        <w:rPr>
          <w:rFonts w:ascii="Arial" w:hAnsi="Arial" w:cs="Arial"/>
        </w:rPr>
        <w:t xml:space="preserve"> </w:t>
      </w:r>
      <w:r w:rsidRPr="001E3C88">
        <w:rPr>
          <w:rFonts w:ascii="Arial" w:hAnsi="Arial" w:cs="Arial"/>
        </w:rPr>
        <w:t>Second, there can be specific obligation to protect people who pose a known threat.</w:t>
      </w:r>
      <w:r w:rsidRPr="001E3C88">
        <w:rPr>
          <w:rFonts w:ascii="Arial" w:hAnsi="Arial" w:cs="Arial"/>
          <w:vertAlign w:val="superscript"/>
        </w:rPr>
        <w:footnoteReference w:id="14"/>
      </w:r>
      <w:r w:rsidR="009F3F37">
        <w:rPr>
          <w:rFonts w:ascii="Arial" w:hAnsi="Arial" w:cs="Arial"/>
        </w:rPr>
        <w:t xml:space="preserve"> </w:t>
      </w:r>
    </w:p>
    <w:p w14:paraId="476E9957" w14:textId="77777777" w:rsidR="007F131C" w:rsidRPr="001E3C88" w:rsidRDefault="007F131C" w:rsidP="001E3C88">
      <w:pPr>
        <w:spacing w:after="0" w:line="360" w:lineRule="auto"/>
        <w:jc w:val="both"/>
        <w:rPr>
          <w:rFonts w:ascii="Arial" w:hAnsi="Arial" w:cs="Arial"/>
        </w:rPr>
      </w:pPr>
    </w:p>
    <w:p w14:paraId="3FE8AD37" w14:textId="2B3AA9CB" w:rsidR="001E3C88" w:rsidRPr="001E3C88" w:rsidRDefault="001E3C88" w:rsidP="007F131C">
      <w:pPr>
        <w:spacing w:after="0" w:line="360" w:lineRule="auto"/>
        <w:ind w:firstLine="720"/>
        <w:jc w:val="both"/>
        <w:rPr>
          <w:rFonts w:ascii="Arial" w:hAnsi="Arial" w:cs="Arial"/>
        </w:rPr>
      </w:pPr>
      <w:r w:rsidRPr="001E3C88">
        <w:rPr>
          <w:rFonts w:ascii="Arial" w:hAnsi="Arial" w:cs="Arial"/>
        </w:rPr>
        <w:t>In our context it is the first of these aspects which is more important.</w:t>
      </w:r>
      <w:r w:rsidR="009F3F37">
        <w:rPr>
          <w:rFonts w:ascii="Arial" w:hAnsi="Arial" w:cs="Arial"/>
        </w:rPr>
        <w:t xml:space="preserve"> </w:t>
      </w:r>
      <w:r w:rsidRPr="001E3C88">
        <w:rPr>
          <w:rFonts w:ascii="Arial" w:hAnsi="Arial" w:cs="Arial"/>
        </w:rPr>
        <w:t xml:space="preserve">According to </w:t>
      </w:r>
      <w:r w:rsidRPr="001E3C88">
        <w:rPr>
          <w:rFonts w:ascii="Arial" w:hAnsi="Arial" w:cs="Arial"/>
          <w:i/>
          <w:iCs/>
        </w:rPr>
        <w:t xml:space="preserve">Menson v UK </w:t>
      </w:r>
      <w:r w:rsidRPr="001E3C88">
        <w:rPr>
          <w:rFonts w:ascii="Arial" w:hAnsi="Arial" w:cs="Arial"/>
        </w:rPr>
        <w:t>(2003)</w:t>
      </w:r>
      <w:r w:rsidR="007F131C">
        <w:rPr>
          <w:rFonts w:ascii="Arial" w:hAnsi="Arial" w:cs="Arial"/>
        </w:rPr>
        <w:t>,</w:t>
      </w:r>
      <w:r w:rsidRPr="001E3C88">
        <w:rPr>
          <w:rFonts w:ascii="Arial" w:hAnsi="Arial" w:cs="Arial"/>
        </w:rPr>
        <w:t xml:space="preserve"> this imposes</w:t>
      </w:r>
      <w:r w:rsidR="007F131C">
        <w:rPr>
          <w:rFonts w:ascii="Arial" w:hAnsi="Arial" w:cs="Arial"/>
        </w:rPr>
        <w:t>:</w:t>
      </w:r>
    </w:p>
    <w:p w14:paraId="5C49E115" w14:textId="77777777" w:rsidR="001E3C88" w:rsidRPr="001E3C88" w:rsidRDefault="001E3C88" w:rsidP="001E3C88">
      <w:pPr>
        <w:spacing w:after="0" w:line="360" w:lineRule="auto"/>
        <w:jc w:val="both"/>
        <w:rPr>
          <w:rFonts w:ascii="Arial" w:hAnsi="Arial" w:cs="Arial"/>
        </w:rPr>
      </w:pPr>
    </w:p>
    <w:p w14:paraId="194CD51F" w14:textId="0490A74B" w:rsidR="001E3C88" w:rsidRPr="001E3C88" w:rsidRDefault="001E3C88" w:rsidP="007F131C">
      <w:pPr>
        <w:spacing w:after="0" w:line="360" w:lineRule="auto"/>
        <w:ind w:left="709" w:right="521"/>
        <w:jc w:val="both"/>
        <w:rPr>
          <w:rFonts w:ascii="Arial" w:hAnsi="Arial" w:cs="Arial"/>
        </w:rPr>
      </w:pPr>
      <w:r w:rsidRPr="001E3C88">
        <w:rPr>
          <w:rFonts w:ascii="Arial" w:hAnsi="Arial" w:cs="Arial"/>
        </w:rPr>
        <w:t>a duty on that State to secure the right to life by putting in place effective criminal law provisions to deter the commission of offences against a person backed up by law enforcement machinery for the prevention of suppression and punishment of breaches of such provisions.</w:t>
      </w:r>
      <w:r w:rsidR="007F131C" w:rsidRPr="001E3C88">
        <w:rPr>
          <w:rFonts w:ascii="Arial" w:hAnsi="Arial" w:cs="Arial"/>
          <w:vertAlign w:val="superscript"/>
        </w:rPr>
        <w:footnoteReference w:id="15"/>
      </w:r>
      <w:r w:rsidR="007F131C" w:rsidRPr="001E3C88">
        <w:rPr>
          <w:rFonts w:ascii="Arial" w:hAnsi="Arial" w:cs="Arial"/>
        </w:rPr>
        <w:t xml:space="preserve"> </w:t>
      </w:r>
      <w:r w:rsidRPr="001E3C88">
        <w:rPr>
          <w:rFonts w:ascii="Arial" w:hAnsi="Arial" w:cs="Arial"/>
        </w:rPr>
        <w:t xml:space="preserve"> </w:t>
      </w:r>
    </w:p>
    <w:p w14:paraId="3398CEB8" w14:textId="77777777" w:rsidR="001E3C88" w:rsidRPr="001E3C88" w:rsidRDefault="001E3C88" w:rsidP="001E3C88">
      <w:pPr>
        <w:spacing w:after="0" w:line="360" w:lineRule="auto"/>
        <w:jc w:val="both"/>
        <w:rPr>
          <w:rFonts w:ascii="Arial" w:hAnsi="Arial" w:cs="Arial"/>
        </w:rPr>
      </w:pPr>
    </w:p>
    <w:p w14:paraId="083F3520" w14:textId="3C6E93DB" w:rsidR="001E3C88" w:rsidRPr="001E3C88" w:rsidRDefault="001E3C88" w:rsidP="001E3C88">
      <w:pPr>
        <w:spacing w:after="0" w:line="360" w:lineRule="auto"/>
        <w:jc w:val="both"/>
        <w:rPr>
          <w:rFonts w:ascii="Arial" w:hAnsi="Arial" w:cs="Arial"/>
        </w:rPr>
      </w:pPr>
      <w:r w:rsidRPr="001E3C88">
        <w:rPr>
          <w:rFonts w:ascii="Arial" w:hAnsi="Arial" w:cs="Arial"/>
        </w:rPr>
        <w:t>This duty requires the state to put in place sufficient laws to protect women’s lives.</w:t>
      </w:r>
      <w:r w:rsidR="009F3F37">
        <w:rPr>
          <w:rFonts w:ascii="Arial" w:hAnsi="Arial" w:cs="Arial"/>
        </w:rPr>
        <w:t xml:space="preserve"> </w:t>
      </w:r>
    </w:p>
    <w:p w14:paraId="02C9F79D" w14:textId="77777777" w:rsidR="007F131C" w:rsidRDefault="007F131C" w:rsidP="001E3C88">
      <w:pPr>
        <w:spacing w:after="0" w:line="360" w:lineRule="auto"/>
        <w:jc w:val="both"/>
        <w:rPr>
          <w:rFonts w:ascii="Arial" w:hAnsi="Arial" w:cs="Arial"/>
        </w:rPr>
      </w:pPr>
    </w:p>
    <w:p w14:paraId="7BE5BCA7" w14:textId="792B0774" w:rsidR="001E3C88" w:rsidRPr="001E3C88" w:rsidRDefault="001E3C88" w:rsidP="007F131C">
      <w:pPr>
        <w:spacing w:after="0" w:line="360" w:lineRule="auto"/>
        <w:ind w:firstLine="720"/>
        <w:jc w:val="both"/>
        <w:rPr>
          <w:rFonts w:ascii="Arial" w:hAnsi="Arial" w:cs="Arial"/>
        </w:rPr>
      </w:pPr>
      <w:r w:rsidRPr="001E3C88">
        <w:rPr>
          <w:rFonts w:ascii="Arial" w:hAnsi="Arial" w:cs="Arial"/>
        </w:rPr>
        <w:t>In fact, the number of killings of women in public spaces is low.</w:t>
      </w:r>
      <w:r w:rsidR="009F3F37">
        <w:rPr>
          <w:rFonts w:ascii="Arial" w:hAnsi="Arial" w:cs="Arial"/>
        </w:rPr>
        <w:t xml:space="preserve"> </w:t>
      </w:r>
      <w:r w:rsidRPr="001E3C88">
        <w:rPr>
          <w:rFonts w:ascii="Arial" w:hAnsi="Arial" w:cs="Arial"/>
        </w:rPr>
        <w:t>There were 198 women victims of homicide for England and Wales in the year ending 2022.</w:t>
      </w:r>
      <w:r w:rsidR="009F3F37">
        <w:rPr>
          <w:rFonts w:ascii="Arial" w:hAnsi="Arial" w:cs="Arial"/>
        </w:rPr>
        <w:t xml:space="preserve"> </w:t>
      </w:r>
      <w:r w:rsidRPr="001E3C88">
        <w:rPr>
          <w:rFonts w:ascii="Arial" w:hAnsi="Arial" w:cs="Arial"/>
        </w:rPr>
        <w:t>In only 7 cases was a woman killed by a stranger.</w:t>
      </w:r>
      <w:r w:rsidRPr="001E3C88">
        <w:rPr>
          <w:rFonts w:ascii="Arial" w:hAnsi="Arial" w:cs="Arial"/>
          <w:vertAlign w:val="superscript"/>
        </w:rPr>
        <w:footnoteReference w:id="16"/>
      </w:r>
      <w:r w:rsidR="009F3F37">
        <w:rPr>
          <w:rFonts w:ascii="Arial" w:hAnsi="Arial" w:cs="Arial"/>
        </w:rPr>
        <w:t xml:space="preserve"> </w:t>
      </w:r>
      <w:r w:rsidRPr="001E3C88">
        <w:rPr>
          <w:rFonts w:ascii="Arial" w:hAnsi="Arial" w:cs="Arial"/>
        </w:rPr>
        <w:t>These statistics will become relevant when we consider whether the state is required to impose a male curfew to fulfil its Article 2 duty.</w:t>
      </w:r>
      <w:r w:rsidR="009F3F37">
        <w:rPr>
          <w:rFonts w:ascii="Arial" w:hAnsi="Arial" w:cs="Arial"/>
        </w:rPr>
        <w:t xml:space="preserve"> </w:t>
      </w:r>
      <w:r w:rsidRPr="001E3C88">
        <w:rPr>
          <w:rFonts w:ascii="Arial" w:hAnsi="Arial" w:cs="Arial"/>
        </w:rPr>
        <w:t xml:space="preserve">It may be the rarity of public killings of women mean that Article 2 obligations alone are insufficient to justify a male curfew, but once other rights are brought in the case for a curfew becomes stronger. </w:t>
      </w:r>
    </w:p>
    <w:p w14:paraId="37833D11" w14:textId="77777777" w:rsidR="001E3C88" w:rsidRDefault="001E3C88" w:rsidP="001E3C88">
      <w:pPr>
        <w:spacing w:after="0" w:line="360" w:lineRule="auto"/>
        <w:jc w:val="both"/>
        <w:rPr>
          <w:rFonts w:ascii="Arial" w:hAnsi="Arial" w:cs="Arial"/>
        </w:rPr>
      </w:pPr>
    </w:p>
    <w:p w14:paraId="63839861" w14:textId="77777777" w:rsidR="00895EF8" w:rsidRDefault="00895EF8" w:rsidP="001E3C88">
      <w:pPr>
        <w:spacing w:after="0" w:line="360" w:lineRule="auto"/>
        <w:jc w:val="both"/>
        <w:rPr>
          <w:rFonts w:ascii="Arial" w:hAnsi="Arial" w:cs="Arial"/>
        </w:rPr>
      </w:pPr>
    </w:p>
    <w:p w14:paraId="38FF6041" w14:textId="77777777" w:rsidR="00895EF8" w:rsidRPr="001E3C88" w:rsidRDefault="00895EF8" w:rsidP="001E3C88">
      <w:pPr>
        <w:spacing w:after="0" w:line="360" w:lineRule="auto"/>
        <w:jc w:val="both"/>
        <w:rPr>
          <w:rFonts w:ascii="Arial" w:hAnsi="Arial" w:cs="Arial"/>
        </w:rPr>
      </w:pPr>
    </w:p>
    <w:p w14:paraId="40CA8C51" w14:textId="192CE8ED" w:rsidR="001E3C88" w:rsidRPr="001E3C88" w:rsidRDefault="001E3C88" w:rsidP="001E3C88">
      <w:pPr>
        <w:spacing w:after="0" w:line="360" w:lineRule="auto"/>
        <w:jc w:val="both"/>
        <w:rPr>
          <w:rFonts w:ascii="Arial" w:hAnsi="Arial" w:cs="Arial"/>
          <w:b/>
          <w:bCs/>
        </w:rPr>
      </w:pPr>
      <w:r w:rsidRPr="001E3C88">
        <w:rPr>
          <w:rFonts w:ascii="Arial" w:hAnsi="Arial" w:cs="Arial"/>
          <w:b/>
          <w:bCs/>
        </w:rPr>
        <w:lastRenderedPageBreak/>
        <w:t>Article 3</w:t>
      </w:r>
    </w:p>
    <w:p w14:paraId="3575E2C8" w14:textId="77777777" w:rsidR="001E3C88" w:rsidRPr="001E3C88" w:rsidRDefault="001E3C88" w:rsidP="001E3C88">
      <w:pPr>
        <w:spacing w:after="0" w:line="360" w:lineRule="auto"/>
        <w:jc w:val="both"/>
        <w:rPr>
          <w:rFonts w:ascii="Arial" w:hAnsi="Arial" w:cs="Arial"/>
          <w:b/>
        </w:rPr>
      </w:pPr>
    </w:p>
    <w:p w14:paraId="0689E6F4" w14:textId="77777777" w:rsidR="001E3C88" w:rsidRPr="001E3C88" w:rsidRDefault="001E3C88" w:rsidP="001E3C88">
      <w:pPr>
        <w:spacing w:after="0" w:line="360" w:lineRule="auto"/>
        <w:jc w:val="both"/>
        <w:rPr>
          <w:rFonts w:ascii="Arial" w:hAnsi="Arial" w:cs="Arial"/>
        </w:rPr>
      </w:pPr>
      <w:r w:rsidRPr="001E3C88">
        <w:rPr>
          <w:rFonts w:ascii="Arial" w:hAnsi="Arial" w:cs="Arial"/>
        </w:rPr>
        <w:t>Article 3 provides:</w:t>
      </w:r>
    </w:p>
    <w:p w14:paraId="736DDF60" w14:textId="77777777" w:rsidR="001E3C88" w:rsidRPr="001E3C88" w:rsidRDefault="001E3C88" w:rsidP="001E3C88">
      <w:pPr>
        <w:spacing w:after="0" w:line="360" w:lineRule="auto"/>
        <w:jc w:val="both"/>
        <w:rPr>
          <w:rFonts w:ascii="Arial" w:hAnsi="Arial" w:cs="Arial"/>
        </w:rPr>
      </w:pPr>
    </w:p>
    <w:p w14:paraId="591F63AE" w14:textId="0D11D32C" w:rsidR="001E3C88" w:rsidRPr="001E3C88" w:rsidRDefault="001E3C88" w:rsidP="009F4834">
      <w:pPr>
        <w:spacing w:after="0" w:line="360" w:lineRule="auto"/>
        <w:ind w:firstLine="720"/>
        <w:jc w:val="both"/>
        <w:rPr>
          <w:rFonts w:ascii="Arial" w:hAnsi="Arial" w:cs="Arial"/>
        </w:rPr>
      </w:pPr>
      <w:r w:rsidRPr="001E3C88">
        <w:rPr>
          <w:rFonts w:ascii="Arial" w:hAnsi="Arial" w:cs="Arial"/>
        </w:rPr>
        <w:t>No one shall be subject to torture or to inhuman or degrading treatment or punishment.</w:t>
      </w:r>
      <w:r w:rsidR="009F3F37">
        <w:rPr>
          <w:rFonts w:ascii="Arial" w:hAnsi="Arial" w:cs="Arial"/>
        </w:rPr>
        <w:t xml:space="preserve"> </w:t>
      </w:r>
    </w:p>
    <w:p w14:paraId="243FE327" w14:textId="77777777" w:rsidR="001E3C88" w:rsidRPr="001E3C88" w:rsidRDefault="001E3C88" w:rsidP="001E3C88">
      <w:pPr>
        <w:spacing w:after="0" w:line="360" w:lineRule="auto"/>
        <w:jc w:val="both"/>
        <w:rPr>
          <w:rFonts w:ascii="Arial" w:hAnsi="Arial" w:cs="Arial"/>
        </w:rPr>
      </w:pPr>
    </w:p>
    <w:p w14:paraId="41FA19F2" w14:textId="5D8C2023" w:rsidR="001E3C88" w:rsidRPr="001E3C88" w:rsidRDefault="001E3C88" w:rsidP="001E3C88">
      <w:pPr>
        <w:spacing w:after="0" w:line="360" w:lineRule="auto"/>
        <w:jc w:val="both"/>
        <w:rPr>
          <w:rFonts w:ascii="Arial" w:hAnsi="Arial" w:cs="Arial"/>
        </w:rPr>
      </w:pPr>
      <w:r w:rsidRPr="001E3C88">
        <w:rPr>
          <w:rFonts w:ascii="Arial" w:hAnsi="Arial" w:cs="Arial"/>
        </w:rPr>
        <w:t>Article 3 is an absolute right.</w:t>
      </w:r>
      <w:r w:rsidR="009F3F37">
        <w:rPr>
          <w:rFonts w:ascii="Arial" w:hAnsi="Arial" w:cs="Arial"/>
        </w:rPr>
        <w:t xml:space="preserve"> </w:t>
      </w:r>
      <w:r w:rsidRPr="001E3C88">
        <w:rPr>
          <w:rFonts w:ascii="Arial" w:hAnsi="Arial" w:cs="Arial"/>
        </w:rPr>
        <w:t>There are no circumstances in which a breach of it is justified nor is a derogation from it permitted.</w:t>
      </w:r>
      <w:r w:rsidR="009F3F37">
        <w:rPr>
          <w:rFonts w:ascii="Arial" w:hAnsi="Arial" w:cs="Arial"/>
        </w:rPr>
        <w:t xml:space="preserve"> </w:t>
      </w:r>
      <w:r w:rsidRPr="001E3C88">
        <w:rPr>
          <w:rFonts w:ascii="Arial" w:hAnsi="Arial" w:cs="Arial"/>
        </w:rPr>
        <w:t>Even in time of war or other national emergency it must be respected.</w:t>
      </w:r>
      <w:r w:rsidRPr="001E3C88">
        <w:rPr>
          <w:rFonts w:ascii="Arial" w:hAnsi="Arial" w:cs="Arial"/>
          <w:vertAlign w:val="superscript"/>
        </w:rPr>
        <w:footnoteReference w:id="17"/>
      </w:r>
      <w:r w:rsidR="009F3F37">
        <w:rPr>
          <w:rFonts w:ascii="Arial" w:hAnsi="Arial" w:cs="Arial"/>
        </w:rPr>
        <w:t xml:space="preserve"> </w:t>
      </w:r>
    </w:p>
    <w:p w14:paraId="32C23D65" w14:textId="77777777" w:rsidR="001E3C88" w:rsidRPr="001E3C88" w:rsidRDefault="001E3C88" w:rsidP="001E3C88">
      <w:pPr>
        <w:spacing w:after="0" w:line="360" w:lineRule="auto"/>
        <w:jc w:val="both"/>
        <w:rPr>
          <w:rFonts w:ascii="Arial" w:hAnsi="Arial" w:cs="Arial"/>
        </w:rPr>
      </w:pPr>
    </w:p>
    <w:p w14:paraId="60BA156B" w14:textId="6BBE59E0" w:rsidR="001E3C88" w:rsidRPr="001E3C88" w:rsidRDefault="001E3C88" w:rsidP="009F4834">
      <w:pPr>
        <w:spacing w:after="0" w:line="360" w:lineRule="auto"/>
        <w:ind w:firstLine="720"/>
        <w:jc w:val="both"/>
        <w:rPr>
          <w:rFonts w:ascii="Arial" w:hAnsi="Arial" w:cs="Arial"/>
        </w:rPr>
      </w:pPr>
      <w:r w:rsidRPr="001E3C88">
        <w:rPr>
          <w:rFonts w:ascii="Arial" w:hAnsi="Arial" w:cs="Arial"/>
        </w:rPr>
        <w:t>It is widely accepted that rape and serious sexual assault would constitute torture, inhuman or degrading treatment and so are covered by Article 3.</w:t>
      </w:r>
      <w:r w:rsidRPr="001E3C88">
        <w:rPr>
          <w:rFonts w:ascii="Arial" w:hAnsi="Arial" w:cs="Arial"/>
          <w:vertAlign w:val="superscript"/>
        </w:rPr>
        <w:footnoteReference w:id="18"/>
      </w:r>
      <w:r w:rsidR="009F3F37">
        <w:rPr>
          <w:rFonts w:ascii="Arial" w:hAnsi="Arial" w:cs="Arial"/>
        </w:rPr>
        <w:t xml:space="preserve"> </w:t>
      </w:r>
      <w:r w:rsidRPr="001E3C88">
        <w:rPr>
          <w:rFonts w:ascii="Arial" w:hAnsi="Arial" w:cs="Arial"/>
        </w:rPr>
        <w:t>The 2020 Crime Survey estimated that 1.6 million people had been the victim of rape or sexual assault by penetration at some point in their adult lives. More than one in twenty women had experienced rape in their lifetime.</w:t>
      </w:r>
      <w:r w:rsidR="009F3F37">
        <w:rPr>
          <w:rFonts w:ascii="Arial" w:hAnsi="Arial" w:cs="Arial"/>
        </w:rPr>
        <w:t xml:space="preserve"> </w:t>
      </w:r>
      <w:r w:rsidRPr="001E3C88">
        <w:rPr>
          <w:rFonts w:ascii="Arial" w:hAnsi="Arial" w:cs="Arial"/>
        </w:rPr>
        <w:t xml:space="preserve"> However, </w:t>
      </w:r>
    </w:p>
    <w:p w14:paraId="5DD49FE2" w14:textId="77777777" w:rsidR="001E3C88" w:rsidRPr="001E3C88" w:rsidRDefault="001E3C88" w:rsidP="001E3C88">
      <w:pPr>
        <w:spacing w:after="0" w:line="360" w:lineRule="auto"/>
        <w:jc w:val="both"/>
        <w:rPr>
          <w:rFonts w:ascii="Arial" w:hAnsi="Arial" w:cs="Arial"/>
        </w:rPr>
      </w:pPr>
    </w:p>
    <w:p w14:paraId="41067E2A" w14:textId="7ACCFDA5" w:rsidR="001E3C88" w:rsidRPr="001E3C88" w:rsidRDefault="001E3C88" w:rsidP="005A2058">
      <w:pPr>
        <w:spacing w:after="0" w:line="360" w:lineRule="auto"/>
        <w:ind w:left="709" w:right="521"/>
        <w:jc w:val="both"/>
        <w:rPr>
          <w:rFonts w:ascii="Arial" w:hAnsi="Arial" w:cs="Arial"/>
        </w:rPr>
      </w:pPr>
      <w:r w:rsidRPr="001E3C88">
        <w:rPr>
          <w:rFonts w:ascii="Arial" w:hAnsi="Arial" w:cs="Arial"/>
        </w:rPr>
        <w:t>For the years ending March 2017 and March 2020 combined, the most common location for rape or assault by penetration to occur was in the victim’s home (37%), followed by the perpetrator’s home (26%). The assault had taken place in a park, other open public space, car park or on the street for 9% of victims.</w:t>
      </w:r>
      <w:r w:rsidRPr="001E3C88">
        <w:rPr>
          <w:rFonts w:ascii="Arial" w:hAnsi="Arial" w:cs="Arial"/>
          <w:vertAlign w:val="superscript"/>
        </w:rPr>
        <w:footnoteReference w:id="19"/>
      </w:r>
    </w:p>
    <w:p w14:paraId="3122DBAA" w14:textId="77777777" w:rsidR="001E3C88" w:rsidRPr="001E3C88" w:rsidRDefault="001E3C88" w:rsidP="001E3C88">
      <w:pPr>
        <w:spacing w:after="0" w:line="360" w:lineRule="auto"/>
        <w:jc w:val="both"/>
        <w:rPr>
          <w:rFonts w:ascii="Arial" w:hAnsi="Arial" w:cs="Arial"/>
        </w:rPr>
      </w:pPr>
    </w:p>
    <w:p w14:paraId="2151CA66" w14:textId="796C1FEB" w:rsidR="001E3C88" w:rsidRPr="001E3C88" w:rsidRDefault="001E3C88" w:rsidP="001E3C88">
      <w:pPr>
        <w:spacing w:after="0" w:line="360" w:lineRule="auto"/>
        <w:jc w:val="both"/>
        <w:rPr>
          <w:rFonts w:ascii="Arial" w:hAnsi="Arial" w:cs="Arial"/>
        </w:rPr>
      </w:pPr>
      <w:r w:rsidRPr="001E3C88">
        <w:rPr>
          <w:rFonts w:ascii="Arial" w:hAnsi="Arial" w:cs="Arial"/>
        </w:rPr>
        <w:t>Although a minority of sexual assault are in public space, even at 9% that is a significant level of sexual violence.</w:t>
      </w:r>
      <w:r w:rsidR="009F3F37">
        <w:rPr>
          <w:rFonts w:ascii="Arial" w:hAnsi="Arial" w:cs="Arial"/>
        </w:rPr>
        <w:t xml:space="preserve"> </w:t>
      </w:r>
      <w:r w:rsidRPr="001E3C88">
        <w:rPr>
          <w:rFonts w:ascii="Arial" w:hAnsi="Arial" w:cs="Arial"/>
        </w:rPr>
        <w:t>For the year ending September 2022 there were 70,663 reported rapes, but we know around 5 in 6 rapes are not reported.</w:t>
      </w:r>
      <w:r w:rsidRPr="001E3C88">
        <w:rPr>
          <w:rFonts w:ascii="Arial" w:hAnsi="Arial" w:cs="Arial"/>
          <w:vertAlign w:val="superscript"/>
        </w:rPr>
        <w:footnoteReference w:id="20"/>
      </w:r>
      <w:r w:rsidR="009F3F37">
        <w:rPr>
          <w:rFonts w:ascii="Arial" w:hAnsi="Arial" w:cs="Arial"/>
        </w:rPr>
        <w:t xml:space="preserve"> </w:t>
      </w:r>
      <w:r w:rsidRPr="001E3C88">
        <w:rPr>
          <w:rFonts w:ascii="Arial" w:hAnsi="Arial" w:cs="Arial"/>
        </w:rPr>
        <w:t>That suggests there may have been 434,978 rape</w:t>
      </w:r>
      <w:r w:rsidR="007A2B8E">
        <w:rPr>
          <w:rFonts w:ascii="Arial" w:hAnsi="Arial" w:cs="Arial"/>
        </w:rPr>
        <w:t>s</w:t>
      </w:r>
      <w:r w:rsidRPr="001E3C88">
        <w:rPr>
          <w:rFonts w:ascii="Arial" w:hAnsi="Arial" w:cs="Arial"/>
        </w:rPr>
        <w:t xml:space="preserve"> per year. If 9% are in public places</w:t>
      </w:r>
      <w:r w:rsidR="007A2B8E">
        <w:rPr>
          <w:rFonts w:ascii="Arial" w:hAnsi="Arial" w:cs="Arial"/>
        </w:rPr>
        <w:t>,</w:t>
      </w:r>
      <w:r w:rsidRPr="001E3C88">
        <w:rPr>
          <w:rFonts w:ascii="Arial" w:hAnsi="Arial" w:cs="Arial"/>
        </w:rPr>
        <w:t xml:space="preserve"> that is 38,158 rapes in public places a year, some 105 each day.</w:t>
      </w:r>
      <w:r w:rsidR="009F3F37">
        <w:rPr>
          <w:rFonts w:ascii="Arial" w:hAnsi="Arial" w:cs="Arial"/>
        </w:rPr>
        <w:t xml:space="preserve"> </w:t>
      </w:r>
      <w:r w:rsidRPr="001E3C88">
        <w:rPr>
          <w:rFonts w:ascii="Arial" w:hAnsi="Arial" w:cs="Arial"/>
        </w:rPr>
        <w:t>And that is only discussing rape: sexual assault will be much higher.</w:t>
      </w:r>
      <w:r w:rsidR="009F3F37">
        <w:rPr>
          <w:rFonts w:ascii="Arial" w:hAnsi="Arial" w:cs="Arial"/>
        </w:rPr>
        <w:t xml:space="preserve">  </w:t>
      </w:r>
    </w:p>
    <w:p w14:paraId="59CE6306" w14:textId="77777777" w:rsidR="001E3C88" w:rsidRPr="001E3C88" w:rsidRDefault="001E3C88" w:rsidP="001E3C88">
      <w:pPr>
        <w:spacing w:after="0" w:line="360" w:lineRule="auto"/>
        <w:jc w:val="both"/>
        <w:rPr>
          <w:rFonts w:ascii="Arial" w:hAnsi="Arial" w:cs="Arial"/>
        </w:rPr>
      </w:pPr>
    </w:p>
    <w:p w14:paraId="5DB9D151" w14:textId="082B8C00" w:rsidR="001E3C88" w:rsidRPr="001E3C88" w:rsidRDefault="001E3C88" w:rsidP="007A2B8E">
      <w:pPr>
        <w:spacing w:after="0" w:line="360" w:lineRule="auto"/>
        <w:ind w:firstLine="720"/>
        <w:jc w:val="both"/>
        <w:rPr>
          <w:rFonts w:ascii="Arial" w:hAnsi="Arial" w:cs="Arial"/>
          <w:lang w:val="x-none"/>
        </w:rPr>
      </w:pPr>
      <w:r w:rsidRPr="001E3C88">
        <w:rPr>
          <w:rFonts w:ascii="Arial" w:hAnsi="Arial" w:cs="Arial"/>
        </w:rPr>
        <w:t>But I suggest Article 3 can have wider application than serious sexual offences.</w:t>
      </w:r>
      <w:r w:rsidR="009F3F37">
        <w:rPr>
          <w:rFonts w:ascii="Arial" w:hAnsi="Arial" w:cs="Arial"/>
        </w:rPr>
        <w:t xml:space="preserve"> </w:t>
      </w:r>
      <w:r w:rsidRPr="001E3C88">
        <w:rPr>
          <w:rFonts w:ascii="Arial" w:hAnsi="Arial" w:cs="Arial"/>
        </w:rPr>
        <w:t xml:space="preserve"> ‘Inhuman treatment’ in Article 3 includes actual bodily harm or intense physical or mental suffering.</w:t>
      </w:r>
      <w:r w:rsidRPr="001E3C88">
        <w:rPr>
          <w:rFonts w:ascii="Arial" w:hAnsi="Arial" w:cs="Arial"/>
          <w:vertAlign w:val="superscript"/>
        </w:rPr>
        <w:footnoteReference w:id="21"/>
      </w:r>
      <w:r w:rsidR="009F3F37">
        <w:rPr>
          <w:rFonts w:ascii="Arial" w:hAnsi="Arial" w:cs="Arial"/>
        </w:rPr>
        <w:t xml:space="preserve"> </w:t>
      </w:r>
      <w:r w:rsidRPr="001E3C88">
        <w:rPr>
          <w:rFonts w:ascii="Arial" w:hAnsi="Arial" w:cs="Arial"/>
        </w:rPr>
        <w:t>‘Degrading treatment’ includes conduct which humiliates or debases an individual; or shows a lack of respect for, or diminishes, human dignity. It also includes conduct which arouses feelings of fear, anguish</w:t>
      </w:r>
      <w:r w:rsidR="007A2B8E">
        <w:rPr>
          <w:rFonts w:ascii="Arial" w:hAnsi="Arial" w:cs="Arial"/>
        </w:rPr>
        <w:t>,</w:t>
      </w:r>
      <w:r w:rsidRPr="001E3C88">
        <w:rPr>
          <w:rFonts w:ascii="Arial" w:hAnsi="Arial" w:cs="Arial"/>
        </w:rPr>
        <w:t xml:space="preserve"> or inferiority capable of breaking an individual’s moral and </w:t>
      </w:r>
      <w:r w:rsidRPr="001E3C88">
        <w:rPr>
          <w:rFonts w:ascii="Arial" w:hAnsi="Arial" w:cs="Arial"/>
        </w:rPr>
        <w:lastRenderedPageBreak/>
        <w:t>physical resistance.</w:t>
      </w:r>
      <w:r w:rsidRPr="001E3C88">
        <w:rPr>
          <w:rFonts w:ascii="Arial" w:hAnsi="Arial" w:cs="Arial"/>
          <w:vertAlign w:val="superscript"/>
        </w:rPr>
        <w:footnoteReference w:id="22"/>
      </w:r>
      <w:r w:rsidR="009F3F37">
        <w:rPr>
          <w:rFonts w:ascii="Arial" w:hAnsi="Arial" w:cs="Arial"/>
        </w:rPr>
        <w:t xml:space="preserve"> </w:t>
      </w:r>
      <w:r w:rsidRPr="001E3C88">
        <w:rPr>
          <w:rFonts w:ascii="Arial" w:hAnsi="Arial" w:cs="Arial"/>
        </w:rPr>
        <w:t xml:space="preserve">This is why the fear of assault women face in public spaces raises serious human rights issues. In </w:t>
      </w:r>
      <w:r w:rsidRPr="001E3C88">
        <w:rPr>
          <w:rFonts w:ascii="Arial" w:hAnsi="Arial" w:cs="Arial"/>
          <w:i/>
          <w:lang w:val="x-none"/>
        </w:rPr>
        <w:t>Valiuliene v Lithuania</w:t>
      </w:r>
      <w:r w:rsidR="007A2B8E">
        <w:rPr>
          <w:rFonts w:ascii="Arial" w:hAnsi="Arial" w:cs="Arial"/>
          <w:i/>
          <w:lang w:val="x-none"/>
        </w:rPr>
        <w:t>,</w:t>
      </w:r>
      <w:r w:rsidRPr="001E3C88">
        <w:rPr>
          <w:rFonts w:ascii="Arial" w:hAnsi="Arial" w:cs="Arial"/>
          <w:lang w:val="x-none"/>
        </w:rPr>
        <w:t xml:space="preserve"> it was held:</w:t>
      </w:r>
    </w:p>
    <w:p w14:paraId="3C9FFF18" w14:textId="77777777" w:rsidR="001E3C88" w:rsidRPr="001E3C88" w:rsidRDefault="001E3C88" w:rsidP="001E3C88">
      <w:pPr>
        <w:spacing w:after="0" w:line="360" w:lineRule="auto"/>
        <w:jc w:val="both"/>
        <w:rPr>
          <w:rFonts w:ascii="Arial" w:hAnsi="Arial" w:cs="Arial"/>
          <w:lang w:val="x-none"/>
        </w:rPr>
      </w:pPr>
    </w:p>
    <w:p w14:paraId="5C8AADDE" w14:textId="205F4474" w:rsidR="001E3C88" w:rsidRPr="001E3C88" w:rsidRDefault="001E3C88" w:rsidP="007A2B8E">
      <w:pPr>
        <w:spacing w:after="0" w:line="360" w:lineRule="auto"/>
        <w:ind w:left="709" w:right="521"/>
        <w:jc w:val="both"/>
        <w:rPr>
          <w:rFonts w:ascii="Arial" w:hAnsi="Arial" w:cs="Arial"/>
          <w:lang w:val="x-none"/>
        </w:rPr>
      </w:pPr>
      <w:r w:rsidRPr="001E3C88">
        <w:rPr>
          <w:rFonts w:ascii="Arial" w:hAnsi="Arial" w:cs="Arial"/>
          <w:lang w:val="x-none"/>
        </w:rPr>
        <w:t>... Treatment has been considered ‘degrading’ when it was such as to</w:t>
      </w:r>
      <w:r w:rsidR="007A2B8E">
        <w:rPr>
          <w:rFonts w:ascii="Arial" w:hAnsi="Arial" w:cs="Arial"/>
          <w:lang w:val="x-none"/>
        </w:rPr>
        <w:t xml:space="preserve"> </w:t>
      </w:r>
      <w:r w:rsidRPr="001E3C88">
        <w:rPr>
          <w:rFonts w:ascii="Arial" w:hAnsi="Arial" w:cs="Arial"/>
          <w:lang w:val="x-none"/>
        </w:rPr>
        <w:t>arouse in its victims feelings of fear, anguish and inferiority, capable of humiliating and debasing</w:t>
      </w:r>
      <w:r w:rsidRPr="001E3C88">
        <w:rPr>
          <w:rFonts w:ascii="Arial" w:hAnsi="Arial" w:cs="Arial"/>
        </w:rPr>
        <w:t xml:space="preserve"> </w:t>
      </w:r>
      <w:r w:rsidRPr="001E3C88">
        <w:rPr>
          <w:rFonts w:ascii="Arial" w:hAnsi="Arial" w:cs="Arial"/>
          <w:lang w:val="x-none"/>
        </w:rPr>
        <w:t>them and possibly breaking their physical or moral resistance.</w:t>
      </w:r>
      <w:r w:rsidRPr="001E3C88">
        <w:rPr>
          <w:rFonts w:ascii="Arial" w:hAnsi="Arial" w:cs="Arial"/>
          <w:vertAlign w:val="superscript"/>
          <w:lang w:val="x-none"/>
        </w:rPr>
        <w:footnoteReference w:id="23"/>
      </w:r>
    </w:p>
    <w:p w14:paraId="4F3D074C" w14:textId="77777777" w:rsidR="001E3C88" w:rsidRPr="001E3C88" w:rsidRDefault="001E3C88" w:rsidP="001E3C88">
      <w:pPr>
        <w:spacing w:after="0" w:line="360" w:lineRule="auto"/>
        <w:jc w:val="both"/>
        <w:rPr>
          <w:rFonts w:ascii="Arial" w:hAnsi="Arial" w:cs="Arial"/>
        </w:rPr>
      </w:pPr>
    </w:p>
    <w:p w14:paraId="734DCCCB" w14:textId="5BD4866D" w:rsidR="001E3C88" w:rsidRPr="001E3C88" w:rsidRDefault="001E3C88" w:rsidP="001E3C88">
      <w:pPr>
        <w:spacing w:after="0" w:line="360" w:lineRule="auto"/>
        <w:jc w:val="both"/>
        <w:rPr>
          <w:rFonts w:ascii="Arial" w:hAnsi="Arial" w:cs="Arial"/>
        </w:rPr>
      </w:pPr>
      <w:r w:rsidRPr="001E3C88">
        <w:rPr>
          <w:rFonts w:ascii="Arial" w:hAnsi="Arial" w:cs="Arial"/>
        </w:rPr>
        <w:t xml:space="preserve">The Court went on to explain that an assessment of whether conduct falls within </w:t>
      </w:r>
      <w:r w:rsidR="00267DCE">
        <w:rPr>
          <w:rFonts w:ascii="Arial" w:hAnsi="Arial" w:cs="Arial"/>
        </w:rPr>
        <w:t>A</w:t>
      </w:r>
      <w:r w:rsidRPr="001E3C88">
        <w:rPr>
          <w:rFonts w:ascii="Arial" w:hAnsi="Arial" w:cs="Arial"/>
        </w:rPr>
        <w:t>rticle 3 ‘depends</w:t>
      </w:r>
      <w:r w:rsidR="009F3F37">
        <w:rPr>
          <w:rFonts w:ascii="Arial" w:hAnsi="Arial" w:cs="Arial"/>
        </w:rPr>
        <w:t xml:space="preserve"> </w:t>
      </w:r>
      <w:r w:rsidRPr="001E3C88">
        <w:rPr>
          <w:rFonts w:ascii="Arial" w:hAnsi="Arial" w:cs="Arial"/>
          <w:lang w:val="x-none"/>
        </w:rPr>
        <w:t>on all the circumstances of the case, such</w:t>
      </w:r>
      <w:r w:rsidRPr="001E3C88">
        <w:rPr>
          <w:rFonts w:ascii="Arial" w:hAnsi="Arial" w:cs="Arial"/>
        </w:rPr>
        <w:t xml:space="preserve"> </w:t>
      </w:r>
      <w:r w:rsidRPr="001E3C88">
        <w:rPr>
          <w:rFonts w:ascii="Arial" w:hAnsi="Arial" w:cs="Arial"/>
          <w:lang w:val="x-none"/>
        </w:rPr>
        <w:t>as the nature and context of the treatment, its duration, its physical and mental effects and, in</w:t>
      </w:r>
      <w:r w:rsidRPr="001E3C88">
        <w:rPr>
          <w:rFonts w:ascii="Arial" w:hAnsi="Arial" w:cs="Arial"/>
        </w:rPr>
        <w:t xml:space="preserve"> </w:t>
      </w:r>
      <w:r w:rsidRPr="001E3C88">
        <w:rPr>
          <w:rFonts w:ascii="Arial" w:hAnsi="Arial" w:cs="Arial"/>
          <w:lang w:val="x-none"/>
        </w:rPr>
        <w:t>some instances, the sex, age and state of health of the victim.’</w:t>
      </w:r>
      <w:r w:rsidRPr="001E3C88">
        <w:rPr>
          <w:rFonts w:ascii="Arial" w:hAnsi="Arial" w:cs="Arial"/>
          <w:vertAlign w:val="superscript"/>
        </w:rPr>
        <w:footnoteReference w:id="24"/>
      </w:r>
      <w:r w:rsidR="00267DCE">
        <w:rPr>
          <w:rFonts w:ascii="Arial" w:hAnsi="Arial" w:cs="Arial"/>
        </w:rPr>
        <w:t xml:space="preserve"> </w:t>
      </w:r>
      <w:r w:rsidRPr="001E3C88">
        <w:rPr>
          <w:rFonts w:ascii="Arial" w:hAnsi="Arial" w:cs="Arial"/>
        </w:rPr>
        <w:t>This means that just because a form of conduct is not degrading treatment for one person does not mean that it cannot be so for another.</w:t>
      </w:r>
      <w:r w:rsidRPr="001E3C88">
        <w:rPr>
          <w:rFonts w:ascii="Arial" w:hAnsi="Arial" w:cs="Arial"/>
          <w:vertAlign w:val="superscript"/>
        </w:rPr>
        <w:footnoteReference w:id="25"/>
      </w:r>
      <w:r w:rsidR="009F3F37">
        <w:rPr>
          <w:rFonts w:ascii="Arial" w:hAnsi="Arial" w:cs="Arial"/>
        </w:rPr>
        <w:t xml:space="preserve"> </w:t>
      </w:r>
      <w:r w:rsidRPr="001E3C88">
        <w:rPr>
          <w:rFonts w:ascii="Arial" w:hAnsi="Arial" w:cs="Arial"/>
        </w:rPr>
        <w:t xml:space="preserve">In </w:t>
      </w:r>
      <w:r w:rsidRPr="001E3C88">
        <w:rPr>
          <w:rFonts w:ascii="Arial" w:hAnsi="Arial" w:cs="Arial"/>
          <w:i/>
          <w:lang w:val="en-US"/>
        </w:rPr>
        <w:t>Đorđević v. Croatia</w:t>
      </w:r>
      <w:r w:rsidRPr="001E3C88">
        <w:rPr>
          <w:rFonts w:ascii="Arial" w:hAnsi="Arial" w:cs="Arial"/>
          <w:vertAlign w:val="superscript"/>
        </w:rPr>
        <w:footnoteReference w:id="26"/>
      </w:r>
      <w:r w:rsidR="009F3F37">
        <w:rPr>
          <w:rFonts w:ascii="Arial" w:hAnsi="Arial" w:cs="Arial"/>
        </w:rPr>
        <w:t xml:space="preserve"> </w:t>
      </w:r>
      <w:r w:rsidRPr="001E3C88">
        <w:rPr>
          <w:rFonts w:ascii="Arial" w:hAnsi="Arial" w:cs="Arial"/>
          <w:lang w:val="en-US"/>
        </w:rPr>
        <w:t>a vulnerable man was harassed and abused by a group of children.</w:t>
      </w:r>
      <w:r w:rsidR="009F3F37">
        <w:rPr>
          <w:rFonts w:ascii="Arial" w:hAnsi="Arial" w:cs="Arial"/>
          <w:lang w:val="en-US"/>
        </w:rPr>
        <w:t xml:space="preserve"> </w:t>
      </w:r>
      <w:r w:rsidRPr="001E3C88">
        <w:rPr>
          <w:rFonts w:ascii="Arial" w:hAnsi="Arial" w:cs="Arial"/>
          <w:lang w:val="en-US"/>
        </w:rPr>
        <w:t>His inability to protect himself was emphasi</w:t>
      </w:r>
      <w:r w:rsidR="00267DCE">
        <w:rPr>
          <w:rFonts w:ascii="Arial" w:hAnsi="Arial" w:cs="Arial"/>
          <w:lang w:val="en-US"/>
        </w:rPr>
        <w:t>s</w:t>
      </w:r>
      <w:r w:rsidRPr="001E3C88">
        <w:rPr>
          <w:rFonts w:ascii="Arial" w:hAnsi="Arial" w:cs="Arial"/>
          <w:lang w:val="en-US"/>
        </w:rPr>
        <w:t xml:space="preserve">ed in finding a breach of </w:t>
      </w:r>
      <w:r w:rsidR="00267DCE">
        <w:rPr>
          <w:rFonts w:ascii="Arial" w:hAnsi="Arial" w:cs="Arial"/>
          <w:lang w:val="en-US"/>
        </w:rPr>
        <w:t>A</w:t>
      </w:r>
      <w:r w:rsidRPr="001E3C88">
        <w:rPr>
          <w:rFonts w:ascii="Arial" w:hAnsi="Arial" w:cs="Arial"/>
          <w:lang w:val="en-US"/>
        </w:rPr>
        <w:t>rticle 3.</w:t>
      </w:r>
      <w:r w:rsidR="009F3F37">
        <w:rPr>
          <w:rFonts w:ascii="Arial" w:hAnsi="Arial" w:cs="Arial"/>
          <w:lang w:val="en-US"/>
        </w:rPr>
        <w:t xml:space="preserve"> </w:t>
      </w:r>
      <w:r w:rsidRPr="001E3C88">
        <w:rPr>
          <w:rFonts w:ascii="Arial" w:hAnsi="Arial" w:cs="Arial"/>
        </w:rPr>
        <w:t xml:space="preserve">The continued harassment had caused physical injuries, feelings of fear and helplessness and these were all sufficient to fall within the remit of </w:t>
      </w:r>
      <w:r w:rsidR="00267DCE">
        <w:rPr>
          <w:rFonts w:ascii="Arial" w:hAnsi="Arial" w:cs="Arial"/>
        </w:rPr>
        <w:t>A</w:t>
      </w:r>
      <w:r w:rsidRPr="001E3C88">
        <w:rPr>
          <w:rFonts w:ascii="Arial" w:hAnsi="Arial" w:cs="Arial"/>
        </w:rPr>
        <w:t>rticle 3.</w:t>
      </w:r>
      <w:r w:rsidR="009F3F37">
        <w:rPr>
          <w:rFonts w:ascii="Arial" w:hAnsi="Arial" w:cs="Arial"/>
        </w:rPr>
        <w:t xml:space="preserve"> </w:t>
      </w:r>
      <w:r w:rsidRPr="001E3C88">
        <w:rPr>
          <w:rFonts w:ascii="Arial" w:hAnsi="Arial" w:cs="Arial"/>
        </w:rPr>
        <w:t>This is important because it makes it clear that street harassment may have little impact on some women, but nevertheless fall within Article 3 for other women.</w:t>
      </w:r>
      <w:r w:rsidR="009F3F37">
        <w:rPr>
          <w:rFonts w:ascii="Arial" w:hAnsi="Arial" w:cs="Arial"/>
        </w:rPr>
        <w:t xml:space="preserve"> </w:t>
      </w:r>
      <w:r w:rsidRPr="001E3C88">
        <w:rPr>
          <w:rFonts w:ascii="Arial" w:hAnsi="Arial" w:cs="Arial"/>
        </w:rPr>
        <w:t>Given the prevalence of rape and serious sexual assault, unwanted sexual remarks in public can have a profound impact on a large number of women and be part of their degrading treatment.</w:t>
      </w:r>
      <w:r w:rsidR="009F3F37">
        <w:rPr>
          <w:rFonts w:ascii="Arial" w:hAnsi="Arial" w:cs="Arial"/>
        </w:rPr>
        <w:t xml:space="preserve"> </w:t>
      </w:r>
      <w:r w:rsidRPr="001E3C88">
        <w:rPr>
          <w:rFonts w:ascii="Arial" w:hAnsi="Arial" w:cs="Arial"/>
        </w:rPr>
        <w:t xml:space="preserve">This generates a powerful obligation on the state to protect women, something this </w:t>
      </w:r>
      <w:r w:rsidR="00605D59">
        <w:rPr>
          <w:rFonts w:ascii="Arial" w:hAnsi="Arial" w:cs="Arial"/>
        </w:rPr>
        <w:t>article</w:t>
      </w:r>
      <w:r w:rsidRPr="001E3C88">
        <w:rPr>
          <w:rFonts w:ascii="Arial" w:hAnsi="Arial" w:cs="Arial"/>
        </w:rPr>
        <w:t xml:space="preserve"> suggests a curfew would do.</w:t>
      </w:r>
      <w:r w:rsidR="009F3F37">
        <w:rPr>
          <w:rFonts w:ascii="Arial" w:hAnsi="Arial" w:cs="Arial"/>
        </w:rPr>
        <w:t xml:space="preserve"> </w:t>
      </w:r>
    </w:p>
    <w:p w14:paraId="0AB66DF4" w14:textId="77777777" w:rsidR="001E3C88" w:rsidRPr="001E3C88" w:rsidRDefault="001E3C88" w:rsidP="001E3C88">
      <w:pPr>
        <w:spacing w:after="0" w:line="360" w:lineRule="auto"/>
        <w:jc w:val="both"/>
        <w:rPr>
          <w:rFonts w:ascii="Arial" w:hAnsi="Arial" w:cs="Arial"/>
        </w:rPr>
      </w:pPr>
    </w:p>
    <w:p w14:paraId="13A4D3D4" w14:textId="1EE2C1F8" w:rsidR="001E3C88" w:rsidRPr="001E3C88" w:rsidRDefault="001E3C88" w:rsidP="00605D59">
      <w:pPr>
        <w:spacing w:after="0" w:line="360" w:lineRule="auto"/>
        <w:ind w:firstLine="720"/>
        <w:jc w:val="both"/>
        <w:rPr>
          <w:rFonts w:ascii="Arial" w:hAnsi="Arial" w:cs="Arial"/>
        </w:rPr>
      </w:pPr>
      <w:r w:rsidRPr="001E3C88">
        <w:rPr>
          <w:rFonts w:ascii="Arial" w:hAnsi="Arial" w:cs="Arial"/>
        </w:rPr>
        <w:t xml:space="preserve">Of course we do have criminal sanctions against rape, although as the Victims Commissioner has pointed out these are of limited effectiveness as a deterrent: </w:t>
      </w:r>
    </w:p>
    <w:p w14:paraId="355F299C" w14:textId="77777777" w:rsidR="001E3C88" w:rsidRPr="001E3C88" w:rsidRDefault="001E3C88" w:rsidP="001E3C88">
      <w:pPr>
        <w:spacing w:after="0" w:line="360" w:lineRule="auto"/>
        <w:jc w:val="both"/>
        <w:rPr>
          <w:rFonts w:ascii="Arial" w:hAnsi="Arial" w:cs="Arial"/>
        </w:rPr>
      </w:pPr>
    </w:p>
    <w:p w14:paraId="1ECC04FD" w14:textId="7E58527A" w:rsidR="001E3C88" w:rsidRPr="001E3C88" w:rsidRDefault="001E3C88" w:rsidP="00605D59">
      <w:pPr>
        <w:spacing w:after="0" w:line="360" w:lineRule="auto"/>
        <w:ind w:left="709" w:right="521"/>
        <w:jc w:val="both"/>
        <w:rPr>
          <w:rFonts w:ascii="Arial" w:hAnsi="Arial" w:cs="Arial"/>
        </w:rPr>
      </w:pPr>
      <w:r w:rsidRPr="001E3C88">
        <w:rPr>
          <w:rFonts w:ascii="Arial" w:hAnsi="Arial" w:cs="Arial"/>
        </w:rPr>
        <w:t>In the year to December 2021, there were 67,125 rape offences recorded – an all-time high. Yet the number of completed rape prosecutions plummeted from 5,190 in 2016-17 to just 2,409 in 2020-21. The numbers of convictions almost halved (2,689 in 2016/17 compared to 1,409 in 2020/21). Only 5% of rapes that were given an outcome by the police in the year ending December 2021 resulted in a charge.</w:t>
      </w:r>
      <w:r w:rsidR="00605D59" w:rsidRPr="001E3C88">
        <w:rPr>
          <w:rFonts w:ascii="Arial" w:hAnsi="Arial" w:cs="Arial"/>
          <w:vertAlign w:val="superscript"/>
        </w:rPr>
        <w:footnoteReference w:id="27"/>
      </w:r>
    </w:p>
    <w:p w14:paraId="13E8240C" w14:textId="77777777" w:rsidR="001E3C88" w:rsidRPr="001E3C88" w:rsidRDefault="001E3C88" w:rsidP="001E3C88">
      <w:pPr>
        <w:spacing w:after="0" w:line="360" w:lineRule="auto"/>
        <w:jc w:val="both"/>
        <w:rPr>
          <w:rFonts w:ascii="Arial" w:hAnsi="Arial" w:cs="Arial"/>
        </w:rPr>
      </w:pPr>
    </w:p>
    <w:p w14:paraId="763A4960" w14:textId="78CCBE92" w:rsidR="001E3C88" w:rsidRDefault="001E3C88" w:rsidP="001E3C88">
      <w:pPr>
        <w:spacing w:after="0" w:line="360" w:lineRule="auto"/>
        <w:jc w:val="both"/>
        <w:rPr>
          <w:rFonts w:ascii="Arial" w:hAnsi="Arial" w:cs="Arial"/>
        </w:rPr>
      </w:pPr>
      <w:r w:rsidRPr="001E3C88">
        <w:rPr>
          <w:rFonts w:ascii="Arial" w:hAnsi="Arial" w:cs="Arial"/>
        </w:rPr>
        <w:t>Clearly the deterrent effect of a rape prosecution is currently of limited impact and more pro-active steps must be taken to protect women from sexual assault, which is a major invasion of their Article 3 rights.</w:t>
      </w:r>
      <w:r w:rsidR="009F3F37">
        <w:rPr>
          <w:rFonts w:ascii="Arial" w:hAnsi="Arial" w:cs="Arial"/>
        </w:rPr>
        <w:t xml:space="preserve"> </w:t>
      </w:r>
      <w:r w:rsidRPr="001E3C88">
        <w:rPr>
          <w:rFonts w:ascii="Arial" w:hAnsi="Arial" w:cs="Arial"/>
        </w:rPr>
        <w:t>Similarly</w:t>
      </w:r>
      <w:r w:rsidR="003E0E64">
        <w:rPr>
          <w:rFonts w:ascii="Arial" w:hAnsi="Arial" w:cs="Arial"/>
        </w:rPr>
        <w:t>,</w:t>
      </w:r>
      <w:r w:rsidRPr="001E3C88">
        <w:rPr>
          <w:rFonts w:ascii="Arial" w:hAnsi="Arial" w:cs="Arial"/>
        </w:rPr>
        <w:t xml:space="preserve"> there are recognised gaps in harassment in public place and unwanted sexual remarks, which are either outside the law or do not get prosecuted.</w:t>
      </w:r>
      <w:r w:rsidRPr="001E3C88">
        <w:rPr>
          <w:rFonts w:ascii="Arial" w:hAnsi="Arial" w:cs="Arial"/>
          <w:vertAlign w:val="superscript"/>
        </w:rPr>
        <w:footnoteReference w:id="28"/>
      </w:r>
      <w:r w:rsidRPr="001E3C88">
        <w:rPr>
          <w:rFonts w:ascii="Arial" w:hAnsi="Arial" w:cs="Arial"/>
          <w:lang w:val="x-none"/>
        </w:rPr>
        <w:tab/>
      </w:r>
      <w:r w:rsidRPr="001E3C88">
        <w:rPr>
          <w:rFonts w:ascii="Arial" w:hAnsi="Arial" w:cs="Arial"/>
        </w:rPr>
        <w:t xml:space="preserve"> </w:t>
      </w:r>
    </w:p>
    <w:p w14:paraId="29920B89" w14:textId="77777777" w:rsidR="003E0E64" w:rsidRPr="001E3C88" w:rsidRDefault="003E0E64" w:rsidP="001E3C88">
      <w:pPr>
        <w:spacing w:after="0" w:line="360" w:lineRule="auto"/>
        <w:jc w:val="both"/>
        <w:rPr>
          <w:rFonts w:ascii="Arial" w:hAnsi="Arial" w:cs="Arial"/>
          <w:lang w:val="x-none"/>
        </w:rPr>
      </w:pPr>
    </w:p>
    <w:p w14:paraId="351DED06" w14:textId="3568AE1C" w:rsidR="001E3C88" w:rsidRPr="001E3C88" w:rsidRDefault="001E3C88" w:rsidP="001E3C88">
      <w:pPr>
        <w:spacing w:after="0" w:line="360" w:lineRule="auto"/>
        <w:jc w:val="both"/>
        <w:rPr>
          <w:rFonts w:ascii="Arial" w:hAnsi="Arial" w:cs="Arial"/>
          <w:b/>
          <w:bCs/>
        </w:rPr>
      </w:pPr>
      <w:r w:rsidRPr="001E3C88">
        <w:rPr>
          <w:rFonts w:ascii="Arial" w:hAnsi="Arial" w:cs="Arial"/>
          <w:b/>
          <w:bCs/>
        </w:rPr>
        <w:t>Article 8</w:t>
      </w:r>
    </w:p>
    <w:p w14:paraId="17BCB53C" w14:textId="77777777" w:rsidR="001E3C88" w:rsidRPr="001E3C88" w:rsidRDefault="001E3C88" w:rsidP="001E3C88">
      <w:pPr>
        <w:spacing w:after="0" w:line="360" w:lineRule="auto"/>
        <w:jc w:val="both"/>
        <w:rPr>
          <w:rFonts w:ascii="Arial" w:hAnsi="Arial" w:cs="Arial"/>
          <w:i/>
          <w:iCs/>
          <w:lang w:val="en-US"/>
        </w:rPr>
      </w:pPr>
    </w:p>
    <w:p w14:paraId="3D817B44" w14:textId="77777777" w:rsidR="001E3C88" w:rsidRPr="001E3C88" w:rsidRDefault="001E3C88" w:rsidP="001E3C88">
      <w:pPr>
        <w:spacing w:after="0" w:line="360" w:lineRule="auto"/>
        <w:jc w:val="both"/>
        <w:rPr>
          <w:rFonts w:ascii="Arial" w:hAnsi="Arial" w:cs="Arial"/>
        </w:rPr>
      </w:pPr>
      <w:r w:rsidRPr="001E3C88">
        <w:rPr>
          <w:rFonts w:ascii="Arial" w:hAnsi="Arial" w:cs="Arial"/>
        </w:rPr>
        <w:t>Article 8 provides:</w:t>
      </w:r>
    </w:p>
    <w:p w14:paraId="2B62A996" w14:textId="77777777" w:rsidR="001E3C88" w:rsidRPr="001E3C88" w:rsidRDefault="001E3C88" w:rsidP="003E0E64">
      <w:pPr>
        <w:spacing w:after="0" w:line="360" w:lineRule="auto"/>
        <w:ind w:left="709"/>
        <w:jc w:val="both"/>
        <w:rPr>
          <w:rFonts w:ascii="Arial" w:hAnsi="Arial" w:cs="Arial"/>
          <w:lang w:val="en-US"/>
        </w:rPr>
      </w:pPr>
      <w:r w:rsidRPr="001E3C88">
        <w:rPr>
          <w:rFonts w:ascii="Arial" w:hAnsi="Arial" w:cs="Arial"/>
          <w:lang w:val="en-US"/>
        </w:rPr>
        <w:t>1. Everyone has the right to respect for his private and family life, his home and his correspondence.</w:t>
      </w:r>
    </w:p>
    <w:p w14:paraId="031096B8" w14:textId="77777777" w:rsidR="001E3C88" w:rsidRPr="001E3C88" w:rsidRDefault="001E3C88" w:rsidP="003E0E64">
      <w:pPr>
        <w:spacing w:after="0" w:line="360" w:lineRule="auto"/>
        <w:ind w:left="709"/>
        <w:jc w:val="both"/>
        <w:rPr>
          <w:rFonts w:ascii="Arial" w:hAnsi="Arial" w:cs="Arial"/>
          <w:lang w:val="en-US"/>
        </w:rPr>
      </w:pPr>
    </w:p>
    <w:p w14:paraId="2E72BF4D" w14:textId="77777777" w:rsidR="001E3C88" w:rsidRPr="001E3C88" w:rsidRDefault="001E3C88" w:rsidP="003E0E64">
      <w:pPr>
        <w:spacing w:after="0" w:line="360" w:lineRule="auto"/>
        <w:ind w:left="709"/>
        <w:jc w:val="both"/>
        <w:rPr>
          <w:rFonts w:ascii="Arial" w:hAnsi="Arial" w:cs="Arial"/>
          <w:lang w:val="en-US"/>
        </w:rPr>
      </w:pPr>
      <w:r w:rsidRPr="001E3C88">
        <w:rPr>
          <w:rFonts w:ascii="Arial" w:hAnsi="Arial" w:cs="Arial"/>
          <w:lang w:val="en-US"/>
        </w:rPr>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14:paraId="0321B822" w14:textId="77777777" w:rsidR="001E3C88" w:rsidRPr="001E3C88" w:rsidRDefault="001E3C88" w:rsidP="001E3C88">
      <w:pPr>
        <w:spacing w:after="0" w:line="360" w:lineRule="auto"/>
        <w:jc w:val="both"/>
        <w:rPr>
          <w:rFonts w:ascii="Arial" w:hAnsi="Arial" w:cs="Arial"/>
          <w:lang w:val="en-US"/>
        </w:rPr>
      </w:pPr>
    </w:p>
    <w:p w14:paraId="3FA19B96" w14:textId="37FCD25F" w:rsidR="001E3C88" w:rsidRPr="001E3C88" w:rsidRDefault="001E3C88" w:rsidP="001E3C88">
      <w:pPr>
        <w:spacing w:after="0" w:line="360" w:lineRule="auto"/>
        <w:jc w:val="both"/>
        <w:rPr>
          <w:rFonts w:ascii="Arial" w:hAnsi="Arial" w:cs="Arial"/>
        </w:rPr>
      </w:pPr>
      <w:r w:rsidRPr="001E3C88">
        <w:rPr>
          <w:rFonts w:ascii="Arial" w:hAnsi="Arial" w:cs="Arial"/>
          <w:lang w:val="en-US"/>
        </w:rPr>
        <w:t>Article 8 is a qualified right.</w:t>
      </w:r>
      <w:r w:rsidR="009F3F37">
        <w:rPr>
          <w:rFonts w:ascii="Arial" w:hAnsi="Arial" w:cs="Arial"/>
          <w:lang w:val="en-US"/>
        </w:rPr>
        <w:t xml:space="preserve"> </w:t>
      </w:r>
      <w:r w:rsidRPr="001E3C88">
        <w:rPr>
          <w:rFonts w:ascii="Arial" w:hAnsi="Arial" w:cs="Arial"/>
          <w:lang w:val="en-US"/>
        </w:rPr>
        <w:t>It is possible to justify an interference in the rights contained in the first paragraph, on the basis of the grounds set out in the second paragraph.</w:t>
      </w:r>
      <w:r w:rsidR="009F3F37">
        <w:rPr>
          <w:rFonts w:ascii="Arial" w:hAnsi="Arial" w:cs="Arial"/>
          <w:lang w:val="en-US"/>
        </w:rPr>
        <w:t xml:space="preserve"> </w:t>
      </w:r>
      <w:r w:rsidRPr="001E3C88">
        <w:rPr>
          <w:rFonts w:ascii="Arial" w:hAnsi="Arial" w:cs="Arial"/>
          <w:lang w:val="en-US"/>
        </w:rPr>
        <w:t>Cases under Article 8, therefore, often involve a two-stage process.</w:t>
      </w:r>
      <w:r w:rsidR="009F3F37">
        <w:rPr>
          <w:rFonts w:ascii="Arial" w:hAnsi="Arial" w:cs="Arial"/>
          <w:lang w:val="en-US"/>
        </w:rPr>
        <w:t xml:space="preserve"> </w:t>
      </w:r>
      <w:r w:rsidRPr="001E3C88">
        <w:rPr>
          <w:rFonts w:ascii="Arial" w:hAnsi="Arial" w:cs="Arial"/>
          <w:lang w:val="en-US"/>
        </w:rPr>
        <w:t>First, there is a determination of whether the right under Article 8(1) has been infringed.</w:t>
      </w:r>
      <w:r w:rsidR="009F3F37">
        <w:rPr>
          <w:rFonts w:ascii="Arial" w:hAnsi="Arial" w:cs="Arial"/>
          <w:lang w:val="en-US"/>
        </w:rPr>
        <w:t xml:space="preserve"> </w:t>
      </w:r>
      <w:r w:rsidRPr="001E3C88">
        <w:rPr>
          <w:rFonts w:ascii="Arial" w:hAnsi="Arial" w:cs="Arial"/>
          <w:lang w:val="en-US"/>
        </w:rPr>
        <w:t>If so, the court should proceed to the second stage which is an assessment of whether the interference is justified under Article 8(2).</w:t>
      </w:r>
      <w:r w:rsidR="009F3F37">
        <w:rPr>
          <w:rFonts w:ascii="Arial" w:hAnsi="Arial" w:cs="Arial"/>
          <w:lang w:val="en-US"/>
        </w:rPr>
        <w:t xml:space="preserve"> </w:t>
      </w:r>
      <w:r w:rsidRPr="001E3C88">
        <w:rPr>
          <w:rFonts w:ascii="Arial" w:hAnsi="Arial" w:cs="Arial"/>
        </w:rPr>
        <w:t>This will require an assessment of whether the interference was prescribed by the law, whether the interference was necessary in the interests of one of the listed, legitimate, aims and, finally, whether the interference was necessary in a democratic society in pursuance of the legitimate aim. Any interference with a right must be shown to have been in response to a pressing social need to act for that purpose and to be a proportionate response to that purpose.</w:t>
      </w:r>
      <w:r w:rsidRPr="001E3C88">
        <w:rPr>
          <w:rFonts w:ascii="Arial" w:hAnsi="Arial" w:cs="Arial"/>
          <w:vertAlign w:val="superscript"/>
        </w:rPr>
        <w:footnoteReference w:id="29"/>
      </w:r>
      <w:r w:rsidR="009F3F37">
        <w:rPr>
          <w:rFonts w:ascii="Arial" w:hAnsi="Arial" w:cs="Arial"/>
        </w:rPr>
        <w:t xml:space="preserve"> </w:t>
      </w:r>
      <w:r w:rsidRPr="001E3C88">
        <w:rPr>
          <w:rFonts w:ascii="Arial" w:hAnsi="Arial" w:cs="Arial"/>
        </w:rPr>
        <w:t>Proportionality thus becomes a ‘vehicle for conducting a balancing exercise’ by requiring a balance between the nature and extent of the interference against the reasons for interfering.</w:t>
      </w:r>
      <w:r w:rsidRPr="001E3C88">
        <w:rPr>
          <w:rFonts w:ascii="Arial" w:hAnsi="Arial" w:cs="Arial"/>
          <w:vertAlign w:val="superscript"/>
        </w:rPr>
        <w:footnoteReference w:id="30"/>
      </w:r>
      <w:r w:rsidR="009F3F37">
        <w:rPr>
          <w:rFonts w:ascii="Arial" w:hAnsi="Arial" w:cs="Arial"/>
        </w:rPr>
        <w:t xml:space="preserve"> </w:t>
      </w:r>
      <w:r w:rsidRPr="001E3C88">
        <w:rPr>
          <w:rFonts w:ascii="Arial" w:hAnsi="Arial" w:cs="Arial"/>
        </w:rPr>
        <w:t>In general</w:t>
      </w:r>
      <w:r w:rsidRPr="001E3C88">
        <w:rPr>
          <w:rFonts w:ascii="Arial" w:hAnsi="Arial" w:cs="Arial"/>
          <w:bCs/>
        </w:rPr>
        <w:t>,</w:t>
      </w:r>
      <w:r w:rsidRPr="001E3C88">
        <w:rPr>
          <w:rFonts w:ascii="Arial" w:hAnsi="Arial" w:cs="Arial"/>
        </w:rPr>
        <w:t xml:space="preserve"> in determining the issue of proportionality</w:t>
      </w:r>
      <w:r w:rsidRPr="001E3C88">
        <w:rPr>
          <w:rFonts w:ascii="Arial" w:hAnsi="Arial" w:cs="Arial"/>
          <w:bCs/>
        </w:rPr>
        <w:t xml:space="preserve"> </w:t>
      </w:r>
      <w:r w:rsidRPr="001E3C88">
        <w:rPr>
          <w:rFonts w:ascii="Arial" w:hAnsi="Arial" w:cs="Arial"/>
        </w:rPr>
        <w:t xml:space="preserve">whether the measures taken are ‘necessary in a democratic society’, the Court will consider whether, in the light of the case as a whole, the reasons adduced to justify them were relevant and sufficient for the purpose </w:t>
      </w:r>
      <w:r w:rsidRPr="001E3C88">
        <w:rPr>
          <w:rFonts w:ascii="Arial" w:hAnsi="Arial" w:cs="Arial"/>
        </w:rPr>
        <w:lastRenderedPageBreak/>
        <w:t>of paragraph 2 of Article 8,</w:t>
      </w:r>
      <w:r w:rsidRPr="001E3C88">
        <w:rPr>
          <w:rFonts w:ascii="Arial" w:hAnsi="Arial" w:cs="Arial"/>
          <w:vertAlign w:val="superscript"/>
        </w:rPr>
        <w:footnoteReference w:id="31"/>
      </w:r>
      <w:r w:rsidR="009F3F37">
        <w:rPr>
          <w:rFonts w:ascii="Arial" w:hAnsi="Arial" w:cs="Arial"/>
        </w:rPr>
        <w:t xml:space="preserve"> </w:t>
      </w:r>
      <w:r w:rsidRPr="001E3C88">
        <w:rPr>
          <w:rFonts w:ascii="Arial" w:hAnsi="Arial" w:cs="Arial"/>
        </w:rPr>
        <w:t>In making this assessment, the Court will afford the national authorities a margin of appreciation, in recognition of the fact that they are better placed to the primary judgment as to the needs of the parties involved and the appropriate balance to be struck between them.</w:t>
      </w:r>
      <w:r w:rsidRPr="001E3C88">
        <w:rPr>
          <w:rFonts w:ascii="Arial" w:hAnsi="Arial" w:cs="Arial"/>
          <w:vertAlign w:val="superscript"/>
        </w:rPr>
        <w:footnoteReference w:id="32"/>
      </w:r>
      <w:r w:rsidR="009F3F37">
        <w:rPr>
          <w:rFonts w:ascii="Arial" w:hAnsi="Arial" w:cs="Arial"/>
        </w:rPr>
        <w:t xml:space="preserve"> </w:t>
      </w:r>
    </w:p>
    <w:p w14:paraId="35DA9BEB" w14:textId="77777777" w:rsidR="001E3C88" w:rsidRPr="001E3C88" w:rsidRDefault="001E3C88" w:rsidP="001E3C88">
      <w:pPr>
        <w:spacing w:after="0" w:line="360" w:lineRule="auto"/>
        <w:jc w:val="both"/>
        <w:rPr>
          <w:rFonts w:ascii="Arial" w:hAnsi="Arial" w:cs="Arial"/>
          <w:lang w:val="en-US"/>
        </w:rPr>
      </w:pPr>
    </w:p>
    <w:p w14:paraId="1E9C495C" w14:textId="66CF31E0" w:rsidR="001E3C88" w:rsidRPr="001E3C88" w:rsidRDefault="001E3C88" w:rsidP="003E0E64">
      <w:pPr>
        <w:spacing w:after="0" w:line="360" w:lineRule="auto"/>
        <w:ind w:firstLine="720"/>
        <w:jc w:val="both"/>
        <w:rPr>
          <w:rFonts w:ascii="Arial" w:hAnsi="Arial" w:cs="Arial"/>
          <w:lang w:val="en-US"/>
        </w:rPr>
      </w:pPr>
      <w:r w:rsidRPr="001E3C88">
        <w:rPr>
          <w:rFonts w:ascii="Arial" w:hAnsi="Arial" w:cs="Arial"/>
          <w:lang w:val="en-US"/>
        </w:rPr>
        <w:t>First, the word ‘respect’ is significant.</w:t>
      </w:r>
      <w:r w:rsidR="009F3F37">
        <w:rPr>
          <w:rFonts w:ascii="Arial" w:hAnsi="Arial" w:cs="Arial"/>
          <w:lang w:val="en-US"/>
        </w:rPr>
        <w:t xml:space="preserve"> </w:t>
      </w:r>
      <w:r w:rsidRPr="001E3C88">
        <w:rPr>
          <w:rFonts w:ascii="Arial" w:hAnsi="Arial" w:cs="Arial"/>
          <w:lang w:val="en-US"/>
        </w:rPr>
        <w:t>It requires more than mere toleration or an ensuring that the rights are not breached.</w:t>
      </w:r>
      <w:r w:rsidR="009F3F37">
        <w:rPr>
          <w:rFonts w:ascii="Arial" w:hAnsi="Arial" w:cs="Arial"/>
          <w:lang w:val="en-US"/>
        </w:rPr>
        <w:t xml:space="preserve"> </w:t>
      </w:r>
      <w:r w:rsidRPr="001E3C88">
        <w:rPr>
          <w:rFonts w:ascii="Arial" w:hAnsi="Arial" w:cs="Arial"/>
          <w:lang w:val="en-US"/>
        </w:rPr>
        <w:t>The word respect implies a positive duty to ensure these rights are given the weight they deserve.</w:t>
      </w:r>
      <w:r w:rsidR="009F3F37">
        <w:rPr>
          <w:rFonts w:ascii="Arial" w:hAnsi="Arial" w:cs="Arial"/>
          <w:lang w:val="en-US"/>
        </w:rPr>
        <w:t xml:space="preserve"> </w:t>
      </w:r>
      <w:r w:rsidRPr="001E3C88">
        <w:rPr>
          <w:rFonts w:ascii="Arial" w:hAnsi="Arial" w:cs="Arial"/>
          <w:lang w:val="en-US"/>
        </w:rPr>
        <w:t>This can include requiring the state to take proactive steps to ensure the protection of rights.</w:t>
      </w:r>
      <w:r w:rsidR="009F3F37">
        <w:rPr>
          <w:rFonts w:ascii="Arial" w:hAnsi="Arial" w:cs="Arial"/>
          <w:lang w:val="en-US"/>
        </w:rPr>
        <w:t xml:space="preserve"> </w:t>
      </w:r>
      <w:r w:rsidRPr="001E3C88">
        <w:rPr>
          <w:rFonts w:ascii="Arial" w:hAnsi="Arial" w:cs="Arial"/>
          <w:lang w:val="en-US"/>
        </w:rPr>
        <w:t xml:space="preserve"> </w:t>
      </w:r>
    </w:p>
    <w:p w14:paraId="6CB710BB" w14:textId="77777777" w:rsidR="001E3C88" w:rsidRPr="001E3C88" w:rsidRDefault="001E3C88" w:rsidP="001E3C88">
      <w:pPr>
        <w:spacing w:after="0" w:line="360" w:lineRule="auto"/>
        <w:jc w:val="both"/>
        <w:rPr>
          <w:rFonts w:ascii="Arial" w:hAnsi="Arial" w:cs="Arial"/>
          <w:lang w:val="en-US"/>
        </w:rPr>
      </w:pPr>
    </w:p>
    <w:p w14:paraId="4609CC9F" w14:textId="5C9C82C4" w:rsidR="001E3C88" w:rsidRPr="001E3C88" w:rsidRDefault="001E3C88" w:rsidP="003003DC">
      <w:pPr>
        <w:spacing w:after="0" w:line="360" w:lineRule="auto"/>
        <w:ind w:firstLine="720"/>
        <w:jc w:val="both"/>
        <w:rPr>
          <w:rFonts w:ascii="Arial" w:hAnsi="Arial" w:cs="Arial"/>
        </w:rPr>
      </w:pPr>
      <w:r w:rsidRPr="001E3C88">
        <w:rPr>
          <w:rFonts w:ascii="Arial" w:hAnsi="Arial" w:cs="Arial"/>
          <w:iCs/>
        </w:rPr>
        <w:t xml:space="preserve">Second, Article 8 is not restricted to what might typically be considered part of privacy or family life, but </w:t>
      </w:r>
      <w:r w:rsidRPr="001E3C88">
        <w:rPr>
          <w:rFonts w:ascii="Arial" w:hAnsi="Arial" w:cs="Arial"/>
        </w:rPr>
        <w:t>‘the concept of private life covers the physical and moral integrity of the person’.</w:t>
      </w:r>
      <w:r w:rsidRPr="001E3C88">
        <w:rPr>
          <w:rFonts w:ascii="Arial" w:hAnsi="Arial" w:cs="Arial"/>
          <w:vertAlign w:val="superscript"/>
        </w:rPr>
        <w:footnoteReference w:id="33"/>
      </w:r>
      <w:r w:rsidR="009F3F37">
        <w:rPr>
          <w:rFonts w:ascii="Arial" w:hAnsi="Arial" w:cs="Arial"/>
        </w:rPr>
        <w:t xml:space="preserve"> </w:t>
      </w:r>
      <w:r w:rsidRPr="001E3C88">
        <w:rPr>
          <w:rFonts w:ascii="Arial" w:hAnsi="Arial" w:cs="Arial"/>
        </w:rPr>
        <w:t xml:space="preserve">In </w:t>
      </w:r>
      <w:r w:rsidRPr="001E3C88">
        <w:rPr>
          <w:rFonts w:ascii="Arial" w:hAnsi="Arial" w:cs="Arial"/>
          <w:i/>
          <w:iCs/>
        </w:rPr>
        <w:t>X and Y v The Netherlands</w:t>
      </w:r>
      <w:r w:rsidRPr="001E3C88">
        <w:rPr>
          <w:rFonts w:ascii="Arial" w:hAnsi="Arial" w:cs="Arial"/>
          <w:vertAlign w:val="superscript"/>
        </w:rPr>
        <w:footnoteReference w:id="34"/>
      </w:r>
      <w:r w:rsidRPr="001E3C88">
        <w:rPr>
          <w:rFonts w:ascii="Arial" w:hAnsi="Arial" w:cs="Arial"/>
        </w:rPr>
        <w:t xml:space="preserve"> the lack of effective protection under the criminal law against sexual assault for a mentally ill woman was said to amount to an infringement of her right to private life.</w:t>
      </w:r>
      <w:r w:rsidR="009F3F37">
        <w:rPr>
          <w:rFonts w:ascii="Arial" w:hAnsi="Arial" w:cs="Arial"/>
        </w:rPr>
        <w:t xml:space="preserve"> </w:t>
      </w:r>
      <w:r w:rsidRPr="001E3C88">
        <w:rPr>
          <w:rFonts w:ascii="Arial" w:hAnsi="Arial" w:cs="Arial"/>
        </w:rPr>
        <w:t>Mental health and stability is said to be part of a person’s moral integrity.</w:t>
      </w:r>
      <w:r w:rsidRPr="001E3C88">
        <w:rPr>
          <w:rFonts w:ascii="Arial" w:hAnsi="Arial" w:cs="Arial"/>
          <w:vertAlign w:val="superscript"/>
        </w:rPr>
        <w:footnoteReference w:id="35"/>
      </w:r>
      <w:r w:rsidR="009F3F37">
        <w:rPr>
          <w:rFonts w:ascii="Arial" w:hAnsi="Arial" w:cs="Arial"/>
        </w:rPr>
        <w:t xml:space="preserve"> </w:t>
      </w:r>
      <w:r w:rsidRPr="001E3C88">
        <w:rPr>
          <w:rFonts w:ascii="Arial" w:hAnsi="Arial" w:cs="Arial"/>
        </w:rPr>
        <w:t>It goes even further than this because the ECtHR has stated that Article 8 is concerned with protecting a person’s physical and psychological integrity</w:t>
      </w:r>
      <w:r w:rsidR="00665FE7">
        <w:rPr>
          <w:rFonts w:ascii="Arial" w:hAnsi="Arial" w:cs="Arial"/>
        </w:rPr>
        <w:t>,</w:t>
      </w:r>
      <w:r w:rsidRPr="001E3C88">
        <w:rPr>
          <w:rFonts w:ascii="Arial" w:hAnsi="Arial" w:cs="Arial"/>
          <w:vertAlign w:val="superscript"/>
        </w:rPr>
        <w:footnoteReference w:id="36"/>
      </w:r>
      <w:r w:rsidRPr="001E3C88">
        <w:rPr>
          <w:rFonts w:ascii="Arial" w:hAnsi="Arial" w:cs="Arial"/>
        </w:rPr>
        <w:t xml:space="preserve"> and their right to identity and personal development.</w:t>
      </w:r>
      <w:r w:rsidRPr="001E3C88">
        <w:rPr>
          <w:rFonts w:ascii="Arial" w:hAnsi="Arial" w:cs="Arial"/>
          <w:vertAlign w:val="superscript"/>
        </w:rPr>
        <w:footnoteReference w:id="37"/>
      </w:r>
      <w:r w:rsidR="009F3F37">
        <w:rPr>
          <w:rFonts w:ascii="Arial" w:hAnsi="Arial" w:cs="Arial"/>
        </w:rPr>
        <w:t xml:space="preserve"> </w:t>
      </w:r>
    </w:p>
    <w:p w14:paraId="00FBBED1" w14:textId="77777777" w:rsidR="001E3C88" w:rsidRPr="001E3C88" w:rsidRDefault="001E3C88" w:rsidP="001E3C88">
      <w:pPr>
        <w:spacing w:after="0" w:line="360" w:lineRule="auto"/>
        <w:jc w:val="both"/>
        <w:rPr>
          <w:rFonts w:ascii="Arial" w:hAnsi="Arial" w:cs="Arial"/>
        </w:rPr>
      </w:pPr>
    </w:p>
    <w:p w14:paraId="54D3FD3D" w14:textId="3191EF3B" w:rsidR="001E3C88" w:rsidRPr="001E3C88" w:rsidRDefault="001E3C88" w:rsidP="00665FE7">
      <w:pPr>
        <w:spacing w:after="0" w:line="360" w:lineRule="auto"/>
        <w:ind w:firstLine="720"/>
        <w:jc w:val="both"/>
        <w:rPr>
          <w:rFonts w:ascii="Arial" w:hAnsi="Arial" w:cs="Arial"/>
        </w:rPr>
      </w:pPr>
      <w:r w:rsidRPr="001E3C88">
        <w:rPr>
          <w:rFonts w:ascii="Arial" w:hAnsi="Arial" w:cs="Arial"/>
        </w:rPr>
        <w:t>With these points in mind, despite it being initially perceived as a paradox, interference on women’s freedom to move freely around in public spaces is a breach of their Article 8 rights.</w:t>
      </w:r>
      <w:r w:rsidR="009F3F37">
        <w:rPr>
          <w:rFonts w:ascii="Arial" w:hAnsi="Arial" w:cs="Arial"/>
        </w:rPr>
        <w:t xml:space="preserve"> </w:t>
      </w:r>
      <w:r w:rsidRPr="001E3C88">
        <w:rPr>
          <w:rFonts w:ascii="Arial" w:hAnsi="Arial" w:cs="Arial"/>
        </w:rPr>
        <w:t>The terror induced, even where the walk does not lead to actual attack</w:t>
      </w:r>
      <w:r w:rsidR="00665FE7">
        <w:rPr>
          <w:rFonts w:ascii="Arial" w:hAnsi="Arial" w:cs="Arial"/>
        </w:rPr>
        <w:t>,</w:t>
      </w:r>
      <w:r w:rsidRPr="001E3C88">
        <w:rPr>
          <w:rFonts w:ascii="Arial" w:hAnsi="Arial" w:cs="Arial"/>
        </w:rPr>
        <w:t xml:space="preserve"> is an interference in their psychological security.</w:t>
      </w:r>
      <w:r w:rsidR="009F3F37">
        <w:rPr>
          <w:rFonts w:ascii="Arial" w:hAnsi="Arial" w:cs="Arial"/>
        </w:rPr>
        <w:t xml:space="preserve"> </w:t>
      </w:r>
      <w:r w:rsidRPr="001E3C88">
        <w:rPr>
          <w:rFonts w:ascii="Arial" w:hAnsi="Arial" w:cs="Arial"/>
        </w:rPr>
        <w:t>The low-level harassment, particularly when put in the context of the wider negatives social messages sent against women in pornography and “everyday sexism”</w:t>
      </w:r>
      <w:r w:rsidR="00665FE7">
        <w:rPr>
          <w:rFonts w:ascii="Arial" w:hAnsi="Arial" w:cs="Arial"/>
        </w:rPr>
        <w:t>,</w:t>
      </w:r>
      <w:r w:rsidRPr="001E3C88">
        <w:rPr>
          <w:rFonts w:ascii="Arial" w:hAnsi="Arial" w:cs="Arial"/>
        </w:rPr>
        <w:t xml:space="preserve"> is significant.</w:t>
      </w:r>
      <w:r w:rsidR="009F3F37">
        <w:rPr>
          <w:rFonts w:ascii="Arial" w:hAnsi="Arial" w:cs="Arial"/>
        </w:rPr>
        <w:t xml:space="preserve"> </w:t>
      </w:r>
      <w:r w:rsidRPr="001E3C88">
        <w:rPr>
          <w:rFonts w:ascii="Arial" w:hAnsi="Arial" w:cs="Arial"/>
        </w:rPr>
        <w:t>There is, therefore, a duty on the state to prevent this in a proportionate way.</w:t>
      </w:r>
      <w:r w:rsidR="009F3F37">
        <w:rPr>
          <w:rFonts w:ascii="Arial" w:hAnsi="Arial" w:cs="Arial"/>
        </w:rPr>
        <w:t xml:space="preserve"> </w:t>
      </w:r>
      <w:r w:rsidRPr="001E3C88">
        <w:rPr>
          <w:rFonts w:ascii="Arial" w:hAnsi="Arial" w:cs="Arial"/>
        </w:rPr>
        <w:t>It will be argued later that a curfew is an appropriate way to meet the obligations imposed by this duty.</w:t>
      </w:r>
    </w:p>
    <w:p w14:paraId="63A6F888" w14:textId="77777777" w:rsidR="001E3C88" w:rsidRDefault="001E3C88" w:rsidP="001E3C88">
      <w:pPr>
        <w:spacing w:after="0" w:line="360" w:lineRule="auto"/>
        <w:jc w:val="both"/>
        <w:rPr>
          <w:rFonts w:ascii="Arial" w:hAnsi="Arial" w:cs="Arial"/>
        </w:rPr>
      </w:pPr>
    </w:p>
    <w:p w14:paraId="681F97F3" w14:textId="77777777" w:rsidR="00AF6B7D" w:rsidRDefault="00AF6B7D" w:rsidP="001E3C88">
      <w:pPr>
        <w:spacing w:after="0" w:line="360" w:lineRule="auto"/>
        <w:jc w:val="both"/>
        <w:rPr>
          <w:rFonts w:ascii="Arial" w:hAnsi="Arial" w:cs="Arial"/>
        </w:rPr>
      </w:pPr>
    </w:p>
    <w:p w14:paraId="0E454F4A" w14:textId="77777777" w:rsidR="00AF6B7D" w:rsidRDefault="00AF6B7D" w:rsidP="001E3C88">
      <w:pPr>
        <w:spacing w:after="0" w:line="360" w:lineRule="auto"/>
        <w:jc w:val="both"/>
        <w:rPr>
          <w:rFonts w:ascii="Arial" w:hAnsi="Arial" w:cs="Arial"/>
        </w:rPr>
      </w:pPr>
    </w:p>
    <w:p w14:paraId="4D05B23F" w14:textId="77777777" w:rsidR="00AF6B7D" w:rsidRDefault="00AF6B7D" w:rsidP="001E3C88">
      <w:pPr>
        <w:spacing w:after="0" w:line="360" w:lineRule="auto"/>
        <w:jc w:val="both"/>
        <w:rPr>
          <w:rFonts w:ascii="Arial" w:hAnsi="Arial" w:cs="Arial"/>
        </w:rPr>
      </w:pPr>
    </w:p>
    <w:p w14:paraId="3E11CA61" w14:textId="77777777" w:rsidR="00AF6B7D" w:rsidRPr="001E3C88" w:rsidRDefault="00AF6B7D" w:rsidP="001E3C88">
      <w:pPr>
        <w:spacing w:after="0" w:line="360" w:lineRule="auto"/>
        <w:jc w:val="both"/>
        <w:rPr>
          <w:rFonts w:ascii="Arial" w:hAnsi="Arial" w:cs="Arial"/>
        </w:rPr>
      </w:pPr>
    </w:p>
    <w:p w14:paraId="179969E0" w14:textId="7B51707E" w:rsidR="001E3C88" w:rsidRPr="001E3C88" w:rsidRDefault="001E3C88" w:rsidP="001E3C88">
      <w:pPr>
        <w:spacing w:after="0" w:line="360" w:lineRule="auto"/>
        <w:jc w:val="both"/>
        <w:rPr>
          <w:rFonts w:ascii="Arial" w:hAnsi="Arial" w:cs="Arial"/>
          <w:b/>
          <w:bCs/>
        </w:rPr>
      </w:pPr>
      <w:r w:rsidRPr="001E3C88">
        <w:rPr>
          <w:rFonts w:ascii="Arial" w:hAnsi="Arial" w:cs="Arial"/>
          <w:b/>
          <w:bCs/>
        </w:rPr>
        <w:lastRenderedPageBreak/>
        <w:t>Article 5</w:t>
      </w:r>
    </w:p>
    <w:p w14:paraId="737F8280" w14:textId="77777777" w:rsidR="001E3C88" w:rsidRPr="001E3C88" w:rsidRDefault="001E3C88" w:rsidP="001E3C88">
      <w:pPr>
        <w:spacing w:after="0" w:line="360" w:lineRule="auto"/>
        <w:jc w:val="both"/>
        <w:rPr>
          <w:rFonts w:ascii="Arial" w:hAnsi="Arial" w:cs="Arial"/>
        </w:rPr>
      </w:pPr>
    </w:p>
    <w:p w14:paraId="7DBE5751" w14:textId="77777777" w:rsidR="001E3C88" w:rsidRPr="001E3C88" w:rsidRDefault="001E3C88" w:rsidP="001E3C88">
      <w:pPr>
        <w:spacing w:after="0" w:line="360" w:lineRule="auto"/>
        <w:jc w:val="both"/>
        <w:rPr>
          <w:rFonts w:ascii="Arial" w:hAnsi="Arial" w:cs="Arial"/>
        </w:rPr>
      </w:pPr>
      <w:r w:rsidRPr="001E3C88">
        <w:rPr>
          <w:rFonts w:ascii="Arial" w:hAnsi="Arial" w:cs="Arial"/>
        </w:rPr>
        <w:t xml:space="preserve">Article 5 </w:t>
      </w:r>
    </w:p>
    <w:p w14:paraId="0A28B125" w14:textId="77777777" w:rsidR="001E3C88" w:rsidRPr="001E3C88" w:rsidRDefault="001E3C88" w:rsidP="001E3C88">
      <w:pPr>
        <w:numPr>
          <w:ilvl w:val="0"/>
          <w:numId w:val="22"/>
        </w:numPr>
        <w:spacing w:after="0" w:line="360" w:lineRule="auto"/>
        <w:jc w:val="both"/>
        <w:rPr>
          <w:rFonts w:ascii="Arial" w:hAnsi="Arial" w:cs="Arial"/>
        </w:rPr>
      </w:pPr>
      <w:r w:rsidRPr="001E3C88">
        <w:rPr>
          <w:rFonts w:ascii="Arial" w:hAnsi="Arial" w:cs="Arial"/>
        </w:rPr>
        <w:t>Everyone has the right to liberty and security of person. No one shall be deprived of his liberty save in the following cases and in accordance with a procedure prescribed by law….”</w:t>
      </w:r>
    </w:p>
    <w:p w14:paraId="56208F83" w14:textId="77777777" w:rsidR="001E3C88" w:rsidRPr="001E3C88" w:rsidRDefault="001E3C88" w:rsidP="001E3C88">
      <w:pPr>
        <w:spacing w:after="0" w:line="360" w:lineRule="auto"/>
        <w:jc w:val="both"/>
        <w:rPr>
          <w:rFonts w:ascii="Arial" w:hAnsi="Arial" w:cs="Arial"/>
        </w:rPr>
      </w:pPr>
    </w:p>
    <w:p w14:paraId="3A2E81D6" w14:textId="5BBA08FC" w:rsidR="001E3C88" w:rsidRPr="001E3C88" w:rsidRDefault="001E3C88" w:rsidP="001E3C88">
      <w:pPr>
        <w:spacing w:after="0" w:line="360" w:lineRule="auto"/>
        <w:jc w:val="both"/>
        <w:rPr>
          <w:rFonts w:ascii="Arial" w:hAnsi="Arial" w:cs="Arial"/>
        </w:rPr>
      </w:pPr>
      <w:r w:rsidRPr="001E3C88">
        <w:rPr>
          <w:rFonts w:ascii="Arial" w:hAnsi="Arial" w:cs="Arial"/>
        </w:rPr>
        <w:t>There then follows a list of circumstances in which a person may be detained by the authorities.</w:t>
      </w:r>
      <w:r w:rsidR="009F3F37">
        <w:rPr>
          <w:rFonts w:ascii="Arial" w:hAnsi="Arial" w:cs="Arial"/>
        </w:rPr>
        <w:t xml:space="preserve"> </w:t>
      </w:r>
      <w:r w:rsidRPr="001E3C88">
        <w:rPr>
          <w:rFonts w:ascii="Arial" w:hAnsi="Arial" w:cs="Arial"/>
        </w:rPr>
        <w:t>As with the other rights</w:t>
      </w:r>
      <w:r w:rsidR="00E631F5">
        <w:rPr>
          <w:rFonts w:ascii="Arial" w:hAnsi="Arial" w:cs="Arial"/>
        </w:rPr>
        <w:t>,</w:t>
      </w:r>
      <w:r w:rsidRPr="001E3C88">
        <w:rPr>
          <w:rFonts w:ascii="Arial" w:hAnsi="Arial" w:cs="Arial"/>
        </w:rPr>
        <w:t xml:space="preserve"> there is a positive obligation on the State to not only refrain from impeding rights, but to avoid protection of the right to liberty from everyone, even if the source of the interference is another citizen.</w:t>
      </w:r>
      <w:r w:rsidRPr="001E3C88">
        <w:rPr>
          <w:rFonts w:ascii="Arial" w:hAnsi="Arial" w:cs="Arial"/>
          <w:vertAlign w:val="superscript"/>
        </w:rPr>
        <w:footnoteReference w:id="38"/>
      </w:r>
      <w:r w:rsidR="009F3F37">
        <w:rPr>
          <w:rFonts w:ascii="Arial" w:hAnsi="Arial" w:cs="Arial"/>
        </w:rPr>
        <w:t xml:space="preserve"> </w:t>
      </w:r>
      <w:r w:rsidRPr="001E3C88">
        <w:rPr>
          <w:rFonts w:ascii="Arial" w:hAnsi="Arial" w:cs="Arial"/>
        </w:rPr>
        <w:t>This is an enhanced obligation where vulnerable people are impacted.</w:t>
      </w:r>
      <w:r w:rsidRPr="001E3C88">
        <w:rPr>
          <w:rFonts w:ascii="Arial" w:hAnsi="Arial" w:cs="Arial"/>
          <w:vertAlign w:val="superscript"/>
        </w:rPr>
        <w:footnoteReference w:id="39"/>
      </w:r>
      <w:r w:rsidR="009F3F37">
        <w:rPr>
          <w:rFonts w:ascii="Arial" w:hAnsi="Arial" w:cs="Arial"/>
        </w:rPr>
        <w:t xml:space="preserve"> </w:t>
      </w:r>
      <w:r w:rsidRPr="001E3C88">
        <w:rPr>
          <w:rFonts w:ascii="Arial" w:hAnsi="Arial" w:cs="Arial"/>
        </w:rPr>
        <w:t>The European Court of Human Rights has not yet had the opportunity to explore this application of this positive obligation in the context of violence in public.</w:t>
      </w:r>
      <w:r w:rsidR="009F3F37">
        <w:rPr>
          <w:rFonts w:ascii="Arial" w:hAnsi="Arial" w:cs="Arial"/>
        </w:rPr>
        <w:t xml:space="preserve"> </w:t>
      </w:r>
      <w:r w:rsidR="00E631F5">
        <w:rPr>
          <w:rFonts w:ascii="Arial" w:hAnsi="Arial" w:cs="Arial"/>
        </w:rPr>
        <w:t>Drawing</w:t>
      </w:r>
      <w:r w:rsidRPr="001E3C88">
        <w:rPr>
          <w:rFonts w:ascii="Arial" w:hAnsi="Arial" w:cs="Arial"/>
        </w:rPr>
        <w:t xml:space="preserve"> on the development of the law in relation to domestic abuse, </w:t>
      </w:r>
      <w:r w:rsidR="00E631F5">
        <w:rPr>
          <w:rFonts w:ascii="Arial" w:hAnsi="Arial" w:cs="Arial"/>
        </w:rPr>
        <w:t xml:space="preserve">however, </w:t>
      </w:r>
      <w:r w:rsidRPr="001E3C88">
        <w:rPr>
          <w:rFonts w:ascii="Arial" w:hAnsi="Arial" w:cs="Arial"/>
        </w:rPr>
        <w:t>it seems perfectly plausible to claim that for the many women for whom fear of attacks or harassment means they avoid public places, this is a clear breach of their freedom of their right to liberty under Article 5.</w:t>
      </w:r>
      <w:r w:rsidR="009F3F37">
        <w:rPr>
          <w:rFonts w:ascii="Arial" w:hAnsi="Arial" w:cs="Arial"/>
        </w:rPr>
        <w:t xml:space="preserve"> </w:t>
      </w:r>
      <w:r w:rsidRPr="001E3C88">
        <w:rPr>
          <w:rFonts w:ascii="Arial" w:hAnsi="Arial" w:cs="Arial"/>
        </w:rPr>
        <w:t>Of course</w:t>
      </w:r>
      <w:r w:rsidR="00E631F5">
        <w:rPr>
          <w:rFonts w:ascii="Arial" w:hAnsi="Arial" w:cs="Arial"/>
        </w:rPr>
        <w:t>,</w:t>
      </w:r>
      <w:r w:rsidRPr="001E3C88">
        <w:rPr>
          <w:rFonts w:ascii="Arial" w:hAnsi="Arial" w:cs="Arial"/>
        </w:rPr>
        <w:t xml:space="preserve"> a curfew will also impede the rights of men to access public spaces, and we will be returning to that shortly. </w:t>
      </w:r>
    </w:p>
    <w:p w14:paraId="2537C224" w14:textId="77777777" w:rsidR="001E3C88" w:rsidRPr="001E3C88" w:rsidRDefault="001E3C88" w:rsidP="001E3C88">
      <w:pPr>
        <w:spacing w:after="0" w:line="360" w:lineRule="auto"/>
        <w:jc w:val="both"/>
        <w:rPr>
          <w:rFonts w:ascii="Arial" w:hAnsi="Arial" w:cs="Arial"/>
        </w:rPr>
      </w:pPr>
    </w:p>
    <w:p w14:paraId="671F98EC" w14:textId="4FFB0E87" w:rsidR="001E3C88" w:rsidRPr="001E3C88" w:rsidRDefault="001E3C88" w:rsidP="001E3C88">
      <w:pPr>
        <w:spacing w:after="0" w:line="360" w:lineRule="auto"/>
        <w:jc w:val="both"/>
        <w:rPr>
          <w:rFonts w:ascii="Arial" w:hAnsi="Arial" w:cs="Arial"/>
          <w:b/>
          <w:bCs/>
        </w:rPr>
      </w:pPr>
      <w:r w:rsidRPr="001E3C88">
        <w:rPr>
          <w:rFonts w:ascii="Arial" w:hAnsi="Arial" w:cs="Arial"/>
          <w:b/>
          <w:bCs/>
        </w:rPr>
        <w:t>Article 14</w:t>
      </w:r>
    </w:p>
    <w:p w14:paraId="423A7844" w14:textId="77777777" w:rsidR="001E3C88" w:rsidRPr="001E3C88" w:rsidRDefault="001E3C88" w:rsidP="001E3C88">
      <w:pPr>
        <w:spacing w:after="0" w:line="360" w:lineRule="auto"/>
        <w:jc w:val="both"/>
        <w:rPr>
          <w:rFonts w:ascii="Arial" w:hAnsi="Arial" w:cs="Arial"/>
          <w:lang w:val="en-US"/>
        </w:rPr>
      </w:pPr>
    </w:p>
    <w:p w14:paraId="58249D12" w14:textId="77777777" w:rsidR="001E3C88" w:rsidRPr="001E3C88" w:rsidRDefault="001E3C88" w:rsidP="001E3C88">
      <w:pPr>
        <w:spacing w:after="0" w:line="360" w:lineRule="auto"/>
        <w:jc w:val="both"/>
        <w:rPr>
          <w:rFonts w:ascii="Arial" w:hAnsi="Arial" w:cs="Arial"/>
        </w:rPr>
      </w:pPr>
      <w:r w:rsidRPr="001E3C88">
        <w:rPr>
          <w:rFonts w:ascii="Arial" w:hAnsi="Arial" w:cs="Arial"/>
        </w:rPr>
        <w:t>Article 14 provides:</w:t>
      </w:r>
    </w:p>
    <w:p w14:paraId="0FAAA99D" w14:textId="77777777" w:rsidR="001E3C88" w:rsidRPr="001E3C88" w:rsidRDefault="001E3C88" w:rsidP="001E3C88">
      <w:pPr>
        <w:spacing w:after="0" w:line="360" w:lineRule="auto"/>
        <w:jc w:val="both"/>
        <w:rPr>
          <w:rFonts w:ascii="Arial" w:hAnsi="Arial" w:cs="Arial"/>
        </w:rPr>
      </w:pPr>
    </w:p>
    <w:p w14:paraId="213998FF" w14:textId="77777777" w:rsidR="001E3C88" w:rsidRPr="001E3C88" w:rsidRDefault="001E3C88" w:rsidP="00E631F5">
      <w:pPr>
        <w:spacing w:after="0" w:line="360" w:lineRule="auto"/>
        <w:ind w:left="709"/>
        <w:jc w:val="both"/>
        <w:rPr>
          <w:rFonts w:ascii="Arial" w:hAnsi="Arial" w:cs="Arial"/>
        </w:rPr>
      </w:pPr>
      <w:r w:rsidRPr="001E3C88">
        <w:rPr>
          <w:rFonts w:ascii="Arial" w:hAnsi="Arial" w:cs="Arial"/>
        </w:rPr>
        <w:t>The enjoyment of the rights and freedoms set forth in [the] Convention shall be secured without discrimination on any ground such as sex, race, colour, language, religion, political or other opinion, national or social origin, association with a national minority, property, birth or other status.</w:t>
      </w:r>
    </w:p>
    <w:p w14:paraId="39AF2184" w14:textId="77777777" w:rsidR="001E3C88" w:rsidRPr="001E3C88" w:rsidRDefault="001E3C88" w:rsidP="001E3C88">
      <w:pPr>
        <w:spacing w:after="0" w:line="360" w:lineRule="auto"/>
        <w:jc w:val="both"/>
        <w:rPr>
          <w:rFonts w:ascii="Arial" w:hAnsi="Arial" w:cs="Arial"/>
        </w:rPr>
      </w:pPr>
    </w:p>
    <w:p w14:paraId="0EA5853F" w14:textId="36761879" w:rsidR="001E3C88" w:rsidRPr="001E3C88" w:rsidRDefault="001E3C88" w:rsidP="001E3C88">
      <w:pPr>
        <w:spacing w:after="0" w:line="360" w:lineRule="auto"/>
        <w:jc w:val="both"/>
        <w:rPr>
          <w:rFonts w:ascii="Arial" w:hAnsi="Arial" w:cs="Arial"/>
        </w:rPr>
      </w:pPr>
      <w:r w:rsidRPr="001E3C88">
        <w:rPr>
          <w:rFonts w:ascii="Arial" w:hAnsi="Arial" w:cs="Arial"/>
        </w:rPr>
        <w:t>Article 14 prohibits discrimination in relation to the rights guaranteed by the Convention.</w:t>
      </w:r>
      <w:r w:rsidR="009F3F37">
        <w:rPr>
          <w:rFonts w:ascii="Arial" w:hAnsi="Arial" w:cs="Arial"/>
        </w:rPr>
        <w:t xml:space="preserve"> </w:t>
      </w:r>
      <w:r w:rsidRPr="001E3C88">
        <w:rPr>
          <w:rFonts w:ascii="Arial" w:hAnsi="Arial" w:cs="Arial"/>
        </w:rPr>
        <w:t>The Article is not a free standing one.</w:t>
      </w:r>
      <w:r w:rsidR="009F3F37">
        <w:rPr>
          <w:rFonts w:ascii="Arial" w:hAnsi="Arial" w:cs="Arial"/>
        </w:rPr>
        <w:t xml:space="preserve"> </w:t>
      </w:r>
      <w:r w:rsidRPr="001E3C88">
        <w:rPr>
          <w:rFonts w:ascii="Arial" w:hAnsi="Arial" w:cs="Arial"/>
        </w:rPr>
        <w:t>It can only be used in conjunction with one of the other rights in the ECHR.</w:t>
      </w:r>
      <w:r w:rsidR="009F3F37">
        <w:rPr>
          <w:rFonts w:ascii="Arial" w:hAnsi="Arial" w:cs="Arial"/>
        </w:rPr>
        <w:t xml:space="preserve"> </w:t>
      </w:r>
      <w:r w:rsidRPr="001E3C88">
        <w:rPr>
          <w:rFonts w:ascii="Arial" w:hAnsi="Arial" w:cs="Arial"/>
        </w:rPr>
        <w:t>So, one cannot use it to claim that in the abstract you have been discriminated against on the grounds of, say, one’s sex.</w:t>
      </w:r>
      <w:r w:rsidR="009F3F37">
        <w:rPr>
          <w:rFonts w:ascii="Arial" w:hAnsi="Arial" w:cs="Arial"/>
        </w:rPr>
        <w:t xml:space="preserve"> </w:t>
      </w:r>
      <w:r w:rsidRPr="001E3C88">
        <w:rPr>
          <w:rFonts w:ascii="Arial" w:hAnsi="Arial" w:cs="Arial"/>
        </w:rPr>
        <w:t xml:space="preserve">Rather it must be shown that, for example, your Article 8 rights have been interfered with in a way which is discriminatory on the grounds of </w:t>
      </w:r>
      <w:r w:rsidRPr="001E3C88">
        <w:rPr>
          <w:rFonts w:ascii="Arial" w:hAnsi="Arial" w:cs="Arial"/>
        </w:rPr>
        <w:lastRenderedPageBreak/>
        <w:t>sex.</w:t>
      </w:r>
      <w:r w:rsidRPr="001E3C88">
        <w:rPr>
          <w:rFonts w:ascii="Arial" w:hAnsi="Arial" w:cs="Arial"/>
          <w:vertAlign w:val="superscript"/>
        </w:rPr>
        <w:footnoteReference w:id="40"/>
      </w:r>
      <w:r w:rsidRPr="001E3C88">
        <w:rPr>
          <w:rFonts w:ascii="Arial" w:hAnsi="Arial" w:cs="Arial"/>
        </w:rPr>
        <w:t xml:space="preserve"> Even if the claim does not fall precisely within the terms of a right, it has been held that </w:t>
      </w:r>
      <w:r w:rsidR="00AE15A4">
        <w:rPr>
          <w:rFonts w:ascii="Arial" w:hAnsi="Arial" w:cs="Arial"/>
        </w:rPr>
        <w:t>A</w:t>
      </w:r>
      <w:r w:rsidRPr="001E3C88">
        <w:rPr>
          <w:rFonts w:ascii="Arial" w:hAnsi="Arial" w:cs="Arial"/>
        </w:rPr>
        <w:t>rticle 14 can be relied upon if it is within the ‘ambit’ of another right.</w:t>
      </w:r>
      <w:r w:rsidRPr="001E3C88">
        <w:rPr>
          <w:rFonts w:ascii="Arial" w:hAnsi="Arial" w:cs="Arial"/>
          <w:vertAlign w:val="superscript"/>
        </w:rPr>
        <w:footnoteReference w:id="41"/>
      </w:r>
    </w:p>
    <w:p w14:paraId="7EF56F84" w14:textId="77777777" w:rsidR="001E3C88" w:rsidRPr="001E3C88" w:rsidRDefault="001E3C88" w:rsidP="001E3C88">
      <w:pPr>
        <w:spacing w:after="0" w:line="360" w:lineRule="auto"/>
        <w:jc w:val="both"/>
        <w:rPr>
          <w:rFonts w:ascii="Arial" w:hAnsi="Arial" w:cs="Arial"/>
        </w:rPr>
      </w:pPr>
    </w:p>
    <w:p w14:paraId="28C40C8C" w14:textId="741314E3" w:rsidR="001E3C88" w:rsidRPr="001E3C88" w:rsidRDefault="001E3C88" w:rsidP="00AE15A4">
      <w:pPr>
        <w:spacing w:after="0" w:line="360" w:lineRule="auto"/>
        <w:ind w:firstLine="720"/>
        <w:jc w:val="both"/>
        <w:rPr>
          <w:rFonts w:ascii="Arial" w:hAnsi="Arial" w:cs="Arial"/>
        </w:rPr>
      </w:pPr>
      <w:r w:rsidRPr="001E3C88">
        <w:rPr>
          <w:rFonts w:ascii="Arial" w:hAnsi="Arial" w:cs="Arial"/>
        </w:rPr>
        <w:t>It is, therefore, important to see violence and harassment against women in public spaces as a cause of discrimination.</w:t>
      </w:r>
      <w:r w:rsidR="009F3F37">
        <w:rPr>
          <w:rFonts w:ascii="Arial" w:hAnsi="Arial" w:cs="Arial"/>
        </w:rPr>
        <w:t xml:space="preserve"> </w:t>
      </w:r>
      <w:r w:rsidRPr="001E3C88">
        <w:rPr>
          <w:rFonts w:ascii="Arial" w:hAnsi="Arial" w:cs="Arial"/>
        </w:rPr>
        <w:t>The ECtHR are very likely to accept such a perspective.</w:t>
      </w:r>
      <w:r w:rsidR="009F3F37">
        <w:rPr>
          <w:rFonts w:ascii="Arial" w:hAnsi="Arial" w:cs="Arial"/>
        </w:rPr>
        <w:t xml:space="preserve"> </w:t>
      </w:r>
      <w:r w:rsidRPr="001E3C88">
        <w:rPr>
          <w:rFonts w:ascii="Arial" w:hAnsi="Arial" w:cs="Arial"/>
        </w:rPr>
        <w:t xml:space="preserve">For example, in </w:t>
      </w:r>
      <w:r w:rsidRPr="001E3C88">
        <w:rPr>
          <w:rFonts w:ascii="Arial" w:hAnsi="Arial" w:cs="Arial"/>
          <w:i/>
        </w:rPr>
        <w:t>Opuz v Turkey</w:t>
      </w:r>
      <w:r w:rsidRPr="001E3C88">
        <w:rPr>
          <w:rFonts w:ascii="Arial" w:hAnsi="Arial" w:cs="Arial"/>
          <w:iCs/>
          <w:vertAlign w:val="superscript"/>
        </w:rPr>
        <w:footnoteReference w:id="42"/>
      </w:r>
      <w:r w:rsidRPr="001E3C88">
        <w:rPr>
          <w:rFonts w:ascii="Arial" w:hAnsi="Arial" w:cs="Arial"/>
        </w:rPr>
        <w:t xml:space="preserve"> the ECtHR made it clear that a state’s failure to respond adequately to domestic violence amounted to sex discrimination.</w:t>
      </w:r>
      <w:r w:rsidRPr="001E3C88">
        <w:rPr>
          <w:rFonts w:ascii="Arial" w:hAnsi="Arial" w:cs="Arial"/>
          <w:vertAlign w:val="superscript"/>
        </w:rPr>
        <w:footnoteReference w:id="43"/>
      </w:r>
      <w:r w:rsidRPr="001E3C88">
        <w:rPr>
          <w:rFonts w:ascii="Arial" w:hAnsi="Arial" w:cs="Arial"/>
        </w:rPr>
        <w:t xml:space="preserve"> It was emphasised that women were far more likely to be subject to domestic violence and so a systematic failure to respond to the issue disproportionately impacted on women.</w:t>
      </w:r>
      <w:r w:rsidR="009F3F37">
        <w:rPr>
          <w:rFonts w:ascii="Arial" w:hAnsi="Arial" w:cs="Arial"/>
        </w:rPr>
        <w:t xml:space="preserve"> </w:t>
      </w:r>
      <w:r w:rsidRPr="001E3C88">
        <w:rPr>
          <w:rFonts w:ascii="Arial" w:hAnsi="Arial" w:cs="Arial"/>
        </w:rPr>
        <w:t xml:space="preserve">In </w:t>
      </w:r>
      <w:r w:rsidRPr="001E3C88">
        <w:rPr>
          <w:rFonts w:ascii="Arial" w:hAnsi="Arial" w:cs="Arial"/>
          <w:i/>
        </w:rPr>
        <w:t>Volodina v Russia</w:t>
      </w:r>
      <w:r w:rsidRPr="001E3C88">
        <w:rPr>
          <w:rFonts w:ascii="Arial" w:hAnsi="Arial" w:cs="Arial"/>
          <w:vertAlign w:val="superscript"/>
        </w:rPr>
        <w:footnoteReference w:id="44"/>
      </w:r>
      <w:r w:rsidRPr="001E3C88">
        <w:rPr>
          <w:rFonts w:ascii="Arial" w:hAnsi="Arial" w:cs="Arial"/>
        </w:rPr>
        <w:t xml:space="preserve"> the court addressed the burden of proof in a discrimination claim involving domestic abuse.</w:t>
      </w:r>
      <w:r w:rsidR="009F3F37">
        <w:rPr>
          <w:rFonts w:ascii="Arial" w:hAnsi="Arial" w:cs="Arial"/>
        </w:rPr>
        <w:t xml:space="preserve"> </w:t>
      </w:r>
      <w:r w:rsidRPr="001E3C88">
        <w:rPr>
          <w:rFonts w:ascii="Arial" w:hAnsi="Arial" w:cs="Arial"/>
        </w:rPr>
        <w:t xml:space="preserve">It explained that generally the applicant must show there has been a difference in treatment and the </w:t>
      </w:r>
      <w:r w:rsidR="00AE15A4">
        <w:rPr>
          <w:rFonts w:ascii="Arial" w:hAnsi="Arial" w:cs="Arial"/>
        </w:rPr>
        <w:t>g</w:t>
      </w:r>
      <w:r w:rsidRPr="001E3C88">
        <w:rPr>
          <w:rFonts w:ascii="Arial" w:hAnsi="Arial" w:cs="Arial"/>
        </w:rPr>
        <w:t>overnment then has burden to show the difference can be treated.</w:t>
      </w:r>
      <w:r w:rsidR="009F3F37">
        <w:rPr>
          <w:rFonts w:ascii="Arial" w:hAnsi="Arial" w:cs="Arial"/>
        </w:rPr>
        <w:t xml:space="preserve"> </w:t>
      </w:r>
      <w:r w:rsidRPr="001E3C88">
        <w:rPr>
          <w:rFonts w:ascii="Arial" w:hAnsi="Arial" w:cs="Arial"/>
        </w:rPr>
        <w:t>However</w:t>
      </w:r>
      <w:r w:rsidR="00E25544">
        <w:rPr>
          <w:rFonts w:ascii="Arial" w:hAnsi="Arial" w:cs="Arial"/>
        </w:rPr>
        <w:t>, it added:</w:t>
      </w:r>
    </w:p>
    <w:p w14:paraId="0422186D" w14:textId="77777777" w:rsidR="001E3C88" w:rsidRPr="001E3C88" w:rsidRDefault="001E3C88" w:rsidP="001E3C88">
      <w:pPr>
        <w:spacing w:after="0" w:line="360" w:lineRule="auto"/>
        <w:jc w:val="both"/>
        <w:rPr>
          <w:rFonts w:ascii="Arial" w:hAnsi="Arial" w:cs="Arial"/>
        </w:rPr>
      </w:pPr>
    </w:p>
    <w:p w14:paraId="2B0FBE9A" w14:textId="77777777" w:rsidR="001E3C88" w:rsidRPr="001E3C88" w:rsidRDefault="001E3C88" w:rsidP="00AE15A4">
      <w:pPr>
        <w:spacing w:after="0" w:line="360" w:lineRule="auto"/>
        <w:ind w:left="709" w:right="521" w:firstLine="11"/>
        <w:jc w:val="both"/>
        <w:rPr>
          <w:rFonts w:ascii="Arial" w:hAnsi="Arial" w:cs="Arial"/>
        </w:rPr>
      </w:pPr>
      <w:r w:rsidRPr="001E3C88">
        <w:rPr>
          <w:rFonts w:ascii="Arial" w:hAnsi="Arial" w:cs="Arial"/>
        </w:rPr>
        <w:t>Within the context of violence against women, if it has been established that it affects women disproportionately, the burden shifts onto the Government to demonstrate what kind of remedial measures the domestic authorities have deployed to redress the disadvantage associated with gender and to ensure that women can exercise and fully enjoy all human rights and freedoms on an equal footing with men. The Court has repeatedly held that the advancement of gender equality is today a major goal in the member States of the Council of Europe and that a difference in treatment that is aimed at ensuring substantive gender equality may be justified, and even required, under Article 14 of the Convention.</w:t>
      </w:r>
      <w:r w:rsidRPr="001E3C88">
        <w:rPr>
          <w:rFonts w:ascii="Arial" w:hAnsi="Arial" w:cs="Arial"/>
          <w:vertAlign w:val="superscript"/>
        </w:rPr>
        <w:footnoteReference w:id="45"/>
      </w:r>
    </w:p>
    <w:p w14:paraId="160FEBD8" w14:textId="77777777" w:rsidR="001E3C88" w:rsidRPr="001E3C88" w:rsidRDefault="001E3C88" w:rsidP="001E3C88">
      <w:pPr>
        <w:spacing w:after="0" w:line="360" w:lineRule="auto"/>
        <w:jc w:val="both"/>
        <w:rPr>
          <w:rFonts w:ascii="Arial" w:hAnsi="Arial" w:cs="Arial"/>
        </w:rPr>
      </w:pPr>
    </w:p>
    <w:p w14:paraId="7BD78566" w14:textId="77777777" w:rsidR="001E3C88" w:rsidRPr="001E3C88" w:rsidRDefault="001E3C88" w:rsidP="001E3C88">
      <w:pPr>
        <w:spacing w:after="0" w:line="360" w:lineRule="auto"/>
        <w:jc w:val="both"/>
        <w:rPr>
          <w:rFonts w:ascii="Arial" w:hAnsi="Arial" w:cs="Arial"/>
        </w:rPr>
      </w:pPr>
      <w:r w:rsidRPr="001E3C88">
        <w:rPr>
          <w:rFonts w:ascii="Arial" w:hAnsi="Arial" w:cs="Arial"/>
        </w:rPr>
        <w:t>It went on to discuss the kinds of evidence which will place a burden of proof on a state:</w:t>
      </w:r>
    </w:p>
    <w:p w14:paraId="16258248" w14:textId="77777777" w:rsidR="001E3C88" w:rsidRPr="001E3C88" w:rsidRDefault="001E3C88" w:rsidP="001E3C88">
      <w:pPr>
        <w:spacing w:after="0" w:line="360" w:lineRule="auto"/>
        <w:jc w:val="both"/>
        <w:rPr>
          <w:rFonts w:ascii="Arial" w:hAnsi="Arial" w:cs="Arial"/>
        </w:rPr>
      </w:pPr>
    </w:p>
    <w:p w14:paraId="3803D11C" w14:textId="77777777" w:rsidR="001E3C88" w:rsidRPr="001E3C88" w:rsidRDefault="001E3C88" w:rsidP="00E25544">
      <w:pPr>
        <w:spacing w:after="0" w:line="360" w:lineRule="auto"/>
        <w:ind w:left="709" w:right="521"/>
        <w:jc w:val="both"/>
        <w:rPr>
          <w:rFonts w:ascii="Arial" w:hAnsi="Arial" w:cs="Arial"/>
        </w:rPr>
      </w:pPr>
      <w:r w:rsidRPr="001E3C88">
        <w:rPr>
          <w:rFonts w:ascii="Arial" w:hAnsi="Arial" w:cs="Arial"/>
        </w:rPr>
        <w:t xml:space="preserve">In domestic-violence cases, the Court has referred to reports by international and local human-rights organisations, periodic reports by the CEDAW Committee, and statistical data from the authorities and academic institutions to establish the existence of a prima facie indication that domestic violence affects mainly women and that the general attitude of the local authorities – such as the manner in which </w:t>
      </w:r>
      <w:r w:rsidRPr="001E3C88">
        <w:rPr>
          <w:rFonts w:ascii="Arial" w:hAnsi="Arial" w:cs="Arial"/>
        </w:rPr>
        <w:lastRenderedPageBreak/>
        <w:t>the women are treated at police stations when they report domestic violence and judicial passivity in providing effective protection to victims – creates a climate that is conducive to domestic violence.</w:t>
      </w:r>
      <w:r w:rsidRPr="001E3C88">
        <w:rPr>
          <w:rFonts w:ascii="Arial" w:hAnsi="Arial" w:cs="Arial"/>
          <w:vertAlign w:val="superscript"/>
        </w:rPr>
        <w:footnoteReference w:id="46"/>
      </w:r>
    </w:p>
    <w:p w14:paraId="0579E78E" w14:textId="77777777" w:rsidR="001E3C88" w:rsidRPr="001E3C88" w:rsidRDefault="001E3C88" w:rsidP="001E3C88">
      <w:pPr>
        <w:spacing w:after="0" w:line="360" w:lineRule="auto"/>
        <w:jc w:val="both"/>
        <w:rPr>
          <w:rFonts w:ascii="Arial" w:hAnsi="Arial" w:cs="Arial"/>
        </w:rPr>
      </w:pPr>
    </w:p>
    <w:p w14:paraId="30B4F7E5" w14:textId="5D55200E" w:rsidR="001E3C88" w:rsidRPr="001E3C88" w:rsidRDefault="001E3C88" w:rsidP="001E3C88">
      <w:pPr>
        <w:spacing w:after="0" w:line="360" w:lineRule="auto"/>
        <w:jc w:val="both"/>
        <w:rPr>
          <w:rFonts w:ascii="Arial" w:hAnsi="Arial" w:cs="Arial"/>
        </w:rPr>
      </w:pPr>
      <w:r w:rsidRPr="001E3C88">
        <w:rPr>
          <w:rFonts w:ascii="Arial" w:hAnsi="Arial" w:cs="Arial"/>
        </w:rPr>
        <w:t>Once this kind of evidence has been introduced</w:t>
      </w:r>
      <w:r w:rsidR="00E25544">
        <w:rPr>
          <w:rFonts w:ascii="Arial" w:hAnsi="Arial" w:cs="Arial"/>
        </w:rPr>
        <w:t>:</w:t>
      </w:r>
    </w:p>
    <w:p w14:paraId="2996E6B5" w14:textId="77777777" w:rsidR="001E3C88" w:rsidRPr="001E3C88" w:rsidRDefault="001E3C88" w:rsidP="001E3C88">
      <w:pPr>
        <w:spacing w:after="0" w:line="360" w:lineRule="auto"/>
        <w:jc w:val="both"/>
        <w:rPr>
          <w:rFonts w:ascii="Arial" w:hAnsi="Arial" w:cs="Arial"/>
        </w:rPr>
      </w:pPr>
    </w:p>
    <w:p w14:paraId="1D1D716B" w14:textId="77777777" w:rsidR="001E3C88" w:rsidRPr="001E3C88" w:rsidRDefault="001E3C88" w:rsidP="00E25544">
      <w:pPr>
        <w:spacing w:after="0" w:line="360" w:lineRule="auto"/>
        <w:ind w:left="709" w:right="521"/>
        <w:jc w:val="both"/>
        <w:rPr>
          <w:rFonts w:ascii="Arial" w:hAnsi="Arial" w:cs="Arial"/>
        </w:rPr>
      </w:pPr>
      <w:r w:rsidRPr="001E3C88">
        <w:rPr>
          <w:rFonts w:ascii="Arial" w:hAnsi="Arial" w:cs="Arial"/>
        </w:rPr>
        <w:t>the applicant does not need to prove that she was also a victim of individual prejudice. If, however, there is insufficient evidence corroborating the discriminatory nature of legislation and practices or of their effects, proven bias on the part of any officials dealing with the victim’s case will be required to establish a discrimination claim. In the absence of such proof, the fact that not all of the sanctions and measures ordered or recommended have been complied with does not in itself disclose an appearance of discriminatory intent on the basis of sex.</w:t>
      </w:r>
      <w:r w:rsidRPr="001E3C88">
        <w:rPr>
          <w:rFonts w:ascii="Arial" w:hAnsi="Arial" w:cs="Arial"/>
          <w:vertAlign w:val="superscript"/>
        </w:rPr>
        <w:footnoteReference w:id="47"/>
      </w:r>
    </w:p>
    <w:p w14:paraId="0D94CA2D" w14:textId="77777777" w:rsidR="001E3C88" w:rsidRPr="001E3C88" w:rsidRDefault="001E3C88" w:rsidP="001E3C88">
      <w:pPr>
        <w:spacing w:after="0" w:line="360" w:lineRule="auto"/>
        <w:jc w:val="both"/>
        <w:rPr>
          <w:rFonts w:ascii="Arial" w:hAnsi="Arial" w:cs="Arial"/>
        </w:rPr>
      </w:pPr>
    </w:p>
    <w:p w14:paraId="201CCB95" w14:textId="7ADAC04E" w:rsidR="001E3C88" w:rsidRPr="001E3C88" w:rsidRDefault="001E3C88" w:rsidP="001E3C88">
      <w:pPr>
        <w:spacing w:after="0" w:line="360" w:lineRule="auto"/>
        <w:jc w:val="both"/>
        <w:rPr>
          <w:rFonts w:ascii="Arial" w:hAnsi="Arial" w:cs="Arial"/>
        </w:rPr>
      </w:pPr>
      <w:r w:rsidRPr="001E3C88">
        <w:rPr>
          <w:rFonts w:ascii="Arial" w:hAnsi="Arial" w:cs="Arial"/>
        </w:rPr>
        <w:t>There would be close parallels to applying this kind of approach to street violence and harassment, where likewise women are statistically more likely to receive this abuse, and its impact and nature is highly gendered.</w:t>
      </w:r>
      <w:r w:rsidR="009F3F37">
        <w:rPr>
          <w:rFonts w:ascii="Arial" w:hAnsi="Arial" w:cs="Arial"/>
        </w:rPr>
        <w:t xml:space="preserve"> </w:t>
      </w:r>
      <w:r w:rsidRPr="001E3C88">
        <w:rPr>
          <w:rFonts w:ascii="Arial" w:hAnsi="Arial" w:cs="Arial"/>
        </w:rPr>
        <w:t>These are important comments in the context of the safety of women in public spaces.</w:t>
      </w:r>
      <w:r w:rsidR="009F3F37">
        <w:rPr>
          <w:rFonts w:ascii="Arial" w:hAnsi="Arial" w:cs="Arial"/>
        </w:rPr>
        <w:t xml:space="preserve"> </w:t>
      </w:r>
      <w:r w:rsidRPr="001E3C88">
        <w:rPr>
          <w:rFonts w:ascii="Arial" w:hAnsi="Arial" w:cs="Arial"/>
        </w:rPr>
        <w:t xml:space="preserve">They demonstrate that the burden of proof lies on the state to show what steps it has taken to ensure that women’s rights under Articles 2, 3, 5 and 8 of the ECHR are not infringed in a discriminatory way. </w:t>
      </w:r>
    </w:p>
    <w:p w14:paraId="0BBAE58E" w14:textId="77777777" w:rsidR="001E3C88" w:rsidRPr="001E3C88" w:rsidRDefault="001E3C88" w:rsidP="001E3C88">
      <w:pPr>
        <w:spacing w:after="0" w:line="360" w:lineRule="auto"/>
        <w:jc w:val="both"/>
        <w:rPr>
          <w:rFonts w:ascii="Arial" w:hAnsi="Arial" w:cs="Arial"/>
        </w:rPr>
      </w:pPr>
    </w:p>
    <w:p w14:paraId="1C052492" w14:textId="4350F751" w:rsidR="001E3C88" w:rsidRPr="001E3C88" w:rsidRDefault="001E3C88" w:rsidP="000D20BC">
      <w:pPr>
        <w:spacing w:after="0" w:line="360" w:lineRule="auto"/>
        <w:ind w:firstLine="720"/>
        <w:jc w:val="both"/>
        <w:rPr>
          <w:rFonts w:ascii="Arial" w:hAnsi="Arial" w:cs="Arial"/>
        </w:rPr>
      </w:pPr>
      <w:r w:rsidRPr="001E3C88">
        <w:rPr>
          <w:rFonts w:ascii="Arial" w:hAnsi="Arial" w:cs="Arial"/>
        </w:rPr>
        <w:t>It is clear that street violence and harassment disproportionately impact on women. The studies cited earlier demonstrate that far more women are nervous in public places and suffer harassment in public places than men do</w:t>
      </w:r>
      <w:r w:rsidR="000D20BC">
        <w:rPr>
          <w:rFonts w:ascii="Arial" w:hAnsi="Arial" w:cs="Arial"/>
        </w:rPr>
        <w:t>,</w:t>
      </w:r>
      <w:r w:rsidRPr="001E3C88">
        <w:rPr>
          <w:rFonts w:ascii="Arial" w:hAnsi="Arial" w:cs="Arial"/>
        </w:rPr>
        <w:t xml:space="preserve"> and this has a wider impact on the lives of women generally who are deterred from public places and transportation.</w:t>
      </w:r>
      <w:r w:rsidR="009F3F37">
        <w:rPr>
          <w:rFonts w:ascii="Arial" w:hAnsi="Arial" w:cs="Arial"/>
        </w:rPr>
        <w:t xml:space="preserve"> </w:t>
      </w:r>
      <w:r w:rsidRPr="001E3C88">
        <w:rPr>
          <w:rFonts w:ascii="Arial" w:hAnsi="Arial" w:cs="Arial"/>
        </w:rPr>
        <w:t>Further, the forms of harassment that women might suffer on the street may be dismissed as “trivial” or “a joke” but these must be put in their wider context and this explains why they are of a different nature from equivalent cases where a man is subject to comments in public.</w:t>
      </w:r>
      <w:r w:rsidR="009F3F37">
        <w:rPr>
          <w:rFonts w:ascii="Arial" w:hAnsi="Arial" w:cs="Arial"/>
        </w:rPr>
        <w:t xml:space="preserve"> </w:t>
      </w:r>
      <w:r w:rsidRPr="001E3C88">
        <w:rPr>
          <w:rFonts w:ascii="Arial" w:hAnsi="Arial" w:cs="Arial"/>
        </w:rPr>
        <w:t>For women, the street harassment is echoing and reinforcing the negative messages in pornography, wider portrayal of women in the media, domestic abuse</w:t>
      </w:r>
      <w:r w:rsidR="00114CAD">
        <w:rPr>
          <w:rFonts w:ascii="Arial" w:hAnsi="Arial" w:cs="Arial"/>
        </w:rPr>
        <w:t>,</w:t>
      </w:r>
      <w:r w:rsidRPr="001E3C88">
        <w:rPr>
          <w:rFonts w:ascii="Arial" w:hAnsi="Arial" w:cs="Arial"/>
        </w:rPr>
        <w:t xml:space="preserve"> and violence against women generally.</w:t>
      </w:r>
      <w:r w:rsidR="009F3F37">
        <w:rPr>
          <w:rFonts w:ascii="Arial" w:hAnsi="Arial" w:cs="Arial"/>
        </w:rPr>
        <w:t xml:space="preserve"> </w:t>
      </w:r>
      <w:r w:rsidRPr="001E3C88">
        <w:rPr>
          <w:rFonts w:ascii="Arial" w:hAnsi="Arial" w:cs="Arial"/>
        </w:rPr>
        <w:t>So, if a woman walking in public is told a man would like to “sleep with her” (or, more likely, words to that effect) this repeats the messages within pornography that women are available for men’s sexual enjoyment, regardless of their consent.</w:t>
      </w:r>
      <w:r w:rsidR="009F3F37">
        <w:rPr>
          <w:rFonts w:ascii="Arial" w:hAnsi="Arial" w:cs="Arial"/>
        </w:rPr>
        <w:t xml:space="preserve"> </w:t>
      </w:r>
      <w:r w:rsidRPr="001E3C88">
        <w:rPr>
          <w:rFonts w:ascii="Arial" w:hAnsi="Arial" w:cs="Arial"/>
        </w:rPr>
        <w:t xml:space="preserve">The remark is made in the context of a society </w:t>
      </w:r>
      <w:r w:rsidRPr="001E3C88">
        <w:rPr>
          <w:rFonts w:ascii="Arial" w:hAnsi="Arial" w:cs="Arial"/>
        </w:rPr>
        <w:lastRenderedPageBreak/>
        <w:t>in which rape largely goes unpunished and men are generally physically stronger than women. By contrast if a woman were to say such a thing to man, none of that context would usually apply.</w:t>
      </w:r>
      <w:r w:rsidR="009F3F37">
        <w:rPr>
          <w:rFonts w:ascii="Arial" w:hAnsi="Arial" w:cs="Arial"/>
        </w:rPr>
        <w:t xml:space="preserve"> </w:t>
      </w:r>
      <w:r w:rsidRPr="001E3C88">
        <w:rPr>
          <w:rFonts w:ascii="Arial" w:hAnsi="Arial" w:cs="Arial"/>
        </w:rPr>
        <w:t>It is, more likely something he would joke about with his mates, than perceive as a terrifying incident.</w:t>
      </w:r>
    </w:p>
    <w:p w14:paraId="0C58C06C" w14:textId="77777777" w:rsidR="001E3C88" w:rsidRPr="001E3C88" w:rsidRDefault="001E3C88" w:rsidP="001E3C88">
      <w:pPr>
        <w:spacing w:after="0" w:line="360" w:lineRule="auto"/>
        <w:jc w:val="both"/>
        <w:rPr>
          <w:rFonts w:ascii="Arial" w:hAnsi="Arial" w:cs="Arial"/>
        </w:rPr>
      </w:pPr>
    </w:p>
    <w:p w14:paraId="2984ED7D" w14:textId="31AB7C33" w:rsidR="00AE61BF" w:rsidRPr="001E3C88" w:rsidRDefault="001E3C88" w:rsidP="00CE568F">
      <w:pPr>
        <w:spacing w:after="0" w:line="360" w:lineRule="auto"/>
        <w:ind w:firstLine="720"/>
        <w:jc w:val="both"/>
        <w:rPr>
          <w:rFonts w:ascii="Arial" w:hAnsi="Arial" w:cs="Arial"/>
        </w:rPr>
      </w:pPr>
      <w:r w:rsidRPr="001E3C88">
        <w:rPr>
          <w:rFonts w:ascii="Arial" w:hAnsi="Arial" w:cs="Arial"/>
        </w:rPr>
        <w:t>It is also important to note that the impact of restrictions on women’s access to public spaces increases impact of patriarchy.</w:t>
      </w:r>
      <w:r w:rsidR="009F3F37">
        <w:rPr>
          <w:rFonts w:ascii="Arial" w:hAnsi="Arial" w:cs="Arial"/>
        </w:rPr>
        <w:t xml:space="preserve"> </w:t>
      </w:r>
      <w:r w:rsidRPr="001E3C88">
        <w:rPr>
          <w:rFonts w:ascii="Arial" w:hAnsi="Arial" w:cs="Arial"/>
        </w:rPr>
        <w:t>It combines with economic challenges</w:t>
      </w:r>
      <w:r w:rsidR="00AE61BF">
        <w:rPr>
          <w:rFonts w:ascii="Arial" w:hAnsi="Arial" w:cs="Arial"/>
        </w:rPr>
        <w:t>,</w:t>
      </w:r>
      <w:r w:rsidRPr="001E3C88">
        <w:rPr>
          <w:rFonts w:ascii="Arial" w:hAnsi="Arial" w:cs="Arial"/>
        </w:rPr>
        <w:t xml:space="preserve"> domestic abuse</w:t>
      </w:r>
      <w:r w:rsidR="00AE61BF">
        <w:rPr>
          <w:rFonts w:ascii="Arial" w:hAnsi="Arial" w:cs="Arial"/>
        </w:rPr>
        <w:t>, and</w:t>
      </w:r>
      <w:r w:rsidRPr="001E3C88">
        <w:rPr>
          <w:rFonts w:ascii="Arial" w:hAnsi="Arial" w:cs="Arial"/>
        </w:rPr>
        <w:t xml:space="preserve"> discrimination in the workplace to exclude women from public goods.</w:t>
      </w:r>
      <w:r w:rsidR="009F3F37">
        <w:rPr>
          <w:rFonts w:ascii="Arial" w:hAnsi="Arial" w:cs="Arial"/>
        </w:rPr>
        <w:t xml:space="preserve"> </w:t>
      </w:r>
      <w:r w:rsidRPr="001E3C88">
        <w:rPr>
          <w:rFonts w:ascii="Arial" w:hAnsi="Arial" w:cs="Arial"/>
        </w:rPr>
        <w:t>In this sense it sustains the patriarchal impact on women.</w:t>
      </w:r>
      <w:r w:rsidR="009F3F37">
        <w:rPr>
          <w:rFonts w:ascii="Arial" w:hAnsi="Arial" w:cs="Arial"/>
        </w:rPr>
        <w:t xml:space="preserve"> </w:t>
      </w:r>
    </w:p>
    <w:p w14:paraId="341443A3" w14:textId="77777777" w:rsidR="001E3C88" w:rsidRPr="001E3C88" w:rsidRDefault="001E3C88" w:rsidP="001E3C88">
      <w:pPr>
        <w:spacing w:after="0" w:line="360" w:lineRule="auto"/>
        <w:jc w:val="both"/>
        <w:rPr>
          <w:rFonts w:ascii="Arial" w:hAnsi="Arial" w:cs="Arial"/>
        </w:rPr>
      </w:pPr>
    </w:p>
    <w:p w14:paraId="556F5D2C" w14:textId="3994A271" w:rsidR="001E3C88" w:rsidRPr="00CE568F" w:rsidRDefault="001E3C88" w:rsidP="001E3C88">
      <w:pPr>
        <w:spacing w:after="0" w:line="360" w:lineRule="auto"/>
        <w:jc w:val="both"/>
        <w:rPr>
          <w:rFonts w:ascii="Arial" w:hAnsi="Arial" w:cs="Arial"/>
          <w:b/>
          <w:bCs/>
          <w:i/>
          <w:iCs/>
        </w:rPr>
      </w:pPr>
      <w:r w:rsidRPr="00CE568F">
        <w:rPr>
          <w:rFonts w:ascii="Arial" w:hAnsi="Arial" w:cs="Arial"/>
          <w:b/>
          <w:bCs/>
          <w:i/>
          <w:iCs/>
        </w:rPr>
        <w:t xml:space="preserve">Bringing the </w:t>
      </w:r>
      <w:r w:rsidR="00AE61BF" w:rsidRPr="00CE568F">
        <w:rPr>
          <w:rFonts w:ascii="Arial" w:hAnsi="Arial" w:cs="Arial"/>
          <w:b/>
          <w:bCs/>
          <w:i/>
          <w:iCs/>
        </w:rPr>
        <w:t>H</w:t>
      </w:r>
      <w:r w:rsidRPr="00CE568F">
        <w:rPr>
          <w:rFonts w:ascii="Arial" w:hAnsi="Arial" w:cs="Arial"/>
          <w:b/>
          <w:bCs/>
          <w:i/>
          <w:iCs/>
        </w:rPr>
        <w:t xml:space="preserve">uman </w:t>
      </w:r>
      <w:r w:rsidR="00AE61BF" w:rsidRPr="00CE568F">
        <w:rPr>
          <w:rFonts w:ascii="Arial" w:hAnsi="Arial" w:cs="Arial"/>
          <w:b/>
          <w:bCs/>
          <w:i/>
          <w:iCs/>
        </w:rPr>
        <w:t>R</w:t>
      </w:r>
      <w:r w:rsidRPr="00CE568F">
        <w:rPr>
          <w:rFonts w:ascii="Arial" w:hAnsi="Arial" w:cs="Arial"/>
          <w:b/>
          <w:bCs/>
          <w:i/>
          <w:iCs/>
        </w:rPr>
        <w:t xml:space="preserve">ights </w:t>
      </w:r>
      <w:r w:rsidR="00AE61BF" w:rsidRPr="00CE568F">
        <w:rPr>
          <w:rFonts w:ascii="Arial" w:hAnsi="Arial" w:cs="Arial"/>
          <w:b/>
          <w:bCs/>
          <w:i/>
          <w:iCs/>
        </w:rPr>
        <w:t>C</w:t>
      </w:r>
      <w:r w:rsidRPr="00CE568F">
        <w:rPr>
          <w:rFonts w:ascii="Arial" w:hAnsi="Arial" w:cs="Arial"/>
          <w:b/>
          <w:bCs/>
          <w:i/>
          <w:iCs/>
        </w:rPr>
        <w:t xml:space="preserve">laims </w:t>
      </w:r>
      <w:r w:rsidR="00AE61BF" w:rsidRPr="00CE568F">
        <w:rPr>
          <w:rFonts w:ascii="Arial" w:hAnsi="Arial" w:cs="Arial"/>
          <w:b/>
          <w:bCs/>
          <w:i/>
          <w:iCs/>
        </w:rPr>
        <w:t>T</w:t>
      </w:r>
      <w:r w:rsidRPr="00CE568F">
        <w:rPr>
          <w:rFonts w:ascii="Arial" w:hAnsi="Arial" w:cs="Arial"/>
          <w:b/>
          <w:bCs/>
          <w:i/>
          <w:iCs/>
        </w:rPr>
        <w:t>ogether</w:t>
      </w:r>
    </w:p>
    <w:p w14:paraId="02FB7494" w14:textId="77777777" w:rsidR="00AE61BF" w:rsidRPr="001E3C88" w:rsidRDefault="00AE61BF" w:rsidP="001E3C88">
      <w:pPr>
        <w:spacing w:after="0" w:line="360" w:lineRule="auto"/>
        <w:jc w:val="both"/>
        <w:rPr>
          <w:rFonts w:ascii="Arial" w:hAnsi="Arial" w:cs="Arial"/>
          <w:b/>
          <w:bCs/>
        </w:rPr>
      </w:pPr>
    </w:p>
    <w:p w14:paraId="2C56465D" w14:textId="6345ACB6" w:rsidR="001E3C88" w:rsidRDefault="001E3C88" w:rsidP="001E3C88">
      <w:pPr>
        <w:spacing w:after="0" w:line="360" w:lineRule="auto"/>
        <w:jc w:val="both"/>
        <w:rPr>
          <w:rFonts w:ascii="Arial" w:hAnsi="Arial" w:cs="Arial"/>
        </w:rPr>
      </w:pPr>
      <w:r w:rsidRPr="001E3C88">
        <w:rPr>
          <w:rFonts w:ascii="Arial" w:hAnsi="Arial" w:cs="Arial"/>
        </w:rPr>
        <w:t>Violence, abuse</w:t>
      </w:r>
      <w:r w:rsidR="00AE61BF">
        <w:rPr>
          <w:rFonts w:ascii="Arial" w:hAnsi="Arial" w:cs="Arial"/>
        </w:rPr>
        <w:t>,</w:t>
      </w:r>
      <w:r w:rsidRPr="001E3C88">
        <w:rPr>
          <w:rFonts w:ascii="Arial" w:hAnsi="Arial" w:cs="Arial"/>
        </w:rPr>
        <w:t xml:space="preserve"> and harassment against women in public spaces engages many of the human rights within the ECHR.</w:t>
      </w:r>
      <w:r w:rsidR="009F3F37">
        <w:rPr>
          <w:rFonts w:ascii="Arial" w:hAnsi="Arial" w:cs="Arial"/>
        </w:rPr>
        <w:t xml:space="preserve"> </w:t>
      </w:r>
      <w:r w:rsidRPr="001E3C88">
        <w:rPr>
          <w:rFonts w:ascii="Arial" w:hAnsi="Arial" w:cs="Arial"/>
        </w:rPr>
        <w:t>These claims are heightened given the gendered nature of their impact and the protection from discrimination under Article 14.</w:t>
      </w:r>
      <w:r w:rsidR="009F3F37">
        <w:rPr>
          <w:rFonts w:ascii="Arial" w:hAnsi="Arial" w:cs="Arial"/>
        </w:rPr>
        <w:t xml:space="preserve"> </w:t>
      </w:r>
      <w:r w:rsidRPr="001E3C88">
        <w:rPr>
          <w:rFonts w:ascii="Arial" w:hAnsi="Arial" w:cs="Arial"/>
        </w:rPr>
        <w:t>The state’s duties fall into two categories: a general duty that is owed to everyone, or everyone whose rights are endangered; and a specific duty that is owed to individuals.</w:t>
      </w:r>
      <w:r w:rsidR="009F3F37">
        <w:rPr>
          <w:rFonts w:ascii="Arial" w:hAnsi="Arial" w:cs="Arial"/>
        </w:rPr>
        <w:t xml:space="preserve"> </w:t>
      </w:r>
      <w:r w:rsidRPr="001E3C88">
        <w:rPr>
          <w:rFonts w:ascii="Arial" w:hAnsi="Arial" w:cs="Arial"/>
        </w:rPr>
        <w:t>This article has focused on the former and requires the state to take reasonable</w:t>
      </w:r>
      <w:r w:rsidR="00A43D9D">
        <w:rPr>
          <w:rFonts w:ascii="Arial" w:hAnsi="Arial" w:cs="Arial"/>
        </w:rPr>
        <w:t>,</w:t>
      </w:r>
      <w:r w:rsidRPr="001E3C88">
        <w:rPr>
          <w:rFonts w:ascii="Arial" w:hAnsi="Arial" w:cs="Arial"/>
          <w:vertAlign w:val="superscript"/>
        </w:rPr>
        <w:footnoteReference w:id="48"/>
      </w:r>
      <w:r w:rsidRPr="001E3C88">
        <w:rPr>
          <w:rFonts w:ascii="Arial" w:hAnsi="Arial" w:cs="Arial"/>
          <w:lang w:val="fr-FR"/>
        </w:rPr>
        <w:t xml:space="preserve"> or </w:t>
      </w:r>
      <w:r w:rsidRPr="001E3C88">
        <w:rPr>
          <w:rFonts w:ascii="Arial" w:hAnsi="Arial" w:cs="Arial"/>
        </w:rPr>
        <w:t>adequate</w:t>
      </w:r>
      <w:r w:rsidR="00A43D9D">
        <w:rPr>
          <w:rFonts w:ascii="Arial" w:hAnsi="Arial" w:cs="Arial"/>
        </w:rPr>
        <w:t>,</w:t>
      </w:r>
      <w:r w:rsidRPr="001E3C88">
        <w:rPr>
          <w:rFonts w:ascii="Arial" w:hAnsi="Arial" w:cs="Arial"/>
          <w:vertAlign w:val="superscript"/>
        </w:rPr>
        <w:footnoteReference w:id="49"/>
      </w:r>
      <w:r w:rsidRPr="001E3C88">
        <w:rPr>
          <w:rFonts w:ascii="Arial" w:hAnsi="Arial" w:cs="Arial"/>
        </w:rPr>
        <w:t xml:space="preserve"> or effective</w:t>
      </w:r>
      <w:r w:rsidRPr="001E3C88">
        <w:rPr>
          <w:rFonts w:ascii="Arial" w:hAnsi="Arial" w:cs="Arial"/>
          <w:vertAlign w:val="superscript"/>
        </w:rPr>
        <w:footnoteReference w:id="50"/>
      </w:r>
      <w:r w:rsidRPr="001E3C88">
        <w:rPr>
          <w:rFonts w:ascii="Arial" w:hAnsi="Arial" w:cs="Arial"/>
        </w:rPr>
        <w:t xml:space="preserve"> steps to protect women from street harassment and violence.</w:t>
      </w:r>
      <w:r w:rsidRPr="001E3C88">
        <w:rPr>
          <w:rFonts w:ascii="Arial" w:hAnsi="Arial" w:cs="Arial"/>
          <w:vertAlign w:val="superscript"/>
        </w:rPr>
        <w:footnoteReference w:id="51"/>
      </w:r>
      <w:r w:rsidR="009F3F37">
        <w:rPr>
          <w:rFonts w:ascii="Arial" w:hAnsi="Arial" w:cs="Arial"/>
        </w:rPr>
        <w:t xml:space="preserve"> </w:t>
      </w:r>
      <w:r w:rsidRPr="001E3C88">
        <w:rPr>
          <w:rFonts w:ascii="Arial" w:hAnsi="Arial" w:cs="Arial"/>
        </w:rPr>
        <w:t>The European Court has made it clear that where the victim is vulnerable</w:t>
      </w:r>
      <w:r w:rsidR="00A43D9D">
        <w:rPr>
          <w:rFonts w:ascii="Arial" w:hAnsi="Arial" w:cs="Arial"/>
        </w:rPr>
        <w:t>,</w:t>
      </w:r>
      <w:r w:rsidRPr="001E3C88">
        <w:rPr>
          <w:rFonts w:ascii="Arial" w:hAnsi="Arial" w:cs="Arial"/>
        </w:rPr>
        <w:t xml:space="preserve"> there is a particularly heavy obligation on the state to intervene.</w:t>
      </w:r>
      <w:r w:rsidRPr="001E3C88">
        <w:rPr>
          <w:rFonts w:ascii="Arial" w:hAnsi="Arial" w:cs="Arial"/>
          <w:vertAlign w:val="superscript"/>
        </w:rPr>
        <w:footnoteReference w:id="52"/>
      </w:r>
      <w:r w:rsidR="009F3F37">
        <w:rPr>
          <w:rFonts w:ascii="Arial" w:hAnsi="Arial" w:cs="Arial"/>
        </w:rPr>
        <w:t xml:space="preserve"> </w:t>
      </w:r>
      <w:r w:rsidRPr="001E3C88">
        <w:rPr>
          <w:rFonts w:ascii="Arial" w:hAnsi="Arial" w:cs="Arial"/>
        </w:rPr>
        <w:t xml:space="preserve"> In </w:t>
      </w:r>
      <w:r w:rsidRPr="001E3C88">
        <w:rPr>
          <w:rFonts w:ascii="Arial" w:hAnsi="Arial" w:cs="Arial"/>
          <w:i/>
        </w:rPr>
        <w:t>Talpis v Italy</w:t>
      </w:r>
      <w:r w:rsidRPr="001E3C88">
        <w:rPr>
          <w:rFonts w:ascii="Arial" w:hAnsi="Arial" w:cs="Arial"/>
          <w:vertAlign w:val="superscript"/>
        </w:rPr>
        <w:footnoteReference w:id="53"/>
      </w:r>
      <w:r w:rsidRPr="001E3C88">
        <w:rPr>
          <w:rFonts w:ascii="Arial" w:hAnsi="Arial" w:cs="Arial"/>
        </w:rPr>
        <w:t xml:space="preserve"> the ECtHR stated:</w:t>
      </w:r>
    </w:p>
    <w:p w14:paraId="181E323B" w14:textId="77777777" w:rsidR="00AE61BF" w:rsidRPr="001E3C88" w:rsidRDefault="00AE61BF" w:rsidP="001E3C88">
      <w:pPr>
        <w:spacing w:after="0" w:line="360" w:lineRule="auto"/>
        <w:jc w:val="both"/>
        <w:rPr>
          <w:rFonts w:ascii="Arial" w:hAnsi="Arial" w:cs="Arial"/>
        </w:rPr>
      </w:pPr>
    </w:p>
    <w:p w14:paraId="04D62E69" w14:textId="77777777" w:rsidR="001E3C88" w:rsidRPr="001E3C88" w:rsidRDefault="001E3C88" w:rsidP="00AE61BF">
      <w:pPr>
        <w:spacing w:after="0" w:line="360" w:lineRule="auto"/>
        <w:ind w:left="709" w:right="521"/>
        <w:jc w:val="both"/>
        <w:rPr>
          <w:rFonts w:ascii="Arial" w:hAnsi="Arial" w:cs="Arial"/>
        </w:rPr>
      </w:pPr>
      <w:r w:rsidRPr="001E3C88">
        <w:rPr>
          <w:rFonts w:ascii="Arial" w:hAnsi="Arial" w:cs="Arial"/>
          <w:lang w:val="x-none"/>
        </w:rPr>
        <w:t>In that connection it reiterates that children and other vulnerable</w:t>
      </w:r>
      <w:r w:rsidRPr="001E3C88">
        <w:rPr>
          <w:rFonts w:ascii="Arial" w:hAnsi="Arial" w:cs="Arial"/>
        </w:rPr>
        <w:t xml:space="preserve"> </w:t>
      </w:r>
      <w:r w:rsidRPr="001E3C88">
        <w:rPr>
          <w:rFonts w:ascii="Arial" w:hAnsi="Arial" w:cs="Arial"/>
          <w:lang w:val="x-none"/>
        </w:rPr>
        <w:t>individuals – into which category fall victims of domestic violence – in</w:t>
      </w:r>
      <w:r w:rsidRPr="001E3C88">
        <w:rPr>
          <w:rFonts w:ascii="Arial" w:hAnsi="Arial" w:cs="Arial"/>
        </w:rPr>
        <w:t xml:space="preserve"> </w:t>
      </w:r>
      <w:r w:rsidRPr="001E3C88">
        <w:rPr>
          <w:rFonts w:ascii="Arial" w:hAnsi="Arial" w:cs="Arial"/>
          <w:lang w:val="x-none"/>
        </w:rPr>
        <w:t>particular are entitled to State protection, in the form of effective deterrence,</w:t>
      </w:r>
      <w:r w:rsidRPr="001E3C88">
        <w:rPr>
          <w:rFonts w:ascii="Arial" w:hAnsi="Arial" w:cs="Arial"/>
        </w:rPr>
        <w:t xml:space="preserve"> </w:t>
      </w:r>
      <w:r w:rsidRPr="001E3C88">
        <w:rPr>
          <w:rFonts w:ascii="Arial" w:hAnsi="Arial" w:cs="Arial"/>
          <w:lang w:val="x-none"/>
        </w:rPr>
        <w:t>against such serious breaches of personal integrity</w:t>
      </w:r>
      <w:r w:rsidRPr="001E3C88">
        <w:rPr>
          <w:rFonts w:ascii="Arial" w:hAnsi="Arial" w:cs="Arial"/>
        </w:rPr>
        <w:t>.</w:t>
      </w:r>
      <w:r w:rsidRPr="001E3C88">
        <w:rPr>
          <w:rFonts w:ascii="Arial" w:hAnsi="Arial" w:cs="Arial"/>
          <w:vertAlign w:val="superscript"/>
          <w:lang w:val="x-none"/>
        </w:rPr>
        <w:footnoteReference w:id="54"/>
      </w:r>
    </w:p>
    <w:p w14:paraId="27BF36B5" w14:textId="77777777" w:rsidR="001E3C88" w:rsidRPr="001E3C88" w:rsidRDefault="001E3C88" w:rsidP="001E3C88">
      <w:pPr>
        <w:spacing w:after="0" w:line="360" w:lineRule="auto"/>
        <w:jc w:val="both"/>
        <w:rPr>
          <w:rFonts w:ascii="Arial" w:hAnsi="Arial" w:cs="Arial"/>
        </w:rPr>
      </w:pPr>
    </w:p>
    <w:p w14:paraId="6DA278F2" w14:textId="5979CDA7" w:rsidR="001E3C88" w:rsidRPr="001E3C88" w:rsidRDefault="001E3C88" w:rsidP="001E3C88">
      <w:pPr>
        <w:spacing w:after="0" w:line="360" w:lineRule="auto"/>
        <w:jc w:val="both"/>
        <w:rPr>
          <w:rFonts w:ascii="Arial" w:hAnsi="Arial" w:cs="Arial"/>
        </w:rPr>
      </w:pPr>
      <w:r w:rsidRPr="001E3C88">
        <w:rPr>
          <w:rFonts w:ascii="Arial" w:hAnsi="Arial" w:cs="Arial"/>
        </w:rPr>
        <w:t>The court, however, accepted that the obligations</w:t>
      </w:r>
      <w:r w:rsidR="00AE61BF">
        <w:rPr>
          <w:rFonts w:ascii="Arial" w:hAnsi="Arial" w:cs="Arial"/>
        </w:rPr>
        <w:t>:</w:t>
      </w:r>
      <w:r w:rsidRPr="001E3C88">
        <w:rPr>
          <w:rFonts w:ascii="Arial" w:hAnsi="Arial" w:cs="Arial"/>
        </w:rPr>
        <w:t xml:space="preserve"> </w:t>
      </w:r>
    </w:p>
    <w:p w14:paraId="0D06C8CA" w14:textId="77777777" w:rsidR="001E3C88" w:rsidRPr="001E3C88" w:rsidRDefault="001E3C88" w:rsidP="001E3C88">
      <w:pPr>
        <w:spacing w:after="0" w:line="360" w:lineRule="auto"/>
        <w:jc w:val="both"/>
        <w:rPr>
          <w:rFonts w:ascii="Arial" w:hAnsi="Arial" w:cs="Arial"/>
        </w:rPr>
      </w:pPr>
    </w:p>
    <w:p w14:paraId="58519E03" w14:textId="77777777" w:rsidR="001E3C88" w:rsidRPr="001E3C88" w:rsidRDefault="001E3C88" w:rsidP="00AE61BF">
      <w:pPr>
        <w:spacing w:after="0" w:line="360" w:lineRule="auto"/>
        <w:ind w:left="709" w:right="521"/>
        <w:jc w:val="both"/>
        <w:rPr>
          <w:rFonts w:ascii="Arial" w:hAnsi="Arial" w:cs="Arial"/>
          <w:lang w:val="x-none"/>
        </w:rPr>
      </w:pPr>
      <w:r w:rsidRPr="001E3C88">
        <w:rPr>
          <w:rFonts w:ascii="Arial" w:hAnsi="Arial" w:cs="Arial"/>
          <w:lang w:val="x-none"/>
        </w:rPr>
        <w:t>must be interpreted in a way which does not impose an</w:t>
      </w:r>
      <w:r w:rsidRPr="001E3C88">
        <w:rPr>
          <w:rFonts w:ascii="Arial" w:hAnsi="Arial" w:cs="Arial"/>
        </w:rPr>
        <w:t xml:space="preserve"> </w:t>
      </w:r>
      <w:r w:rsidRPr="001E3C88">
        <w:rPr>
          <w:rFonts w:ascii="Arial" w:hAnsi="Arial" w:cs="Arial"/>
          <w:lang w:val="x-none"/>
        </w:rPr>
        <w:t>impossible or disproportionate burden on the authorities, bearing in mind the</w:t>
      </w:r>
      <w:r w:rsidRPr="001E3C88">
        <w:rPr>
          <w:rFonts w:ascii="Arial" w:hAnsi="Arial" w:cs="Arial"/>
        </w:rPr>
        <w:t xml:space="preserve"> </w:t>
      </w:r>
      <w:r w:rsidRPr="001E3C88">
        <w:rPr>
          <w:rFonts w:ascii="Arial" w:hAnsi="Arial" w:cs="Arial"/>
          <w:lang w:val="x-none"/>
        </w:rPr>
        <w:t>difficulties involved in policing modern societies, the unpredictability of human</w:t>
      </w:r>
      <w:r w:rsidRPr="001E3C88">
        <w:rPr>
          <w:rFonts w:ascii="Arial" w:hAnsi="Arial" w:cs="Arial"/>
        </w:rPr>
        <w:t xml:space="preserve"> </w:t>
      </w:r>
      <w:r w:rsidRPr="001E3C88">
        <w:rPr>
          <w:rFonts w:ascii="Arial" w:hAnsi="Arial" w:cs="Arial"/>
          <w:lang w:val="x-none"/>
        </w:rPr>
        <w:t xml:space="preserve">conduct and </w:t>
      </w:r>
      <w:r w:rsidRPr="001E3C88">
        <w:rPr>
          <w:rFonts w:ascii="Arial" w:hAnsi="Arial" w:cs="Arial"/>
          <w:lang w:val="x-none"/>
        </w:rPr>
        <w:lastRenderedPageBreak/>
        <w:t>the operational choices which must be made in terms of priorities</w:t>
      </w:r>
      <w:r w:rsidRPr="001E3C88">
        <w:rPr>
          <w:rFonts w:ascii="Arial" w:hAnsi="Arial" w:cs="Arial"/>
        </w:rPr>
        <w:t xml:space="preserve"> </w:t>
      </w:r>
      <w:r w:rsidRPr="001E3C88">
        <w:rPr>
          <w:rFonts w:ascii="Arial" w:hAnsi="Arial" w:cs="Arial"/>
          <w:lang w:val="x-none"/>
        </w:rPr>
        <w:t>and resources.</w:t>
      </w:r>
      <w:r w:rsidRPr="001E3C88">
        <w:rPr>
          <w:rFonts w:ascii="Arial" w:hAnsi="Arial" w:cs="Arial"/>
          <w:vertAlign w:val="superscript"/>
          <w:lang w:val="x-none"/>
        </w:rPr>
        <w:footnoteReference w:id="55"/>
      </w:r>
    </w:p>
    <w:p w14:paraId="4E27AE82" w14:textId="77777777" w:rsidR="001E3C88" w:rsidRPr="001E3C88" w:rsidRDefault="001E3C88" w:rsidP="001E3C88">
      <w:pPr>
        <w:spacing w:after="0" w:line="360" w:lineRule="auto"/>
        <w:jc w:val="both"/>
        <w:rPr>
          <w:rFonts w:ascii="Arial" w:hAnsi="Arial" w:cs="Arial"/>
        </w:rPr>
      </w:pPr>
    </w:p>
    <w:p w14:paraId="635E8DC3" w14:textId="25548D93" w:rsidR="001E3C88" w:rsidRPr="001E3C88" w:rsidRDefault="001E3C88" w:rsidP="001E3C88">
      <w:pPr>
        <w:spacing w:after="0" w:line="360" w:lineRule="auto"/>
        <w:jc w:val="both"/>
        <w:rPr>
          <w:rFonts w:ascii="Arial" w:hAnsi="Arial" w:cs="Arial"/>
        </w:rPr>
      </w:pPr>
      <w:r w:rsidRPr="001E3C88">
        <w:rPr>
          <w:rFonts w:ascii="Arial" w:hAnsi="Arial" w:cs="Arial"/>
        </w:rPr>
        <w:t>There is a duty on the state to put in place laws which ensure that citizens’ rights are protected.</w:t>
      </w:r>
      <w:r w:rsidR="009F3F37">
        <w:rPr>
          <w:rFonts w:ascii="Arial" w:hAnsi="Arial" w:cs="Arial"/>
        </w:rPr>
        <w:t xml:space="preserve"> </w:t>
      </w:r>
      <w:r w:rsidRPr="001E3C88">
        <w:rPr>
          <w:rFonts w:ascii="Arial" w:hAnsi="Arial" w:cs="Arial"/>
        </w:rPr>
        <w:t>This means there must be effective laws to deter abuse crimes</w:t>
      </w:r>
      <w:r w:rsidR="00E9177B">
        <w:rPr>
          <w:rFonts w:ascii="Arial" w:hAnsi="Arial" w:cs="Arial"/>
        </w:rPr>
        <w:t>,</w:t>
      </w:r>
      <w:r w:rsidRPr="001E3C88">
        <w:rPr>
          <w:rFonts w:ascii="Arial" w:hAnsi="Arial" w:cs="Arial"/>
          <w:vertAlign w:val="superscript"/>
        </w:rPr>
        <w:footnoteReference w:id="56"/>
      </w:r>
      <w:r w:rsidR="009F3F37">
        <w:rPr>
          <w:rFonts w:ascii="Arial" w:hAnsi="Arial" w:cs="Arial"/>
        </w:rPr>
        <w:t xml:space="preserve"> </w:t>
      </w:r>
      <w:r w:rsidRPr="001E3C88">
        <w:rPr>
          <w:rFonts w:ascii="Arial" w:hAnsi="Arial" w:cs="Arial"/>
        </w:rPr>
        <w:t>effective civil law remedies for those facing abuse</w:t>
      </w:r>
      <w:r w:rsidR="00E9177B">
        <w:rPr>
          <w:rFonts w:ascii="Arial" w:hAnsi="Arial" w:cs="Arial"/>
        </w:rPr>
        <w:t>,</w:t>
      </w:r>
      <w:r w:rsidRPr="001E3C88">
        <w:rPr>
          <w:rFonts w:ascii="Arial" w:hAnsi="Arial" w:cs="Arial"/>
        </w:rPr>
        <w:t xml:space="preserve"> and an effective mechanism for law enforcement.</w:t>
      </w:r>
      <w:r w:rsidRPr="001E3C88">
        <w:rPr>
          <w:rFonts w:ascii="Arial" w:hAnsi="Arial" w:cs="Arial"/>
          <w:vertAlign w:val="superscript"/>
        </w:rPr>
        <w:footnoteReference w:id="57"/>
      </w:r>
      <w:r w:rsidR="009F3F37">
        <w:rPr>
          <w:rFonts w:ascii="Arial" w:hAnsi="Arial" w:cs="Arial"/>
        </w:rPr>
        <w:t xml:space="preserve"> </w:t>
      </w:r>
    </w:p>
    <w:p w14:paraId="3D715831" w14:textId="77777777" w:rsidR="001E3C88" w:rsidRPr="001E3C88" w:rsidRDefault="001E3C88" w:rsidP="001E3C88">
      <w:pPr>
        <w:spacing w:after="0" w:line="360" w:lineRule="auto"/>
        <w:jc w:val="both"/>
        <w:rPr>
          <w:rFonts w:ascii="Arial" w:hAnsi="Arial" w:cs="Arial"/>
        </w:rPr>
      </w:pPr>
    </w:p>
    <w:p w14:paraId="40512E49" w14:textId="7F2EF3E3" w:rsidR="001E3C88" w:rsidRPr="001E3C88" w:rsidRDefault="001E3C88" w:rsidP="00CE568F">
      <w:pPr>
        <w:spacing w:after="0" w:line="360" w:lineRule="auto"/>
        <w:ind w:firstLine="709"/>
        <w:jc w:val="both"/>
        <w:rPr>
          <w:rFonts w:ascii="Arial" w:hAnsi="Arial" w:cs="Arial"/>
        </w:rPr>
      </w:pPr>
      <w:r w:rsidRPr="001E3C88">
        <w:rPr>
          <w:rFonts w:ascii="Arial" w:hAnsi="Arial" w:cs="Arial"/>
        </w:rPr>
        <w:t>The basic right to protection from violence and abuse is also found in the Istanbul convention.</w:t>
      </w:r>
      <w:r w:rsidR="009F3F37">
        <w:rPr>
          <w:rFonts w:ascii="Arial" w:hAnsi="Arial" w:cs="Arial"/>
        </w:rPr>
        <w:t xml:space="preserve"> </w:t>
      </w:r>
      <w:r w:rsidRPr="001E3C88">
        <w:rPr>
          <w:rFonts w:ascii="Arial" w:hAnsi="Arial" w:cs="Arial"/>
        </w:rPr>
        <w:t>Article 4, paragraph 1 states:</w:t>
      </w:r>
    </w:p>
    <w:p w14:paraId="0569823C" w14:textId="77777777" w:rsidR="001E3C88" w:rsidRPr="001E3C88" w:rsidRDefault="001E3C88" w:rsidP="001E3C88">
      <w:pPr>
        <w:spacing w:after="0" w:line="360" w:lineRule="auto"/>
        <w:jc w:val="both"/>
        <w:rPr>
          <w:rFonts w:ascii="Arial" w:hAnsi="Arial" w:cs="Arial"/>
        </w:rPr>
      </w:pPr>
    </w:p>
    <w:p w14:paraId="3BB5F7DC" w14:textId="77777777" w:rsidR="001E3C88" w:rsidRPr="001E3C88" w:rsidRDefault="001E3C88" w:rsidP="00E9177B">
      <w:pPr>
        <w:spacing w:after="0" w:line="360" w:lineRule="auto"/>
        <w:ind w:left="709" w:right="521"/>
        <w:jc w:val="both"/>
        <w:rPr>
          <w:rFonts w:ascii="Arial" w:hAnsi="Arial" w:cs="Arial"/>
        </w:rPr>
      </w:pPr>
      <w:r w:rsidRPr="001E3C88">
        <w:rPr>
          <w:rFonts w:ascii="Arial" w:hAnsi="Arial" w:cs="Arial"/>
        </w:rPr>
        <w:t>Parties shall take the necessary legislative and other measures to promote and protect the right for everyone, particularly women, to live free from violence in both the public and the private sphere.</w:t>
      </w:r>
    </w:p>
    <w:p w14:paraId="4EF29860" w14:textId="77777777" w:rsidR="001E3C88" w:rsidRPr="001E3C88" w:rsidRDefault="001E3C88" w:rsidP="001E3C88">
      <w:pPr>
        <w:spacing w:after="0" w:line="360" w:lineRule="auto"/>
        <w:jc w:val="both"/>
        <w:rPr>
          <w:rFonts w:ascii="Arial" w:hAnsi="Arial" w:cs="Arial"/>
        </w:rPr>
      </w:pPr>
    </w:p>
    <w:p w14:paraId="4BCC7277" w14:textId="3140AEF6" w:rsidR="001E3C88" w:rsidRPr="001E3C88" w:rsidRDefault="001E3C88" w:rsidP="001E3C88">
      <w:pPr>
        <w:spacing w:after="0" w:line="360" w:lineRule="auto"/>
        <w:jc w:val="both"/>
        <w:rPr>
          <w:rFonts w:ascii="Arial" w:hAnsi="Arial" w:cs="Arial"/>
        </w:rPr>
      </w:pPr>
      <w:r w:rsidRPr="001E3C88">
        <w:rPr>
          <w:rFonts w:ascii="Arial" w:hAnsi="Arial" w:cs="Arial"/>
        </w:rPr>
        <w:t>This right is not restricted to the state refraining from committing violence itself.</w:t>
      </w:r>
      <w:r w:rsidR="009F3F37">
        <w:rPr>
          <w:rFonts w:ascii="Arial" w:hAnsi="Arial" w:cs="Arial"/>
        </w:rPr>
        <w:t xml:space="preserve"> </w:t>
      </w:r>
      <w:r w:rsidRPr="001E3C88">
        <w:rPr>
          <w:rFonts w:ascii="Arial" w:hAnsi="Arial" w:cs="Arial"/>
        </w:rPr>
        <w:t>It imposes positive obligations on the state to enact and give effect to laws that protect women from violence.</w:t>
      </w:r>
      <w:r w:rsidR="009F3F37">
        <w:rPr>
          <w:rFonts w:ascii="Arial" w:hAnsi="Arial" w:cs="Arial"/>
        </w:rPr>
        <w:t xml:space="preserve"> </w:t>
      </w:r>
      <w:r w:rsidRPr="001E3C88">
        <w:rPr>
          <w:rFonts w:ascii="Arial" w:hAnsi="Arial" w:cs="Arial"/>
        </w:rPr>
        <w:t>As Article 5 paragraph 2 of the Istanbul Convention states:</w:t>
      </w:r>
      <w:r w:rsidR="009F3F37">
        <w:rPr>
          <w:rFonts w:ascii="Arial" w:hAnsi="Arial" w:cs="Arial"/>
        </w:rPr>
        <w:t xml:space="preserve"> </w:t>
      </w:r>
    </w:p>
    <w:p w14:paraId="7D502607" w14:textId="77777777" w:rsidR="001E3C88" w:rsidRPr="001E3C88" w:rsidRDefault="001E3C88" w:rsidP="001E3C88">
      <w:pPr>
        <w:spacing w:after="0" w:line="360" w:lineRule="auto"/>
        <w:jc w:val="both"/>
        <w:rPr>
          <w:rFonts w:ascii="Arial" w:hAnsi="Arial" w:cs="Arial"/>
        </w:rPr>
      </w:pPr>
    </w:p>
    <w:p w14:paraId="06CFE2D7" w14:textId="77777777" w:rsidR="001E3C88" w:rsidRDefault="001E3C88" w:rsidP="00E9177B">
      <w:pPr>
        <w:spacing w:after="0" w:line="360" w:lineRule="auto"/>
        <w:ind w:left="709" w:right="521"/>
        <w:jc w:val="both"/>
        <w:rPr>
          <w:rFonts w:ascii="Arial" w:hAnsi="Arial" w:cs="Arial"/>
        </w:rPr>
      </w:pPr>
      <w:r w:rsidRPr="001E3C88">
        <w:rPr>
          <w:rFonts w:ascii="Arial" w:hAnsi="Arial" w:cs="Arial"/>
        </w:rPr>
        <w:t>Parties shall take the necessary legislative and other measures to exercise due diligence to prevent, investigate, punish and provide reparation for acts of violence covered by the scope of this Convention that are perpetrated by non</w:t>
      </w:r>
      <w:r w:rsidRPr="001E3C88">
        <w:rPr>
          <w:rFonts w:ascii="Cambria Math" w:hAnsi="Cambria Math" w:cs="Cambria Math"/>
        </w:rPr>
        <w:t>‐</w:t>
      </w:r>
      <w:r w:rsidRPr="001E3C88">
        <w:rPr>
          <w:rFonts w:ascii="Arial" w:hAnsi="Arial" w:cs="Arial"/>
        </w:rPr>
        <w:t>State actors.</w:t>
      </w:r>
    </w:p>
    <w:p w14:paraId="4A47EE0D" w14:textId="77777777" w:rsidR="00E9177B" w:rsidRPr="001E3C88" w:rsidRDefault="00E9177B" w:rsidP="00E9177B">
      <w:pPr>
        <w:spacing w:after="0" w:line="360" w:lineRule="auto"/>
        <w:ind w:firstLine="360"/>
        <w:jc w:val="both"/>
        <w:rPr>
          <w:rFonts w:ascii="Arial" w:hAnsi="Arial" w:cs="Arial"/>
        </w:rPr>
      </w:pPr>
    </w:p>
    <w:p w14:paraId="703E152A" w14:textId="02A58874" w:rsidR="001E3C88" w:rsidRPr="00CE568F" w:rsidRDefault="001E3C88" w:rsidP="00E9177B">
      <w:pPr>
        <w:spacing w:after="0" w:line="360" w:lineRule="auto"/>
        <w:jc w:val="both"/>
        <w:rPr>
          <w:rFonts w:ascii="Arial" w:hAnsi="Arial" w:cs="Arial"/>
          <w:b/>
          <w:bCs/>
          <w:i/>
          <w:iCs/>
        </w:rPr>
      </w:pPr>
      <w:r w:rsidRPr="00CE568F">
        <w:rPr>
          <w:rFonts w:ascii="Arial" w:hAnsi="Arial" w:cs="Arial"/>
          <w:b/>
          <w:bCs/>
          <w:i/>
          <w:iCs/>
        </w:rPr>
        <w:t xml:space="preserve">Meeting the </w:t>
      </w:r>
      <w:r w:rsidR="00E9177B" w:rsidRPr="00CE568F">
        <w:rPr>
          <w:rFonts w:ascii="Arial" w:hAnsi="Arial" w:cs="Arial"/>
          <w:b/>
          <w:bCs/>
          <w:i/>
          <w:iCs/>
        </w:rPr>
        <w:t>H</w:t>
      </w:r>
      <w:r w:rsidRPr="00CE568F">
        <w:rPr>
          <w:rFonts w:ascii="Arial" w:hAnsi="Arial" w:cs="Arial"/>
          <w:b/>
          <w:bCs/>
          <w:i/>
          <w:iCs/>
        </w:rPr>
        <w:t xml:space="preserve">uman </w:t>
      </w:r>
      <w:r w:rsidR="00E9177B" w:rsidRPr="00CE568F">
        <w:rPr>
          <w:rFonts w:ascii="Arial" w:hAnsi="Arial" w:cs="Arial"/>
          <w:b/>
          <w:bCs/>
          <w:i/>
          <w:iCs/>
        </w:rPr>
        <w:t>R</w:t>
      </w:r>
      <w:r w:rsidRPr="00CE568F">
        <w:rPr>
          <w:rFonts w:ascii="Arial" w:hAnsi="Arial" w:cs="Arial"/>
          <w:b/>
          <w:bCs/>
          <w:i/>
          <w:iCs/>
        </w:rPr>
        <w:t xml:space="preserve">ights </w:t>
      </w:r>
      <w:r w:rsidR="00E9177B" w:rsidRPr="00CE568F">
        <w:rPr>
          <w:rFonts w:ascii="Arial" w:hAnsi="Arial" w:cs="Arial"/>
          <w:b/>
          <w:bCs/>
          <w:i/>
          <w:iCs/>
        </w:rPr>
        <w:t>O</w:t>
      </w:r>
      <w:r w:rsidRPr="00CE568F">
        <w:rPr>
          <w:rFonts w:ascii="Arial" w:hAnsi="Arial" w:cs="Arial"/>
          <w:b/>
          <w:bCs/>
          <w:i/>
          <w:iCs/>
        </w:rPr>
        <w:t>bligations</w:t>
      </w:r>
    </w:p>
    <w:p w14:paraId="18BEDBE7" w14:textId="77777777" w:rsidR="001E3C88" w:rsidRPr="001E3C88" w:rsidRDefault="001E3C88" w:rsidP="001E3C88">
      <w:pPr>
        <w:spacing w:after="0" w:line="360" w:lineRule="auto"/>
        <w:jc w:val="both"/>
        <w:rPr>
          <w:rFonts w:ascii="Arial" w:hAnsi="Arial" w:cs="Arial"/>
        </w:rPr>
      </w:pPr>
    </w:p>
    <w:p w14:paraId="6D06F944" w14:textId="0BA311AE" w:rsidR="001E3C88" w:rsidRPr="001E3C88" w:rsidRDefault="001E3C88" w:rsidP="001E3C88">
      <w:pPr>
        <w:spacing w:after="0" w:line="360" w:lineRule="auto"/>
        <w:jc w:val="both"/>
        <w:rPr>
          <w:rFonts w:ascii="Arial" w:hAnsi="Arial" w:cs="Arial"/>
        </w:rPr>
      </w:pPr>
      <w:r w:rsidRPr="001E3C88">
        <w:rPr>
          <w:rFonts w:ascii="Arial" w:hAnsi="Arial" w:cs="Arial"/>
        </w:rPr>
        <w:t>Having established the existence of the right to protection from street harassment and violence, the key question is how the state is to meet its obligations.</w:t>
      </w:r>
      <w:r w:rsidR="009F3F37">
        <w:rPr>
          <w:rFonts w:ascii="Arial" w:hAnsi="Arial" w:cs="Arial"/>
        </w:rPr>
        <w:t xml:space="preserve"> </w:t>
      </w:r>
      <w:r w:rsidRPr="001E3C88">
        <w:rPr>
          <w:rFonts w:ascii="Arial" w:hAnsi="Arial" w:cs="Arial"/>
        </w:rPr>
        <w:t>Clearly a primary way of the state fulfilling its responsibilities i</w:t>
      </w:r>
      <w:r w:rsidR="00E9177B">
        <w:rPr>
          <w:rFonts w:ascii="Arial" w:hAnsi="Arial" w:cs="Arial"/>
        </w:rPr>
        <w:t>s</w:t>
      </w:r>
      <w:r w:rsidRPr="001E3C88">
        <w:rPr>
          <w:rFonts w:ascii="Arial" w:hAnsi="Arial" w:cs="Arial"/>
        </w:rPr>
        <w:t xml:space="preserve"> to have in place criminal offences to protect women from abuse.</w:t>
      </w:r>
      <w:r w:rsidR="009F3F37">
        <w:rPr>
          <w:rFonts w:ascii="Arial" w:hAnsi="Arial" w:cs="Arial"/>
        </w:rPr>
        <w:t xml:space="preserve"> </w:t>
      </w:r>
      <w:r w:rsidRPr="001E3C88">
        <w:rPr>
          <w:rFonts w:ascii="Arial" w:hAnsi="Arial" w:cs="Arial"/>
        </w:rPr>
        <w:t>For example, Article 2 was said to impose ‘a duty on that State to secure the right to life by putting in place effective criminal law provisions to deter the commission of offences against a person backed up by law enforcement machinery for the prevention of suppression and punishment of breaches of such provisions.’</w:t>
      </w:r>
      <w:r w:rsidRPr="001E3C88">
        <w:rPr>
          <w:rFonts w:ascii="Arial" w:hAnsi="Arial" w:cs="Arial"/>
          <w:vertAlign w:val="superscript"/>
        </w:rPr>
        <w:footnoteReference w:id="58"/>
      </w:r>
      <w:r w:rsidR="007E7754">
        <w:rPr>
          <w:rFonts w:ascii="Arial" w:hAnsi="Arial" w:cs="Arial"/>
        </w:rPr>
        <w:t xml:space="preserve"> </w:t>
      </w:r>
      <w:r w:rsidRPr="001E3C88">
        <w:rPr>
          <w:rFonts w:ascii="Arial" w:hAnsi="Arial" w:cs="Arial"/>
        </w:rPr>
        <w:t>This requires an effective legislative and administrative framework.</w:t>
      </w:r>
      <w:r w:rsidRPr="001E3C88">
        <w:rPr>
          <w:rFonts w:ascii="Arial" w:hAnsi="Arial" w:cs="Arial"/>
          <w:vertAlign w:val="superscript"/>
        </w:rPr>
        <w:footnoteReference w:id="59"/>
      </w:r>
      <w:r w:rsidR="009F3F37">
        <w:rPr>
          <w:rFonts w:ascii="Arial" w:hAnsi="Arial" w:cs="Arial"/>
        </w:rPr>
        <w:t xml:space="preserve"> </w:t>
      </w:r>
      <w:r w:rsidRPr="001E3C88">
        <w:rPr>
          <w:rFonts w:ascii="Arial" w:hAnsi="Arial" w:cs="Arial"/>
        </w:rPr>
        <w:t xml:space="preserve">There may well be the case that new specific offences, such as </w:t>
      </w:r>
      <w:r w:rsidRPr="001E3C88">
        <w:rPr>
          <w:rFonts w:ascii="Arial" w:hAnsi="Arial" w:cs="Arial"/>
        </w:rPr>
        <w:lastRenderedPageBreak/>
        <w:t>against misogyny, should be created (something not considered by this article).</w:t>
      </w:r>
      <w:r w:rsidR="009F3F37">
        <w:rPr>
          <w:rFonts w:ascii="Arial" w:hAnsi="Arial" w:cs="Arial"/>
        </w:rPr>
        <w:t xml:space="preserve"> </w:t>
      </w:r>
      <w:r w:rsidRPr="001E3C88">
        <w:rPr>
          <w:rFonts w:ascii="Arial" w:hAnsi="Arial" w:cs="Arial"/>
        </w:rPr>
        <w:t>But given the lack of full effectiveness of the current offences it is unlikely any such new offence will provide adequate protection.</w:t>
      </w:r>
    </w:p>
    <w:p w14:paraId="3F95A96D" w14:textId="77777777" w:rsidR="001E3C88" w:rsidRPr="001E3C88" w:rsidRDefault="001E3C88" w:rsidP="001E3C88">
      <w:pPr>
        <w:spacing w:after="0" w:line="360" w:lineRule="auto"/>
        <w:jc w:val="both"/>
        <w:rPr>
          <w:rFonts w:ascii="Arial" w:hAnsi="Arial" w:cs="Arial"/>
        </w:rPr>
      </w:pPr>
    </w:p>
    <w:p w14:paraId="6B91A106" w14:textId="09E9F125" w:rsidR="001E3C88" w:rsidRPr="001E3C88" w:rsidRDefault="001E3C88" w:rsidP="007E7754">
      <w:pPr>
        <w:spacing w:after="0" w:line="360" w:lineRule="auto"/>
        <w:ind w:firstLine="720"/>
        <w:jc w:val="both"/>
        <w:rPr>
          <w:rFonts w:ascii="Arial" w:hAnsi="Arial" w:cs="Arial"/>
          <w:iCs/>
        </w:rPr>
      </w:pPr>
      <w:r w:rsidRPr="001E3C88">
        <w:rPr>
          <w:rFonts w:ascii="Arial" w:hAnsi="Arial" w:cs="Arial"/>
        </w:rPr>
        <w:t>Civil remedies might provide a solution in the context of some forms of violence against women, such as domestic abuse. Violence in public spaces is commonly from strangers and so civil remedies are no use as the perpetrator cannot be identified.</w:t>
      </w:r>
      <w:r w:rsidR="009F3F37">
        <w:rPr>
          <w:rFonts w:ascii="Arial" w:hAnsi="Arial" w:cs="Arial"/>
        </w:rPr>
        <w:t xml:space="preserve"> </w:t>
      </w:r>
      <w:r w:rsidRPr="001E3C88">
        <w:rPr>
          <w:rFonts w:ascii="Arial" w:hAnsi="Arial" w:cs="Arial"/>
        </w:rPr>
        <w:t>The state is, therefore, left in the position of being under a duty to protect women from violence, having tried traditional forms of criminal offences without success.</w:t>
      </w:r>
      <w:r w:rsidR="009F3F37">
        <w:rPr>
          <w:rFonts w:ascii="Arial" w:hAnsi="Arial" w:cs="Arial"/>
        </w:rPr>
        <w:t xml:space="preserve"> </w:t>
      </w:r>
      <w:r w:rsidRPr="001E3C88">
        <w:rPr>
          <w:rFonts w:ascii="Arial" w:hAnsi="Arial" w:cs="Arial"/>
        </w:rPr>
        <w:t>Something must be done.</w:t>
      </w:r>
      <w:r w:rsidR="009F3F37">
        <w:rPr>
          <w:rFonts w:ascii="Arial" w:hAnsi="Arial" w:cs="Arial"/>
        </w:rPr>
        <w:t xml:space="preserve"> </w:t>
      </w:r>
      <w:r w:rsidRPr="001E3C88">
        <w:rPr>
          <w:rFonts w:ascii="Arial" w:hAnsi="Arial" w:cs="Arial"/>
        </w:rPr>
        <w:t>Doing nothing leaves a “context of impunity”</w:t>
      </w:r>
      <w:r w:rsidRPr="001E3C88">
        <w:rPr>
          <w:rFonts w:ascii="Arial" w:hAnsi="Arial" w:cs="Arial"/>
          <w:iCs/>
          <w:vertAlign w:val="superscript"/>
        </w:rPr>
        <w:footnoteReference w:id="60"/>
      </w:r>
      <w:r w:rsidRPr="001E3C88">
        <w:rPr>
          <w:rFonts w:ascii="Arial" w:hAnsi="Arial" w:cs="Arial"/>
          <w:i/>
        </w:rPr>
        <w:t xml:space="preserve"> </w:t>
      </w:r>
      <w:r w:rsidRPr="001E3C88">
        <w:rPr>
          <w:rFonts w:ascii="Arial" w:hAnsi="Arial" w:cs="Arial"/>
          <w:iCs/>
        </w:rPr>
        <w:t>something the ECHR has made clear is unacceptable.</w:t>
      </w:r>
      <w:r w:rsidR="009F3F37">
        <w:rPr>
          <w:rFonts w:ascii="Arial" w:hAnsi="Arial" w:cs="Arial"/>
          <w:iCs/>
        </w:rPr>
        <w:t xml:space="preserve"> </w:t>
      </w:r>
      <w:r w:rsidRPr="001E3C88">
        <w:rPr>
          <w:rFonts w:ascii="Arial" w:hAnsi="Arial" w:cs="Arial"/>
          <w:iCs/>
        </w:rPr>
        <w:t xml:space="preserve"> If the current criminal sanctions are failing to protect women</w:t>
      </w:r>
      <w:r w:rsidR="007E7754">
        <w:rPr>
          <w:rFonts w:ascii="Arial" w:hAnsi="Arial" w:cs="Arial"/>
          <w:iCs/>
        </w:rPr>
        <w:t>,</w:t>
      </w:r>
      <w:r w:rsidRPr="001E3C88">
        <w:rPr>
          <w:rFonts w:ascii="Arial" w:hAnsi="Arial" w:cs="Arial"/>
          <w:iCs/>
        </w:rPr>
        <w:t xml:space="preserve"> a further response is required.</w:t>
      </w:r>
      <w:r w:rsidR="009F3F37">
        <w:rPr>
          <w:rFonts w:ascii="Arial" w:hAnsi="Arial" w:cs="Arial"/>
          <w:iCs/>
        </w:rPr>
        <w:t xml:space="preserve"> </w:t>
      </w:r>
      <w:r w:rsidRPr="001E3C88">
        <w:rPr>
          <w:rFonts w:ascii="Arial" w:hAnsi="Arial" w:cs="Arial"/>
          <w:iCs/>
        </w:rPr>
        <w:t>Given that the vast majority of street violence, assaults and harassment against women in undertaken by men, the option of a curfew on all men must be seriously considered.</w:t>
      </w:r>
      <w:r w:rsidR="009F3F37">
        <w:rPr>
          <w:rFonts w:ascii="Arial" w:hAnsi="Arial" w:cs="Arial"/>
          <w:iCs/>
        </w:rPr>
        <w:t xml:space="preserve"> </w:t>
      </w:r>
    </w:p>
    <w:p w14:paraId="4CDB48A2" w14:textId="77777777" w:rsidR="001E3C88" w:rsidRPr="001E3C88" w:rsidRDefault="001E3C88" w:rsidP="001E3C88">
      <w:pPr>
        <w:spacing w:after="0" w:line="360" w:lineRule="auto"/>
        <w:jc w:val="both"/>
        <w:rPr>
          <w:rFonts w:ascii="Arial" w:hAnsi="Arial" w:cs="Arial"/>
          <w:iCs/>
        </w:rPr>
      </w:pPr>
    </w:p>
    <w:p w14:paraId="137E4698" w14:textId="3A969927" w:rsidR="001E3C88" w:rsidRPr="001E3C88" w:rsidRDefault="001E3C88" w:rsidP="00CE568F">
      <w:pPr>
        <w:spacing w:after="0" w:line="360" w:lineRule="auto"/>
        <w:ind w:firstLine="720"/>
        <w:jc w:val="both"/>
        <w:rPr>
          <w:rFonts w:ascii="Arial" w:hAnsi="Arial" w:cs="Arial"/>
          <w:iCs/>
        </w:rPr>
      </w:pPr>
      <w:r w:rsidRPr="001E3C88">
        <w:rPr>
          <w:rFonts w:ascii="Arial" w:hAnsi="Arial" w:cs="Arial"/>
          <w:iCs/>
        </w:rPr>
        <w:t>Generally, the response to such a proposal has been negative, with it being quickly argued that the imposition of a male curfew would infringe the rights of men (under Article 5 and 8) in a way which could not be justified.</w:t>
      </w:r>
      <w:r w:rsidR="009F3F37">
        <w:rPr>
          <w:rFonts w:ascii="Arial" w:hAnsi="Arial" w:cs="Arial"/>
          <w:iCs/>
        </w:rPr>
        <w:t xml:space="preserve"> </w:t>
      </w:r>
      <w:r w:rsidRPr="001E3C88">
        <w:rPr>
          <w:rFonts w:ascii="Arial" w:hAnsi="Arial" w:cs="Arial"/>
          <w:iCs/>
        </w:rPr>
        <w:t>In particular, the point is made that many men whose rights would be infringed would not have undertaken violence, assault or harassment of women.</w:t>
      </w:r>
      <w:r w:rsidR="009F3F37">
        <w:rPr>
          <w:rFonts w:ascii="Arial" w:hAnsi="Arial" w:cs="Arial"/>
          <w:iCs/>
        </w:rPr>
        <w:t xml:space="preserve"> </w:t>
      </w:r>
      <w:r w:rsidRPr="001E3C88">
        <w:rPr>
          <w:rFonts w:ascii="Arial" w:hAnsi="Arial" w:cs="Arial"/>
          <w:iCs/>
        </w:rPr>
        <w:t>I disagree and think a curfew would be proportionate and will explain why in the next section.</w:t>
      </w:r>
    </w:p>
    <w:p w14:paraId="6E670397" w14:textId="77777777" w:rsidR="001E3C88" w:rsidRPr="001E3C88" w:rsidRDefault="001E3C88" w:rsidP="001E3C88">
      <w:pPr>
        <w:spacing w:after="0" w:line="360" w:lineRule="auto"/>
        <w:jc w:val="both"/>
        <w:rPr>
          <w:rFonts w:ascii="Arial" w:hAnsi="Arial" w:cs="Arial"/>
        </w:rPr>
      </w:pPr>
    </w:p>
    <w:p w14:paraId="0101B7E9" w14:textId="7946D6DA" w:rsidR="001E3C88" w:rsidRPr="001E3C88" w:rsidRDefault="001E3C88" w:rsidP="001E3C88">
      <w:pPr>
        <w:spacing w:after="0" w:line="360" w:lineRule="auto"/>
        <w:jc w:val="both"/>
        <w:rPr>
          <w:rFonts w:ascii="Arial" w:hAnsi="Arial" w:cs="Arial"/>
          <w:b/>
          <w:bCs/>
          <w:i/>
          <w:iCs/>
        </w:rPr>
      </w:pPr>
      <w:r w:rsidRPr="001E3C88">
        <w:rPr>
          <w:rFonts w:ascii="Arial" w:hAnsi="Arial" w:cs="Arial"/>
          <w:b/>
          <w:bCs/>
          <w:i/>
          <w:iCs/>
        </w:rPr>
        <w:t>Balancing rights: Proportionality</w:t>
      </w:r>
    </w:p>
    <w:p w14:paraId="39F92975" w14:textId="77777777" w:rsidR="001E3C88" w:rsidRPr="001E3C88" w:rsidRDefault="001E3C88" w:rsidP="001E3C88">
      <w:pPr>
        <w:spacing w:after="0" w:line="360" w:lineRule="auto"/>
        <w:jc w:val="both"/>
        <w:rPr>
          <w:rFonts w:ascii="Arial" w:hAnsi="Arial" w:cs="Arial"/>
          <w:i/>
        </w:rPr>
      </w:pPr>
    </w:p>
    <w:p w14:paraId="26B82FBE" w14:textId="4FA95F86" w:rsidR="001E3C88" w:rsidRPr="001E3C88" w:rsidRDefault="001E3C88" w:rsidP="001E3C88">
      <w:pPr>
        <w:spacing w:after="0" w:line="360" w:lineRule="auto"/>
        <w:jc w:val="both"/>
        <w:rPr>
          <w:rFonts w:ascii="Arial" w:hAnsi="Arial" w:cs="Arial"/>
        </w:rPr>
      </w:pPr>
      <w:r w:rsidRPr="001E3C88">
        <w:rPr>
          <w:rFonts w:ascii="Arial" w:hAnsi="Arial" w:cs="Arial"/>
        </w:rPr>
        <w:t>The idea of proportionality is summarised by Lord Reed in </w:t>
      </w:r>
      <w:r w:rsidRPr="001E3C88">
        <w:rPr>
          <w:rFonts w:ascii="Arial" w:hAnsi="Arial" w:cs="Arial"/>
          <w:i/>
          <w:iCs/>
        </w:rPr>
        <w:t>Bank Mellat v HM Treasury</w:t>
      </w:r>
    </w:p>
    <w:p w14:paraId="030C60D9" w14:textId="585C19D3" w:rsidR="001E3C88" w:rsidRPr="001E3C88" w:rsidRDefault="001E3C88" w:rsidP="001E3C88">
      <w:pPr>
        <w:spacing w:after="0" w:line="360" w:lineRule="auto"/>
        <w:jc w:val="both"/>
        <w:rPr>
          <w:rFonts w:ascii="Arial" w:hAnsi="Arial" w:cs="Arial"/>
        </w:rPr>
      </w:pPr>
      <w:r w:rsidRPr="001E3C88">
        <w:rPr>
          <w:rFonts w:ascii="Arial" w:hAnsi="Arial" w:cs="Arial"/>
        </w:rPr>
        <w:t>It is necessary to determine</w:t>
      </w:r>
      <w:r w:rsidR="00DB0B3E">
        <w:rPr>
          <w:rFonts w:ascii="Arial" w:hAnsi="Arial" w:cs="Arial"/>
        </w:rPr>
        <w:t>:</w:t>
      </w:r>
    </w:p>
    <w:p w14:paraId="0CEC09A0" w14:textId="77777777" w:rsidR="001E3C88" w:rsidRPr="001E3C88" w:rsidRDefault="001E3C88" w:rsidP="00DB0B3E">
      <w:pPr>
        <w:spacing w:after="0" w:line="360" w:lineRule="auto"/>
        <w:ind w:left="709" w:right="521"/>
        <w:jc w:val="both"/>
        <w:rPr>
          <w:rFonts w:ascii="Arial" w:hAnsi="Arial" w:cs="Arial"/>
        </w:rPr>
      </w:pPr>
      <w:r w:rsidRPr="001E3C88">
        <w:rPr>
          <w:rFonts w:ascii="Arial" w:hAnsi="Arial" w:cs="Arial"/>
        </w:rPr>
        <w:t>(1) whether the objective of the measure is sufficiently important to justify the limitation of a protected right,</w:t>
      </w:r>
    </w:p>
    <w:p w14:paraId="5639F9B8" w14:textId="77777777" w:rsidR="001E3C88" w:rsidRPr="001E3C88" w:rsidRDefault="001E3C88" w:rsidP="00DB0B3E">
      <w:pPr>
        <w:spacing w:after="0" w:line="360" w:lineRule="auto"/>
        <w:ind w:left="709" w:right="521"/>
        <w:jc w:val="both"/>
        <w:rPr>
          <w:rFonts w:ascii="Arial" w:hAnsi="Arial" w:cs="Arial"/>
        </w:rPr>
      </w:pPr>
      <w:r w:rsidRPr="001E3C88">
        <w:rPr>
          <w:rFonts w:ascii="Arial" w:hAnsi="Arial" w:cs="Arial"/>
        </w:rPr>
        <w:t>(2) whether the measure is rationally connected to the objective,</w:t>
      </w:r>
    </w:p>
    <w:p w14:paraId="092DFA54" w14:textId="77777777" w:rsidR="001E3C88" w:rsidRPr="001E3C88" w:rsidRDefault="001E3C88" w:rsidP="00DB0B3E">
      <w:pPr>
        <w:spacing w:after="0" w:line="360" w:lineRule="auto"/>
        <w:ind w:left="709" w:right="521"/>
        <w:jc w:val="both"/>
        <w:rPr>
          <w:rFonts w:ascii="Arial" w:hAnsi="Arial" w:cs="Arial"/>
        </w:rPr>
      </w:pPr>
      <w:r w:rsidRPr="001E3C88">
        <w:rPr>
          <w:rFonts w:ascii="Arial" w:hAnsi="Arial" w:cs="Arial"/>
        </w:rPr>
        <w:t>(3) whether a less intrusive measure could have been used without unacceptably compromising the achievement of the objective, and</w:t>
      </w:r>
    </w:p>
    <w:p w14:paraId="43E921B0" w14:textId="79A82349" w:rsidR="001E3C88" w:rsidRPr="001E3C88" w:rsidRDefault="001E3C88" w:rsidP="00DB0B3E">
      <w:pPr>
        <w:spacing w:after="0" w:line="360" w:lineRule="auto"/>
        <w:ind w:left="709" w:right="521"/>
        <w:jc w:val="both"/>
        <w:rPr>
          <w:rFonts w:ascii="Arial" w:hAnsi="Arial" w:cs="Arial"/>
        </w:rPr>
      </w:pPr>
      <w:r w:rsidRPr="001E3C88">
        <w:rPr>
          <w:rFonts w:ascii="Arial" w:hAnsi="Arial" w:cs="Arial"/>
        </w:rPr>
        <w:t xml:space="preserve">(4) whether, balancing the severity of the measure’s effects on the rights of the persons to whom it applies against the importance of the objective, to the extent that the measure will contribute to its achievement, the former outweighs the </w:t>
      </w:r>
      <w:r w:rsidRPr="001E3C88">
        <w:rPr>
          <w:rFonts w:ascii="Arial" w:hAnsi="Arial" w:cs="Arial"/>
        </w:rPr>
        <w:lastRenderedPageBreak/>
        <w:t>latter…. In essence, the question at step four is whether the impact of the rights infringement is disproportionate to the likely benefit of the impugned measure.</w:t>
      </w:r>
      <w:r w:rsidR="00DB0B3E" w:rsidRPr="001E3C88">
        <w:rPr>
          <w:rFonts w:ascii="Arial" w:hAnsi="Arial" w:cs="Arial"/>
          <w:vertAlign w:val="superscript"/>
        </w:rPr>
        <w:footnoteReference w:id="61"/>
      </w:r>
      <w:r w:rsidR="00DB0B3E" w:rsidRPr="001E3C88">
        <w:rPr>
          <w:rFonts w:ascii="Arial" w:hAnsi="Arial" w:cs="Arial"/>
        </w:rPr>
        <w:t> </w:t>
      </w:r>
    </w:p>
    <w:p w14:paraId="61BE271D" w14:textId="77777777" w:rsidR="001E3C88" w:rsidRPr="001E3C88" w:rsidRDefault="001E3C88" w:rsidP="001E3C88">
      <w:pPr>
        <w:spacing w:after="0" w:line="360" w:lineRule="auto"/>
        <w:jc w:val="both"/>
        <w:rPr>
          <w:rFonts w:ascii="Arial" w:hAnsi="Arial" w:cs="Arial"/>
        </w:rPr>
      </w:pPr>
    </w:p>
    <w:p w14:paraId="56EF7CFE" w14:textId="4DE257AA" w:rsidR="001E3C88" w:rsidRPr="001E3C88" w:rsidRDefault="001E3C88" w:rsidP="001E3C88">
      <w:pPr>
        <w:spacing w:after="0" w:line="360" w:lineRule="auto"/>
        <w:jc w:val="both"/>
        <w:rPr>
          <w:rFonts w:ascii="Arial" w:hAnsi="Arial" w:cs="Arial"/>
        </w:rPr>
      </w:pPr>
      <w:r w:rsidRPr="001E3C88">
        <w:rPr>
          <w:rFonts w:ascii="Arial" w:hAnsi="Arial" w:cs="Arial"/>
        </w:rPr>
        <w:t>I am going to focus on the first and fourth of these criteria when considering whether a male curfew is a proportionate intervention to the issue of safety of women in public.</w:t>
      </w:r>
      <w:r w:rsidR="009F3F37">
        <w:rPr>
          <w:rFonts w:ascii="Arial" w:hAnsi="Arial" w:cs="Arial"/>
        </w:rPr>
        <w:t xml:space="preserve"> </w:t>
      </w:r>
      <w:r w:rsidRPr="001E3C88">
        <w:rPr>
          <w:rFonts w:ascii="Arial" w:hAnsi="Arial" w:cs="Arial"/>
        </w:rPr>
        <w:t>I take it the second would be satisfied without debate: clearly there is a rational link between the objective of protecting women and a male curfew.</w:t>
      </w:r>
      <w:r w:rsidR="009F3F37">
        <w:rPr>
          <w:rFonts w:ascii="Arial" w:hAnsi="Arial" w:cs="Arial"/>
        </w:rPr>
        <w:t xml:space="preserve"> </w:t>
      </w:r>
      <w:r w:rsidRPr="001E3C88">
        <w:rPr>
          <w:rFonts w:ascii="Arial" w:hAnsi="Arial" w:cs="Arial"/>
        </w:rPr>
        <w:t>The third issue is always a challenge as one has to prove a negative proposition: in this context, that there is no less interventionist intervention that can adequately protect women.</w:t>
      </w:r>
      <w:r w:rsidR="009F3F37">
        <w:rPr>
          <w:rFonts w:ascii="Arial" w:hAnsi="Arial" w:cs="Arial"/>
        </w:rPr>
        <w:t xml:space="preserve"> </w:t>
      </w:r>
      <w:r w:rsidRPr="001E3C88">
        <w:rPr>
          <w:rFonts w:ascii="Arial" w:hAnsi="Arial" w:cs="Arial"/>
        </w:rPr>
        <w:t>Much thought and effort has gone into making public spaces safe for women and</w:t>
      </w:r>
      <w:r w:rsidR="00264BA4">
        <w:rPr>
          <w:rFonts w:ascii="Arial" w:hAnsi="Arial" w:cs="Arial"/>
        </w:rPr>
        <w:t>,</w:t>
      </w:r>
      <w:r w:rsidRPr="001E3C88">
        <w:rPr>
          <w:rFonts w:ascii="Arial" w:hAnsi="Arial" w:cs="Arial"/>
        </w:rPr>
        <w:t xml:space="preserve"> so far</w:t>
      </w:r>
      <w:r w:rsidR="00264BA4">
        <w:rPr>
          <w:rFonts w:ascii="Arial" w:hAnsi="Arial" w:cs="Arial"/>
        </w:rPr>
        <w:t>,</w:t>
      </w:r>
      <w:r w:rsidRPr="001E3C88">
        <w:rPr>
          <w:rFonts w:ascii="Arial" w:hAnsi="Arial" w:cs="Arial"/>
        </w:rPr>
        <w:t xml:space="preserve"> none has been effective.</w:t>
      </w:r>
      <w:r w:rsidRPr="001E3C88">
        <w:rPr>
          <w:rFonts w:ascii="Arial" w:hAnsi="Arial" w:cs="Arial"/>
          <w:vertAlign w:val="superscript"/>
        </w:rPr>
        <w:footnoteReference w:id="62"/>
      </w:r>
      <w:r w:rsidR="009F3F37">
        <w:rPr>
          <w:rFonts w:ascii="Arial" w:hAnsi="Arial" w:cs="Arial"/>
        </w:rPr>
        <w:t xml:space="preserve"> </w:t>
      </w:r>
      <w:r w:rsidRPr="001E3C88">
        <w:rPr>
          <w:rFonts w:ascii="Arial" w:hAnsi="Arial" w:cs="Arial"/>
        </w:rPr>
        <w:t>As the core claim here is that the state is required to protect women’s rights, the option of doing nothing is not available.</w:t>
      </w:r>
      <w:r w:rsidR="009F3F37">
        <w:rPr>
          <w:rFonts w:ascii="Arial" w:hAnsi="Arial" w:cs="Arial"/>
        </w:rPr>
        <w:t xml:space="preserve"> </w:t>
      </w:r>
      <w:r w:rsidRPr="001E3C88">
        <w:rPr>
          <w:rFonts w:ascii="Arial" w:hAnsi="Arial" w:cs="Arial"/>
        </w:rPr>
        <w:t>Women’s rights to protection require such an intervention.</w:t>
      </w:r>
      <w:r w:rsidR="009F3F37">
        <w:rPr>
          <w:rFonts w:ascii="Arial" w:hAnsi="Arial" w:cs="Arial"/>
        </w:rPr>
        <w:t xml:space="preserve"> </w:t>
      </w:r>
      <w:r w:rsidRPr="001E3C88">
        <w:rPr>
          <w:rFonts w:ascii="Arial" w:hAnsi="Arial" w:cs="Arial"/>
        </w:rPr>
        <w:t>If it can be shown that there are other ways of protecting women that work as well as male curfew, they should be used.</w:t>
      </w:r>
      <w:r w:rsidR="009F3F37">
        <w:rPr>
          <w:rFonts w:ascii="Arial" w:hAnsi="Arial" w:cs="Arial"/>
        </w:rPr>
        <w:t xml:space="preserve"> </w:t>
      </w:r>
      <w:r w:rsidRPr="001E3C88">
        <w:rPr>
          <w:rFonts w:ascii="Arial" w:hAnsi="Arial" w:cs="Arial"/>
        </w:rPr>
        <w:t>Those who reject a curfew must propose an alternative which is at least as effective as a male curfew.</w:t>
      </w:r>
      <w:r w:rsidR="009F3F37">
        <w:rPr>
          <w:rFonts w:ascii="Arial" w:hAnsi="Arial" w:cs="Arial"/>
        </w:rPr>
        <w:t xml:space="preserve"> </w:t>
      </w:r>
    </w:p>
    <w:p w14:paraId="3C9B06F9" w14:textId="77777777" w:rsidR="001E3C88" w:rsidRPr="001E3C88" w:rsidRDefault="001E3C88" w:rsidP="001E3C88">
      <w:pPr>
        <w:spacing w:after="0" w:line="360" w:lineRule="auto"/>
        <w:jc w:val="both"/>
        <w:rPr>
          <w:rFonts w:ascii="Arial" w:hAnsi="Arial" w:cs="Arial"/>
        </w:rPr>
      </w:pPr>
    </w:p>
    <w:p w14:paraId="22674B1C" w14:textId="51BADC1B" w:rsidR="001E3C88" w:rsidRPr="001E3C88" w:rsidRDefault="001E3C88" w:rsidP="00264BA4">
      <w:pPr>
        <w:spacing w:after="0" w:line="360" w:lineRule="auto"/>
        <w:ind w:firstLine="720"/>
        <w:jc w:val="both"/>
        <w:rPr>
          <w:rFonts w:ascii="Arial" w:hAnsi="Arial" w:cs="Arial"/>
        </w:rPr>
      </w:pPr>
      <w:r w:rsidRPr="001E3C88">
        <w:rPr>
          <w:rFonts w:ascii="Arial" w:hAnsi="Arial" w:cs="Arial"/>
        </w:rPr>
        <w:t>Core to the first and fourth elements of proportionality is the gravity of the wrong done to women.</w:t>
      </w:r>
      <w:r w:rsidR="009F3F37">
        <w:rPr>
          <w:rFonts w:ascii="Arial" w:hAnsi="Arial" w:cs="Arial"/>
        </w:rPr>
        <w:t xml:space="preserve"> </w:t>
      </w:r>
      <w:r w:rsidRPr="001E3C88">
        <w:rPr>
          <w:rFonts w:ascii="Arial" w:hAnsi="Arial" w:cs="Arial"/>
        </w:rPr>
        <w:t>The greater the wrong done by violence, abuse</w:t>
      </w:r>
      <w:r w:rsidR="00264BA4">
        <w:rPr>
          <w:rFonts w:ascii="Arial" w:hAnsi="Arial" w:cs="Arial"/>
        </w:rPr>
        <w:t>,</w:t>
      </w:r>
      <w:r w:rsidRPr="001E3C88">
        <w:rPr>
          <w:rFonts w:ascii="Arial" w:hAnsi="Arial" w:cs="Arial"/>
        </w:rPr>
        <w:t xml:space="preserve"> and harassment in public spaces</w:t>
      </w:r>
      <w:r w:rsidR="00264BA4">
        <w:rPr>
          <w:rFonts w:ascii="Arial" w:hAnsi="Arial" w:cs="Arial"/>
        </w:rPr>
        <w:t>,</w:t>
      </w:r>
      <w:r w:rsidRPr="001E3C88">
        <w:rPr>
          <w:rFonts w:ascii="Arial" w:hAnsi="Arial" w:cs="Arial"/>
        </w:rPr>
        <w:t xml:space="preserve"> the more easily the breach of other’s human rights can be justified.</w:t>
      </w:r>
      <w:r w:rsidR="009F3F37">
        <w:rPr>
          <w:rFonts w:ascii="Arial" w:hAnsi="Arial" w:cs="Arial"/>
        </w:rPr>
        <w:t xml:space="preserve"> </w:t>
      </w:r>
      <w:r w:rsidRPr="001E3C88">
        <w:rPr>
          <w:rFonts w:ascii="Arial" w:hAnsi="Arial" w:cs="Arial"/>
        </w:rPr>
        <w:t xml:space="preserve"> I have already said much about the extent and severity of breach of women’s human rights by men’s public behaviour, but I will add some further observations.</w:t>
      </w:r>
      <w:r w:rsidR="009F3F37">
        <w:rPr>
          <w:rFonts w:ascii="Arial" w:hAnsi="Arial" w:cs="Arial"/>
        </w:rPr>
        <w:t xml:space="preserve"> </w:t>
      </w:r>
    </w:p>
    <w:p w14:paraId="6FB9440A" w14:textId="77777777" w:rsidR="001E3C88" w:rsidRPr="001E3C88" w:rsidRDefault="001E3C88" w:rsidP="001E3C88">
      <w:pPr>
        <w:spacing w:after="0" w:line="360" w:lineRule="auto"/>
        <w:jc w:val="both"/>
        <w:rPr>
          <w:rFonts w:ascii="Arial" w:hAnsi="Arial" w:cs="Arial"/>
        </w:rPr>
      </w:pPr>
      <w:r w:rsidRPr="001E3C88">
        <w:rPr>
          <w:rFonts w:ascii="Arial" w:hAnsi="Arial" w:cs="Arial"/>
        </w:rPr>
        <w:t xml:space="preserve"> </w:t>
      </w:r>
    </w:p>
    <w:p w14:paraId="31742FCA" w14:textId="5B86E63F" w:rsidR="001E3C88" w:rsidRDefault="001E3C88" w:rsidP="00264BA4">
      <w:pPr>
        <w:spacing w:after="0" w:line="360" w:lineRule="auto"/>
        <w:ind w:firstLine="720"/>
        <w:jc w:val="both"/>
        <w:rPr>
          <w:rFonts w:ascii="Arial" w:hAnsi="Arial" w:cs="Arial"/>
        </w:rPr>
      </w:pPr>
      <w:r w:rsidRPr="001E3C88">
        <w:rPr>
          <w:rFonts w:ascii="Arial" w:hAnsi="Arial" w:cs="Arial"/>
        </w:rPr>
        <w:t>It is crucial to understand violence, abuse and harassment of women in public as part of violence against women.</w:t>
      </w:r>
      <w:r w:rsidR="009F3F37">
        <w:rPr>
          <w:rFonts w:ascii="Arial" w:hAnsi="Arial" w:cs="Arial"/>
        </w:rPr>
        <w:t xml:space="preserve"> </w:t>
      </w:r>
      <w:r w:rsidRPr="001E3C88">
        <w:rPr>
          <w:rFonts w:ascii="Arial" w:hAnsi="Arial" w:cs="Arial"/>
        </w:rPr>
        <w:t xml:space="preserve">The </w:t>
      </w:r>
      <w:r w:rsidRPr="001E3C88">
        <w:rPr>
          <w:rFonts w:ascii="Arial" w:hAnsi="Arial" w:cs="Arial"/>
          <w:iCs/>
        </w:rPr>
        <w:t>Council of Europe Convention on Preventing and Combating Violence Against Women and Domestic Violence</w:t>
      </w:r>
      <w:r w:rsidRPr="001E3C88">
        <w:rPr>
          <w:rFonts w:ascii="Arial" w:hAnsi="Arial" w:cs="Arial"/>
        </w:rPr>
        <w:t xml:space="preserve"> (the Istanbul Convention)</w:t>
      </w:r>
      <w:r w:rsidR="00264BA4">
        <w:rPr>
          <w:rFonts w:ascii="Arial" w:hAnsi="Arial" w:cs="Arial"/>
        </w:rPr>
        <w:t>,</w:t>
      </w:r>
      <w:r w:rsidRPr="001E3C88">
        <w:rPr>
          <w:rFonts w:ascii="Arial" w:hAnsi="Arial" w:cs="Arial"/>
          <w:vertAlign w:val="superscript"/>
        </w:rPr>
        <w:footnoteReference w:id="63"/>
      </w:r>
      <w:r w:rsidRPr="001E3C88">
        <w:rPr>
          <w:rFonts w:ascii="Arial" w:hAnsi="Arial" w:cs="Arial"/>
        </w:rPr>
        <w:t xml:space="preserve"> in its preamble</w:t>
      </w:r>
      <w:r w:rsidR="00264BA4">
        <w:rPr>
          <w:rFonts w:ascii="Arial" w:hAnsi="Arial" w:cs="Arial"/>
        </w:rPr>
        <w:t>,</w:t>
      </w:r>
      <w:r w:rsidRPr="001E3C88">
        <w:rPr>
          <w:rFonts w:ascii="Arial" w:hAnsi="Arial" w:cs="Arial"/>
        </w:rPr>
        <w:t xml:space="preserve"> explains:</w:t>
      </w:r>
    </w:p>
    <w:p w14:paraId="7AA96CB3" w14:textId="77777777" w:rsidR="00264BA4" w:rsidRPr="001E3C88" w:rsidRDefault="00264BA4" w:rsidP="00264BA4">
      <w:pPr>
        <w:spacing w:after="0" w:line="360" w:lineRule="auto"/>
        <w:ind w:firstLine="720"/>
        <w:jc w:val="both"/>
        <w:rPr>
          <w:rFonts w:ascii="Arial" w:hAnsi="Arial" w:cs="Arial"/>
        </w:rPr>
      </w:pPr>
    </w:p>
    <w:p w14:paraId="515A3179" w14:textId="0C7C44D9" w:rsidR="001E3C88" w:rsidRPr="001E3C88" w:rsidRDefault="001E3C88" w:rsidP="00264BA4">
      <w:pPr>
        <w:spacing w:after="0" w:line="360" w:lineRule="auto"/>
        <w:ind w:left="709" w:right="521"/>
        <w:jc w:val="both"/>
        <w:rPr>
          <w:rFonts w:ascii="Arial" w:hAnsi="Arial" w:cs="Arial"/>
        </w:rPr>
      </w:pPr>
      <w:r w:rsidRPr="001E3C88">
        <w:rPr>
          <w:rFonts w:ascii="Arial" w:hAnsi="Arial" w:cs="Arial"/>
        </w:rPr>
        <w:t xml:space="preserve">recognising that </w:t>
      </w:r>
      <w:r w:rsidRPr="001E3C88">
        <w:rPr>
          <w:rFonts w:ascii="Arial" w:hAnsi="Arial" w:cs="Arial"/>
          <w:lang w:val="x-none"/>
        </w:rPr>
        <w:t>violence against</w:t>
      </w:r>
      <w:r w:rsidRPr="001E3C88">
        <w:rPr>
          <w:rFonts w:ascii="Arial" w:hAnsi="Arial" w:cs="Arial"/>
        </w:rPr>
        <w:t xml:space="preserve"> </w:t>
      </w:r>
      <w:r w:rsidRPr="001E3C88">
        <w:rPr>
          <w:rFonts w:ascii="Arial" w:hAnsi="Arial" w:cs="Arial"/>
          <w:lang w:val="x-none"/>
        </w:rPr>
        <w:t>women is a manifestation of historically unequal power relations between women and men, which have led to</w:t>
      </w:r>
      <w:r w:rsidRPr="001E3C88">
        <w:rPr>
          <w:rFonts w:ascii="Arial" w:hAnsi="Arial" w:cs="Arial"/>
        </w:rPr>
        <w:t xml:space="preserve"> </w:t>
      </w:r>
      <w:r w:rsidRPr="001E3C88">
        <w:rPr>
          <w:rFonts w:ascii="Arial" w:hAnsi="Arial" w:cs="Arial"/>
          <w:lang w:val="x-none"/>
        </w:rPr>
        <w:t>domination over, and discrimination against, women by men and to the prevention of the full advancement of</w:t>
      </w:r>
      <w:r w:rsidRPr="001E3C88">
        <w:rPr>
          <w:rFonts w:ascii="Arial" w:hAnsi="Arial" w:cs="Arial"/>
        </w:rPr>
        <w:t xml:space="preserve"> </w:t>
      </w:r>
      <w:r w:rsidRPr="001E3C88">
        <w:rPr>
          <w:rFonts w:ascii="Arial" w:hAnsi="Arial" w:cs="Arial"/>
          <w:lang w:val="x-none"/>
        </w:rPr>
        <w:t>women</w:t>
      </w:r>
      <w:r w:rsidRPr="001E3C88">
        <w:rPr>
          <w:rFonts w:ascii="Arial" w:hAnsi="Arial" w:cs="Arial"/>
        </w:rPr>
        <w:t>;</w:t>
      </w:r>
    </w:p>
    <w:p w14:paraId="3D10E45D" w14:textId="77777777" w:rsidR="00CE568F" w:rsidRDefault="001E3C88" w:rsidP="00CE568F">
      <w:pPr>
        <w:spacing w:after="0" w:line="360" w:lineRule="auto"/>
        <w:ind w:left="709" w:right="521"/>
        <w:jc w:val="both"/>
        <w:rPr>
          <w:rFonts w:ascii="Arial" w:hAnsi="Arial" w:cs="Arial"/>
          <w:lang w:val="x-none"/>
        </w:rPr>
      </w:pPr>
      <w:r w:rsidRPr="001E3C88">
        <w:rPr>
          <w:rFonts w:ascii="Arial" w:hAnsi="Arial" w:cs="Arial"/>
        </w:rPr>
        <w:t>Re</w:t>
      </w:r>
      <w:r w:rsidRPr="001E3C88">
        <w:rPr>
          <w:rFonts w:ascii="Arial" w:hAnsi="Arial" w:cs="Arial"/>
          <w:lang w:val="x-none"/>
        </w:rPr>
        <w:t>cognising</w:t>
      </w:r>
      <w:r w:rsidR="009F3F37">
        <w:rPr>
          <w:rFonts w:ascii="Arial" w:hAnsi="Arial" w:cs="Arial"/>
          <w:lang w:val="x-none"/>
        </w:rPr>
        <w:t xml:space="preserve"> </w:t>
      </w:r>
      <w:r w:rsidRPr="001E3C88">
        <w:rPr>
          <w:rFonts w:ascii="Arial" w:hAnsi="Arial" w:cs="Arial"/>
          <w:lang w:val="x-none"/>
        </w:rPr>
        <w:t>the</w:t>
      </w:r>
      <w:r w:rsidR="009F3F37">
        <w:rPr>
          <w:rFonts w:ascii="Arial" w:hAnsi="Arial" w:cs="Arial"/>
          <w:lang w:val="x-none"/>
        </w:rPr>
        <w:t xml:space="preserve"> </w:t>
      </w:r>
      <w:r w:rsidRPr="001E3C88">
        <w:rPr>
          <w:rFonts w:ascii="Arial" w:hAnsi="Arial" w:cs="Arial"/>
          <w:lang w:val="x-none"/>
        </w:rPr>
        <w:t>structural nature</w:t>
      </w:r>
      <w:r w:rsidR="009F3F37">
        <w:rPr>
          <w:rFonts w:ascii="Arial" w:hAnsi="Arial" w:cs="Arial"/>
          <w:lang w:val="x-none"/>
        </w:rPr>
        <w:t xml:space="preserve"> </w:t>
      </w:r>
      <w:r w:rsidRPr="001E3C88">
        <w:rPr>
          <w:rFonts w:ascii="Arial" w:hAnsi="Arial" w:cs="Arial"/>
          <w:lang w:val="x-none"/>
        </w:rPr>
        <w:t>of</w:t>
      </w:r>
      <w:r w:rsidR="009F3F37">
        <w:rPr>
          <w:rFonts w:ascii="Arial" w:hAnsi="Arial" w:cs="Arial"/>
          <w:lang w:val="x-none"/>
        </w:rPr>
        <w:t xml:space="preserve"> </w:t>
      </w:r>
      <w:r w:rsidRPr="001E3C88">
        <w:rPr>
          <w:rFonts w:ascii="Arial" w:hAnsi="Arial" w:cs="Arial"/>
          <w:lang w:val="x-none"/>
        </w:rPr>
        <w:t>violence against</w:t>
      </w:r>
      <w:r w:rsidR="009F3F37">
        <w:rPr>
          <w:rFonts w:ascii="Arial" w:hAnsi="Arial" w:cs="Arial"/>
          <w:lang w:val="x-none"/>
        </w:rPr>
        <w:t xml:space="preserve"> </w:t>
      </w:r>
      <w:r w:rsidRPr="001E3C88">
        <w:rPr>
          <w:rFonts w:ascii="Arial" w:hAnsi="Arial" w:cs="Arial"/>
          <w:lang w:val="x-none"/>
        </w:rPr>
        <w:t>women as</w:t>
      </w:r>
      <w:r w:rsidR="009F3F37">
        <w:rPr>
          <w:rFonts w:ascii="Arial" w:hAnsi="Arial" w:cs="Arial"/>
          <w:lang w:val="x-none"/>
        </w:rPr>
        <w:t xml:space="preserve"> </w:t>
      </w:r>
      <w:r w:rsidRPr="001E3C88">
        <w:rPr>
          <w:rFonts w:ascii="Arial" w:hAnsi="Arial" w:cs="Arial"/>
          <w:lang w:val="x-none"/>
        </w:rPr>
        <w:t>gender-based violence, and</w:t>
      </w:r>
      <w:r w:rsidR="009F3F37">
        <w:rPr>
          <w:rFonts w:ascii="Arial" w:hAnsi="Arial" w:cs="Arial"/>
          <w:lang w:val="x-none"/>
        </w:rPr>
        <w:t xml:space="preserve"> </w:t>
      </w:r>
      <w:r w:rsidRPr="001E3C88">
        <w:rPr>
          <w:rFonts w:ascii="Arial" w:hAnsi="Arial" w:cs="Arial"/>
          <w:lang w:val="x-none"/>
        </w:rPr>
        <w:t>that</w:t>
      </w:r>
      <w:r w:rsidR="009F3F37">
        <w:rPr>
          <w:rFonts w:ascii="Arial" w:hAnsi="Arial" w:cs="Arial"/>
          <w:lang w:val="x-none"/>
        </w:rPr>
        <w:t xml:space="preserve"> </w:t>
      </w:r>
      <w:r w:rsidRPr="001E3C88">
        <w:rPr>
          <w:rFonts w:ascii="Arial" w:hAnsi="Arial" w:cs="Arial"/>
          <w:lang w:val="x-none"/>
        </w:rPr>
        <w:t>violence</w:t>
      </w:r>
      <w:r w:rsidR="009F3F37">
        <w:rPr>
          <w:rFonts w:ascii="Arial" w:hAnsi="Arial" w:cs="Arial"/>
          <w:lang w:val="x-none"/>
        </w:rPr>
        <w:t xml:space="preserve"> </w:t>
      </w:r>
      <w:r w:rsidRPr="001E3C88">
        <w:rPr>
          <w:rFonts w:ascii="Arial" w:hAnsi="Arial" w:cs="Arial"/>
          <w:lang w:val="x-none"/>
        </w:rPr>
        <w:t>against</w:t>
      </w:r>
      <w:r w:rsidR="009F3F37">
        <w:rPr>
          <w:rFonts w:ascii="Arial" w:hAnsi="Arial" w:cs="Arial"/>
          <w:lang w:val="x-none"/>
        </w:rPr>
        <w:t xml:space="preserve"> </w:t>
      </w:r>
      <w:r w:rsidRPr="001E3C88">
        <w:rPr>
          <w:rFonts w:ascii="Arial" w:hAnsi="Arial" w:cs="Arial"/>
          <w:lang w:val="x-none"/>
        </w:rPr>
        <w:t>women</w:t>
      </w:r>
      <w:r w:rsidR="009F3F37">
        <w:rPr>
          <w:rFonts w:ascii="Arial" w:hAnsi="Arial" w:cs="Arial"/>
          <w:lang w:val="x-none"/>
        </w:rPr>
        <w:t xml:space="preserve"> </w:t>
      </w:r>
      <w:r w:rsidRPr="001E3C88">
        <w:rPr>
          <w:rFonts w:ascii="Arial" w:hAnsi="Arial" w:cs="Arial"/>
          <w:lang w:val="x-none"/>
        </w:rPr>
        <w:t>is</w:t>
      </w:r>
      <w:r w:rsidR="009F3F37">
        <w:rPr>
          <w:rFonts w:ascii="Arial" w:hAnsi="Arial" w:cs="Arial"/>
          <w:lang w:val="x-none"/>
        </w:rPr>
        <w:t xml:space="preserve"> </w:t>
      </w:r>
      <w:r w:rsidRPr="001E3C88">
        <w:rPr>
          <w:rFonts w:ascii="Arial" w:hAnsi="Arial" w:cs="Arial"/>
          <w:lang w:val="x-none"/>
        </w:rPr>
        <w:t>one</w:t>
      </w:r>
      <w:r w:rsidR="009F3F37">
        <w:rPr>
          <w:rFonts w:ascii="Arial" w:hAnsi="Arial" w:cs="Arial"/>
          <w:lang w:val="x-none"/>
        </w:rPr>
        <w:t xml:space="preserve"> </w:t>
      </w:r>
      <w:r w:rsidRPr="001E3C88">
        <w:rPr>
          <w:rFonts w:ascii="Arial" w:hAnsi="Arial" w:cs="Arial"/>
          <w:lang w:val="x-none"/>
        </w:rPr>
        <w:t>of</w:t>
      </w:r>
      <w:r w:rsidR="009F3F37">
        <w:rPr>
          <w:rFonts w:ascii="Arial" w:hAnsi="Arial" w:cs="Arial"/>
          <w:lang w:val="x-none"/>
        </w:rPr>
        <w:t xml:space="preserve"> </w:t>
      </w:r>
      <w:r w:rsidRPr="001E3C88">
        <w:rPr>
          <w:rFonts w:ascii="Arial" w:hAnsi="Arial" w:cs="Arial"/>
          <w:lang w:val="x-none"/>
        </w:rPr>
        <w:t>the</w:t>
      </w:r>
      <w:r w:rsidR="009F3F37">
        <w:rPr>
          <w:rFonts w:ascii="Arial" w:hAnsi="Arial" w:cs="Arial"/>
          <w:lang w:val="x-none"/>
        </w:rPr>
        <w:t xml:space="preserve"> </w:t>
      </w:r>
      <w:r w:rsidRPr="001E3C88">
        <w:rPr>
          <w:rFonts w:ascii="Arial" w:hAnsi="Arial" w:cs="Arial"/>
          <w:lang w:val="x-none"/>
        </w:rPr>
        <w:t>crucial</w:t>
      </w:r>
      <w:r w:rsidR="009F3F37">
        <w:rPr>
          <w:rFonts w:ascii="Arial" w:hAnsi="Arial" w:cs="Arial"/>
          <w:lang w:val="x-none"/>
        </w:rPr>
        <w:t xml:space="preserve"> </w:t>
      </w:r>
      <w:r w:rsidRPr="001E3C88">
        <w:rPr>
          <w:rFonts w:ascii="Arial" w:hAnsi="Arial" w:cs="Arial"/>
          <w:lang w:val="x-none"/>
        </w:rPr>
        <w:t>social</w:t>
      </w:r>
      <w:r w:rsidR="009F3F37">
        <w:rPr>
          <w:rFonts w:ascii="Arial" w:hAnsi="Arial" w:cs="Arial"/>
          <w:lang w:val="x-none"/>
        </w:rPr>
        <w:t xml:space="preserve"> </w:t>
      </w:r>
      <w:r w:rsidRPr="001E3C88">
        <w:rPr>
          <w:rFonts w:ascii="Arial" w:hAnsi="Arial" w:cs="Arial"/>
          <w:lang w:val="x-none"/>
        </w:rPr>
        <w:lastRenderedPageBreak/>
        <w:t>mechanisms</w:t>
      </w:r>
      <w:r w:rsidR="00CE568F">
        <w:rPr>
          <w:rFonts w:ascii="Arial" w:hAnsi="Arial" w:cs="Arial"/>
          <w:lang w:val="x-none"/>
        </w:rPr>
        <w:t xml:space="preserve"> by which women are forced into a subordinate position compared with men;</w:t>
      </w:r>
    </w:p>
    <w:p w14:paraId="1380EDB9" w14:textId="1834CFB4" w:rsidR="001E3C88" w:rsidRPr="001E3C88" w:rsidRDefault="001E3C88" w:rsidP="00CE568F">
      <w:pPr>
        <w:spacing w:after="0" w:line="360" w:lineRule="auto"/>
        <w:ind w:left="709" w:right="521"/>
        <w:jc w:val="both"/>
        <w:rPr>
          <w:rFonts w:ascii="Arial" w:hAnsi="Arial" w:cs="Arial"/>
          <w:lang w:val="x-none"/>
        </w:rPr>
      </w:pPr>
      <w:r w:rsidRPr="001E3C88">
        <w:rPr>
          <w:rFonts w:ascii="Arial" w:hAnsi="Arial" w:cs="Arial"/>
          <w:lang w:val="x-none"/>
        </w:rPr>
        <w:t>.</w:t>
      </w:r>
      <w:r w:rsidRPr="001E3C88">
        <w:rPr>
          <w:rFonts w:ascii="Arial" w:hAnsi="Arial" w:cs="Arial"/>
        </w:rPr>
        <w:t>..</w:t>
      </w:r>
      <w:r w:rsidRPr="001E3C88">
        <w:rPr>
          <w:rFonts w:ascii="Arial" w:hAnsi="Arial" w:cs="Arial"/>
          <w:lang w:val="x-none"/>
        </w:rPr>
        <w:t>Recognising that women and girls are exposed to a higher risk of gender-based violence than men; </w:t>
      </w:r>
    </w:p>
    <w:p w14:paraId="542C9CAF" w14:textId="77777777" w:rsidR="001E3C88" w:rsidRPr="001E3C88" w:rsidRDefault="001E3C88" w:rsidP="00264BA4">
      <w:pPr>
        <w:spacing w:after="0" w:line="360" w:lineRule="auto"/>
        <w:ind w:left="709" w:right="521"/>
        <w:jc w:val="both"/>
        <w:rPr>
          <w:rFonts w:ascii="Arial" w:hAnsi="Arial" w:cs="Arial"/>
        </w:rPr>
      </w:pPr>
      <w:r w:rsidRPr="001E3C88">
        <w:rPr>
          <w:rFonts w:ascii="Arial" w:hAnsi="Arial" w:cs="Arial"/>
        </w:rPr>
        <w:t>….</w:t>
      </w:r>
    </w:p>
    <w:p w14:paraId="4E83D48B" w14:textId="77777777" w:rsidR="001E3C88" w:rsidRPr="001E3C88" w:rsidRDefault="001E3C88" w:rsidP="00264BA4">
      <w:pPr>
        <w:spacing w:after="0" w:line="360" w:lineRule="auto"/>
        <w:ind w:left="709" w:right="521"/>
        <w:jc w:val="both"/>
        <w:rPr>
          <w:rFonts w:ascii="Arial" w:hAnsi="Arial" w:cs="Arial"/>
          <w:lang w:val="x-none"/>
        </w:rPr>
      </w:pPr>
      <w:r w:rsidRPr="001E3C88">
        <w:rPr>
          <w:rFonts w:ascii="Arial" w:hAnsi="Arial" w:cs="Arial"/>
          <w:lang w:val="x-none"/>
        </w:rPr>
        <w:t>Aspiring to create a Europe free from violence against women and domestic violence,</w:t>
      </w:r>
      <w:r w:rsidRPr="001E3C88">
        <w:rPr>
          <w:rFonts w:ascii="Arial" w:hAnsi="Arial" w:cs="Arial"/>
          <w:lang w:val="en-US"/>
        </w:rPr>
        <w:t>…</w:t>
      </w:r>
      <w:r w:rsidRPr="001E3C88">
        <w:rPr>
          <w:rFonts w:ascii="Arial" w:hAnsi="Arial" w:cs="Arial"/>
          <w:lang w:val="x-none"/>
        </w:rPr>
        <w:t> </w:t>
      </w:r>
    </w:p>
    <w:p w14:paraId="327DB2B6" w14:textId="77777777" w:rsidR="001E3C88" w:rsidRPr="001E3C88" w:rsidRDefault="001E3C88" w:rsidP="001E3C88">
      <w:pPr>
        <w:spacing w:after="0" w:line="360" w:lineRule="auto"/>
        <w:jc w:val="both"/>
        <w:rPr>
          <w:rFonts w:ascii="Arial" w:hAnsi="Arial" w:cs="Arial"/>
          <w:lang w:val="x-none"/>
        </w:rPr>
      </w:pPr>
    </w:p>
    <w:p w14:paraId="1B3DBE45" w14:textId="264F964A" w:rsidR="001E3C88" w:rsidRPr="001E3C88" w:rsidRDefault="001E3C88" w:rsidP="001E3C88">
      <w:pPr>
        <w:spacing w:after="0" w:line="360" w:lineRule="auto"/>
        <w:jc w:val="both"/>
        <w:rPr>
          <w:rFonts w:ascii="Arial" w:hAnsi="Arial" w:cs="Arial"/>
        </w:rPr>
      </w:pPr>
      <w:r w:rsidRPr="001E3C88">
        <w:rPr>
          <w:rFonts w:ascii="Arial" w:hAnsi="Arial" w:cs="Arial"/>
        </w:rPr>
        <w:t>This is not the place to undertake a full analysis of the Convention</w:t>
      </w:r>
      <w:r w:rsidR="00264BA4">
        <w:rPr>
          <w:rFonts w:ascii="Arial" w:hAnsi="Arial" w:cs="Arial"/>
        </w:rPr>
        <w:t>,</w:t>
      </w:r>
      <w:r w:rsidRPr="001E3C88">
        <w:rPr>
          <w:rFonts w:ascii="Arial" w:hAnsi="Arial" w:cs="Arial"/>
          <w:vertAlign w:val="superscript"/>
          <w:lang w:val="en-US"/>
        </w:rPr>
        <w:footnoteReference w:id="64"/>
      </w:r>
      <w:r w:rsidRPr="001E3C88">
        <w:rPr>
          <w:rFonts w:ascii="Arial" w:hAnsi="Arial" w:cs="Arial"/>
        </w:rPr>
        <w:t xml:space="preserve"> but this is a striking opening.</w:t>
      </w:r>
      <w:r w:rsidR="009F3F37">
        <w:rPr>
          <w:rFonts w:ascii="Arial" w:hAnsi="Arial" w:cs="Arial"/>
        </w:rPr>
        <w:t xml:space="preserve"> </w:t>
      </w:r>
      <w:r w:rsidRPr="001E3C88">
        <w:rPr>
          <w:rFonts w:ascii="Arial" w:hAnsi="Arial" w:cs="Arial"/>
        </w:rPr>
        <w:t>It requires us to see what might be dismissed as “banter”</w:t>
      </w:r>
      <w:r w:rsidR="008F67FC">
        <w:rPr>
          <w:rFonts w:ascii="Arial" w:hAnsi="Arial" w:cs="Arial"/>
        </w:rPr>
        <w:t>,</w:t>
      </w:r>
      <w:r w:rsidRPr="001E3C88">
        <w:rPr>
          <w:rFonts w:ascii="Arial" w:hAnsi="Arial" w:cs="Arial"/>
        </w:rPr>
        <w:t xml:space="preserve"> “inappropriate joke”</w:t>
      </w:r>
      <w:r w:rsidR="008F67FC">
        <w:rPr>
          <w:rFonts w:ascii="Arial" w:hAnsi="Arial" w:cs="Arial"/>
        </w:rPr>
        <w:t>,</w:t>
      </w:r>
      <w:r w:rsidRPr="001E3C88">
        <w:rPr>
          <w:rFonts w:ascii="Arial" w:hAnsi="Arial" w:cs="Arial"/>
        </w:rPr>
        <w:t xml:space="preserve"> or a “a little touch” in its broader context.</w:t>
      </w:r>
      <w:r w:rsidRPr="001E3C88">
        <w:rPr>
          <w:rFonts w:ascii="Arial" w:hAnsi="Arial" w:cs="Arial"/>
          <w:vertAlign w:val="superscript"/>
        </w:rPr>
        <w:footnoteReference w:id="65"/>
      </w:r>
      <w:r w:rsidR="009F3F37">
        <w:rPr>
          <w:rFonts w:ascii="Arial" w:hAnsi="Arial" w:cs="Arial"/>
        </w:rPr>
        <w:t xml:space="preserve"> </w:t>
      </w:r>
      <w:r w:rsidRPr="001E3C88">
        <w:rPr>
          <w:rFonts w:ascii="Arial" w:hAnsi="Arial" w:cs="Arial"/>
        </w:rPr>
        <w:t>Such behaviour, and importantly, the fear of such behaviour, let alon</w:t>
      </w:r>
      <w:r w:rsidR="008F67FC">
        <w:rPr>
          <w:rFonts w:ascii="Arial" w:hAnsi="Arial" w:cs="Arial"/>
        </w:rPr>
        <w:t>e</w:t>
      </w:r>
      <w:r w:rsidRPr="001E3C88">
        <w:rPr>
          <w:rFonts w:ascii="Arial" w:hAnsi="Arial" w:cs="Arial"/>
        </w:rPr>
        <w:t xml:space="preserve"> acts which are very clearly serious harms, play an important role in restricting women’s access to public spaces, and breaching their rights.</w:t>
      </w:r>
      <w:r w:rsidR="009F3F37">
        <w:rPr>
          <w:rFonts w:ascii="Arial" w:hAnsi="Arial" w:cs="Arial"/>
        </w:rPr>
        <w:t xml:space="preserve"> </w:t>
      </w:r>
      <w:r w:rsidRPr="001E3C88">
        <w:rPr>
          <w:rFonts w:ascii="Arial" w:hAnsi="Arial" w:cs="Arial"/>
        </w:rPr>
        <w:t>The breach of rights the state has a duty to prevent is a very serious one indeed.</w:t>
      </w:r>
    </w:p>
    <w:p w14:paraId="2AB921DA" w14:textId="77777777" w:rsidR="001E3C88" w:rsidRPr="001E3C88" w:rsidRDefault="001E3C88" w:rsidP="001E3C88">
      <w:pPr>
        <w:spacing w:after="0" w:line="360" w:lineRule="auto"/>
        <w:jc w:val="both"/>
        <w:rPr>
          <w:rFonts w:ascii="Arial" w:hAnsi="Arial" w:cs="Arial"/>
        </w:rPr>
      </w:pPr>
    </w:p>
    <w:p w14:paraId="1B54784C" w14:textId="71C56CD6" w:rsidR="001E3C88" w:rsidRPr="001E3C88" w:rsidRDefault="001E3C88" w:rsidP="008F67FC">
      <w:pPr>
        <w:spacing w:after="0" w:line="360" w:lineRule="auto"/>
        <w:ind w:firstLine="720"/>
        <w:jc w:val="both"/>
        <w:rPr>
          <w:rFonts w:ascii="Arial" w:hAnsi="Arial" w:cs="Arial"/>
        </w:rPr>
      </w:pPr>
      <w:r w:rsidRPr="001E3C88">
        <w:rPr>
          <w:rFonts w:ascii="Arial" w:hAnsi="Arial" w:cs="Arial"/>
        </w:rPr>
        <w:t>But, what about the rights of men, which a curfew will necessarily breach?</w:t>
      </w:r>
      <w:r w:rsidR="009F3F37">
        <w:rPr>
          <w:rFonts w:ascii="Arial" w:hAnsi="Arial" w:cs="Arial"/>
        </w:rPr>
        <w:t xml:space="preserve"> </w:t>
      </w:r>
      <w:r w:rsidRPr="001E3C88">
        <w:rPr>
          <w:rFonts w:ascii="Arial" w:hAnsi="Arial" w:cs="Arial"/>
        </w:rPr>
        <w:t xml:space="preserve">These will include rights </w:t>
      </w:r>
      <w:r w:rsidRPr="001E3C88">
        <w:rPr>
          <w:rFonts w:ascii="Arial" w:hAnsi="Arial" w:cs="Arial"/>
          <w:lang w:val="en-US"/>
        </w:rPr>
        <w:t>to</w:t>
      </w:r>
      <w:r w:rsidRPr="001E3C88">
        <w:rPr>
          <w:rFonts w:ascii="Arial" w:hAnsi="Arial" w:cs="Arial"/>
        </w:rPr>
        <w:t xml:space="preserve"> liberty, under Art</w:t>
      </w:r>
      <w:r w:rsidR="008F67FC">
        <w:rPr>
          <w:rFonts w:ascii="Arial" w:hAnsi="Arial" w:cs="Arial"/>
        </w:rPr>
        <w:t>icle</w:t>
      </w:r>
      <w:r w:rsidRPr="001E3C88">
        <w:rPr>
          <w:rFonts w:ascii="Arial" w:hAnsi="Arial" w:cs="Arial"/>
        </w:rPr>
        <w:t xml:space="preserve"> 5 and rights to respect for private and family life under </w:t>
      </w:r>
      <w:r w:rsidR="008F67FC">
        <w:rPr>
          <w:rFonts w:ascii="Arial" w:hAnsi="Arial" w:cs="Arial"/>
        </w:rPr>
        <w:t>A</w:t>
      </w:r>
      <w:r w:rsidRPr="001E3C88">
        <w:rPr>
          <w:rFonts w:ascii="Arial" w:hAnsi="Arial" w:cs="Arial"/>
        </w:rPr>
        <w:t>rticle 8. Further a male curfew would be seen as discriminatory on the grounds of sex, against men.</w:t>
      </w:r>
      <w:r w:rsidR="009F3F37">
        <w:rPr>
          <w:rFonts w:ascii="Arial" w:hAnsi="Arial" w:cs="Arial"/>
        </w:rPr>
        <w:t xml:space="preserve"> </w:t>
      </w:r>
      <w:r w:rsidRPr="001E3C88">
        <w:rPr>
          <w:rFonts w:ascii="Arial" w:hAnsi="Arial" w:cs="Arial"/>
        </w:rPr>
        <w:t>As already indicated many readers will believe that the rights of men outweigh the right of protection for women.</w:t>
      </w:r>
      <w:r w:rsidR="009F3F37">
        <w:rPr>
          <w:rFonts w:ascii="Arial" w:hAnsi="Arial" w:cs="Arial"/>
        </w:rPr>
        <w:t xml:space="preserve"> </w:t>
      </w:r>
      <w:r w:rsidRPr="001E3C88">
        <w:rPr>
          <w:rFonts w:ascii="Arial" w:hAnsi="Arial" w:cs="Arial"/>
        </w:rPr>
        <w:t>I would make the following points:</w:t>
      </w:r>
    </w:p>
    <w:p w14:paraId="1297B5C2" w14:textId="77777777" w:rsidR="001E3C88" w:rsidRPr="001E3C88" w:rsidRDefault="001E3C88" w:rsidP="001E3C88">
      <w:pPr>
        <w:spacing w:after="0" w:line="360" w:lineRule="auto"/>
        <w:jc w:val="both"/>
        <w:rPr>
          <w:rFonts w:ascii="Arial" w:hAnsi="Arial" w:cs="Arial"/>
          <w:lang w:val="x-none"/>
        </w:rPr>
      </w:pPr>
    </w:p>
    <w:p w14:paraId="61248527" w14:textId="0062E084" w:rsidR="001E3C88" w:rsidRDefault="001E3C88" w:rsidP="008F67FC">
      <w:pPr>
        <w:spacing w:after="0" w:line="360" w:lineRule="auto"/>
        <w:ind w:firstLine="720"/>
        <w:jc w:val="both"/>
        <w:rPr>
          <w:rFonts w:ascii="Arial" w:hAnsi="Arial" w:cs="Arial"/>
        </w:rPr>
      </w:pPr>
      <w:r w:rsidRPr="001E3C88">
        <w:rPr>
          <w:rFonts w:ascii="Arial" w:hAnsi="Arial" w:cs="Arial"/>
        </w:rPr>
        <w:t>First, and most importantly, we are dealing with the allocation of a public good:</w:t>
      </w:r>
      <w:r w:rsidR="009F3F37">
        <w:rPr>
          <w:rFonts w:ascii="Arial" w:hAnsi="Arial" w:cs="Arial"/>
        </w:rPr>
        <w:t xml:space="preserve"> </w:t>
      </w:r>
      <w:r w:rsidRPr="001E3C88">
        <w:rPr>
          <w:rFonts w:ascii="Arial" w:hAnsi="Arial" w:cs="Arial"/>
        </w:rPr>
        <w:t>access to public spaces free from actual and feared assault, abuse and harassment.</w:t>
      </w:r>
      <w:r w:rsidRPr="001E3C88">
        <w:rPr>
          <w:rFonts w:ascii="Arial" w:hAnsi="Arial" w:cs="Arial"/>
          <w:vertAlign w:val="superscript"/>
        </w:rPr>
        <w:footnoteReference w:id="66"/>
      </w:r>
      <w:r w:rsidR="009F3F37">
        <w:rPr>
          <w:rFonts w:ascii="Arial" w:hAnsi="Arial" w:cs="Arial"/>
        </w:rPr>
        <w:t xml:space="preserve"> </w:t>
      </w:r>
      <w:r w:rsidRPr="001E3C88">
        <w:rPr>
          <w:rFonts w:ascii="Arial" w:hAnsi="Arial" w:cs="Arial"/>
        </w:rPr>
        <w:t>Currently that access is not fairly shared.</w:t>
      </w:r>
      <w:r w:rsidR="009F3F37">
        <w:rPr>
          <w:rFonts w:ascii="Arial" w:hAnsi="Arial" w:cs="Arial"/>
        </w:rPr>
        <w:t xml:space="preserve"> </w:t>
      </w:r>
      <w:r w:rsidRPr="001E3C88">
        <w:rPr>
          <w:rFonts w:ascii="Arial" w:hAnsi="Arial" w:cs="Arial"/>
        </w:rPr>
        <w:t xml:space="preserve">Enjoyment of </w:t>
      </w:r>
      <w:r w:rsidR="008F67FC">
        <w:rPr>
          <w:rFonts w:ascii="Arial" w:hAnsi="Arial" w:cs="Arial"/>
        </w:rPr>
        <w:t>p</w:t>
      </w:r>
      <w:r w:rsidRPr="001E3C88">
        <w:rPr>
          <w:rFonts w:ascii="Arial" w:hAnsi="Arial" w:cs="Arial"/>
        </w:rPr>
        <w:t>ublic spaces free from fear is largely the preserve of men.</w:t>
      </w:r>
      <w:r w:rsidRPr="001E3C88">
        <w:rPr>
          <w:rFonts w:ascii="Arial" w:hAnsi="Arial" w:cs="Arial"/>
          <w:vertAlign w:val="superscript"/>
        </w:rPr>
        <w:footnoteReference w:id="67"/>
      </w:r>
      <w:r w:rsidR="009F3F37">
        <w:rPr>
          <w:rFonts w:ascii="Arial" w:hAnsi="Arial" w:cs="Arial"/>
        </w:rPr>
        <w:t xml:space="preserve"> </w:t>
      </w:r>
      <w:r w:rsidRPr="001E3C88">
        <w:rPr>
          <w:rFonts w:ascii="Arial" w:hAnsi="Arial" w:cs="Arial"/>
        </w:rPr>
        <w:t>We need to find a way of sharing this public good between men and women equally.</w:t>
      </w:r>
      <w:r w:rsidR="009F3F37">
        <w:rPr>
          <w:rFonts w:ascii="Arial" w:hAnsi="Arial" w:cs="Arial"/>
        </w:rPr>
        <w:t xml:space="preserve"> </w:t>
      </w:r>
      <w:r w:rsidRPr="001E3C88">
        <w:rPr>
          <w:rFonts w:ascii="Arial" w:hAnsi="Arial" w:cs="Arial"/>
        </w:rPr>
        <w:t>Currently</w:t>
      </w:r>
      <w:r w:rsidR="008F67FC">
        <w:rPr>
          <w:rFonts w:ascii="Arial" w:hAnsi="Arial" w:cs="Arial"/>
        </w:rPr>
        <w:t>,</w:t>
      </w:r>
      <w:r w:rsidRPr="001E3C88">
        <w:rPr>
          <w:rFonts w:ascii="Arial" w:hAnsi="Arial" w:cs="Arial"/>
        </w:rPr>
        <w:t xml:space="preserve"> despite many good schemes and efforts</w:t>
      </w:r>
      <w:r w:rsidR="008F67FC">
        <w:rPr>
          <w:rFonts w:ascii="Arial" w:hAnsi="Arial" w:cs="Arial"/>
        </w:rPr>
        <w:t>,</w:t>
      </w:r>
      <w:r w:rsidRPr="001E3C88">
        <w:rPr>
          <w:rFonts w:ascii="Arial" w:hAnsi="Arial" w:cs="Arial"/>
        </w:rPr>
        <w:t xml:space="preserve"> we have not found a way of doing that.</w:t>
      </w:r>
      <w:r w:rsidR="009F3F37">
        <w:rPr>
          <w:rFonts w:ascii="Arial" w:hAnsi="Arial" w:cs="Arial"/>
        </w:rPr>
        <w:t xml:space="preserve"> </w:t>
      </w:r>
      <w:r w:rsidRPr="001E3C88">
        <w:rPr>
          <w:rFonts w:ascii="Arial" w:hAnsi="Arial" w:cs="Arial"/>
        </w:rPr>
        <w:t>A curfew, although it might be seen as restricting the movement of men, might also be seen as an allocation of access to public spaces.</w:t>
      </w:r>
      <w:r w:rsidR="009F3F37">
        <w:rPr>
          <w:rFonts w:ascii="Arial" w:hAnsi="Arial" w:cs="Arial"/>
        </w:rPr>
        <w:t xml:space="preserve"> </w:t>
      </w:r>
      <w:r w:rsidRPr="001E3C88">
        <w:rPr>
          <w:rFonts w:ascii="Arial" w:hAnsi="Arial" w:cs="Arial"/>
        </w:rPr>
        <w:t>It is seeking to find a way of allocating that resource in a non-discriminatory way.</w:t>
      </w:r>
      <w:r w:rsidR="009F3F37">
        <w:rPr>
          <w:rFonts w:ascii="Arial" w:hAnsi="Arial" w:cs="Arial"/>
        </w:rPr>
        <w:t xml:space="preserve"> </w:t>
      </w:r>
      <w:r w:rsidRPr="001E3C88">
        <w:rPr>
          <w:rFonts w:ascii="Arial" w:hAnsi="Arial" w:cs="Arial"/>
        </w:rPr>
        <w:t>Doing nothing is discriminatory against women, perpetuating the discrimination in liberty that has existed for all time.</w:t>
      </w:r>
      <w:r w:rsidR="009F3F37">
        <w:rPr>
          <w:rFonts w:ascii="Arial" w:hAnsi="Arial" w:cs="Arial"/>
        </w:rPr>
        <w:t xml:space="preserve"> </w:t>
      </w:r>
      <w:r w:rsidRPr="001E3C88">
        <w:rPr>
          <w:rFonts w:ascii="Arial" w:hAnsi="Arial" w:cs="Arial"/>
        </w:rPr>
        <w:t xml:space="preserve">Even if a curfew is discriminatory against men, there is nothing unfair about that given the history and certainly is less unfair and less </w:t>
      </w:r>
      <w:r w:rsidRPr="001E3C88">
        <w:rPr>
          <w:rFonts w:ascii="Arial" w:hAnsi="Arial" w:cs="Arial"/>
        </w:rPr>
        <w:lastRenderedPageBreak/>
        <w:t>discriminatory than the current position.</w:t>
      </w:r>
      <w:r w:rsidR="009F3F37">
        <w:rPr>
          <w:rFonts w:ascii="Arial" w:hAnsi="Arial" w:cs="Arial"/>
        </w:rPr>
        <w:t xml:space="preserve"> </w:t>
      </w:r>
      <w:r w:rsidRPr="001E3C88">
        <w:rPr>
          <w:rFonts w:ascii="Arial" w:hAnsi="Arial" w:cs="Arial"/>
        </w:rPr>
        <w:t>Understood that way it is misguided to see this as an issue of balancing women’s rights and men’s rights.</w:t>
      </w:r>
      <w:r w:rsidR="009F3F37">
        <w:rPr>
          <w:rFonts w:ascii="Arial" w:hAnsi="Arial" w:cs="Arial"/>
        </w:rPr>
        <w:t xml:space="preserve">  </w:t>
      </w:r>
      <w:r w:rsidRPr="001E3C88">
        <w:rPr>
          <w:rFonts w:ascii="Arial" w:hAnsi="Arial" w:cs="Arial"/>
        </w:rPr>
        <w:t>MSP Jenny Jones</w:t>
      </w:r>
      <w:r w:rsidRPr="001E3C88">
        <w:rPr>
          <w:rFonts w:ascii="Arial" w:hAnsi="Arial" w:cs="Arial"/>
          <w:vertAlign w:val="superscript"/>
        </w:rPr>
        <w:footnoteReference w:id="68"/>
      </w:r>
      <w:r w:rsidRPr="001E3C88">
        <w:rPr>
          <w:rFonts w:ascii="Arial" w:hAnsi="Arial" w:cs="Arial"/>
        </w:rPr>
        <w:t xml:space="preserve"> has written:</w:t>
      </w:r>
    </w:p>
    <w:p w14:paraId="1495000B" w14:textId="77777777" w:rsidR="00DF4597" w:rsidRPr="001E3C88" w:rsidRDefault="00DF4597" w:rsidP="008F67FC">
      <w:pPr>
        <w:spacing w:after="0" w:line="360" w:lineRule="auto"/>
        <w:ind w:firstLine="720"/>
        <w:jc w:val="both"/>
        <w:rPr>
          <w:rFonts w:ascii="Arial" w:hAnsi="Arial" w:cs="Arial"/>
        </w:rPr>
      </w:pPr>
    </w:p>
    <w:p w14:paraId="5115136A" w14:textId="77777777" w:rsidR="001E3C88" w:rsidRPr="001E3C88" w:rsidRDefault="001E3C88" w:rsidP="00DF4597">
      <w:pPr>
        <w:spacing w:after="0" w:line="360" w:lineRule="auto"/>
        <w:ind w:left="709" w:right="521"/>
        <w:jc w:val="both"/>
        <w:rPr>
          <w:rFonts w:ascii="Arial" w:hAnsi="Arial" w:cs="Arial"/>
        </w:rPr>
      </w:pPr>
      <w:r w:rsidRPr="001E3C88">
        <w:rPr>
          <w:rFonts w:ascii="Arial" w:hAnsi="Arial" w:cs="Arial"/>
        </w:rPr>
        <w:t>Perhaps, instead of a curfew, I could have offered the more moderate proposal that men are only allowed to walk along well-lit busy roads in the evening, even if this adds another 10 minutes to their journey? Or if this is not acceptable, that they always pay for door-to-door cabs even if they are on a tight budget – although this can occasionally carry its own risks? Perhaps we should discuss the clothes men wear, or whether they drink too much when out with friends? Any of this sound familiar?</w:t>
      </w:r>
    </w:p>
    <w:p w14:paraId="3096B914" w14:textId="77777777" w:rsidR="001E3C88" w:rsidRPr="001E3C88" w:rsidRDefault="001E3C88" w:rsidP="001E3C88">
      <w:pPr>
        <w:spacing w:after="0" w:line="360" w:lineRule="auto"/>
        <w:jc w:val="both"/>
        <w:rPr>
          <w:rFonts w:ascii="Arial" w:hAnsi="Arial" w:cs="Arial"/>
        </w:rPr>
      </w:pPr>
    </w:p>
    <w:p w14:paraId="2146F980" w14:textId="5A7F0AB5" w:rsidR="001E3C88" w:rsidRPr="001E3C88" w:rsidRDefault="001E3C88" w:rsidP="00DF4597">
      <w:pPr>
        <w:spacing w:after="0" w:line="360" w:lineRule="auto"/>
        <w:ind w:firstLine="709"/>
        <w:jc w:val="both"/>
        <w:rPr>
          <w:rFonts w:ascii="Arial" w:hAnsi="Arial" w:cs="Arial"/>
          <w:lang w:val="en"/>
        </w:rPr>
      </w:pPr>
      <w:r w:rsidRPr="001E3C88">
        <w:rPr>
          <w:rFonts w:ascii="Arial" w:hAnsi="Arial" w:cs="Arial"/>
        </w:rPr>
        <w:t>Second, it should be recalled the</w:t>
      </w:r>
      <w:r w:rsidRPr="001E3C88">
        <w:rPr>
          <w:rFonts w:ascii="Arial" w:hAnsi="Arial" w:cs="Arial"/>
          <w:lang w:val="en"/>
        </w:rPr>
        <w:t xml:space="preserve"> right under </w:t>
      </w:r>
      <w:r w:rsidR="00DF4597">
        <w:rPr>
          <w:rFonts w:ascii="Arial" w:hAnsi="Arial" w:cs="Arial"/>
          <w:lang w:val="en"/>
        </w:rPr>
        <w:t>A</w:t>
      </w:r>
      <w:r w:rsidRPr="001E3C88">
        <w:rPr>
          <w:rFonts w:ascii="Arial" w:hAnsi="Arial" w:cs="Arial"/>
          <w:lang w:val="en"/>
        </w:rPr>
        <w:t>rticle 3 is an absolute one. Unlike many of the other rights mentioned in the European Convention</w:t>
      </w:r>
      <w:r w:rsidR="00DF4597">
        <w:rPr>
          <w:rFonts w:ascii="Arial" w:hAnsi="Arial" w:cs="Arial"/>
          <w:lang w:val="en"/>
        </w:rPr>
        <w:t>,</w:t>
      </w:r>
      <w:r w:rsidRPr="001E3C88">
        <w:rPr>
          <w:rFonts w:ascii="Arial" w:hAnsi="Arial" w:cs="Arial"/>
          <w:lang w:val="en"/>
        </w:rPr>
        <w:t xml:space="preserve"> there are no circumstances in which it is permissible for the state to infringe this right. This makes it clear that the rights of another party cannot justify an infringement of someone’s </w:t>
      </w:r>
      <w:r w:rsidR="00DF4597">
        <w:rPr>
          <w:rFonts w:ascii="Arial" w:hAnsi="Arial" w:cs="Arial"/>
          <w:lang w:val="en"/>
        </w:rPr>
        <w:t>A</w:t>
      </w:r>
      <w:r w:rsidRPr="001E3C88">
        <w:rPr>
          <w:rFonts w:ascii="Arial" w:hAnsi="Arial" w:cs="Arial"/>
          <w:lang w:val="en"/>
        </w:rPr>
        <w:t xml:space="preserve">rticle 3 rights. In other words, the state cannot justify its failure to protect a victim’s </w:t>
      </w:r>
      <w:r w:rsidR="00DF4597">
        <w:rPr>
          <w:rFonts w:ascii="Arial" w:hAnsi="Arial" w:cs="Arial"/>
          <w:lang w:val="en"/>
        </w:rPr>
        <w:t>A</w:t>
      </w:r>
      <w:r w:rsidRPr="001E3C88">
        <w:rPr>
          <w:rFonts w:ascii="Arial" w:hAnsi="Arial" w:cs="Arial"/>
          <w:lang w:val="en"/>
        </w:rPr>
        <w:t>rticle 3 rights by referring to men’s right to respect for private life.</w:t>
      </w:r>
      <w:r w:rsidR="009F3F37">
        <w:rPr>
          <w:rFonts w:ascii="Arial" w:hAnsi="Arial" w:cs="Arial"/>
          <w:lang w:val="en"/>
        </w:rPr>
        <w:t xml:space="preserve"> </w:t>
      </w:r>
      <w:r w:rsidRPr="001E3C88">
        <w:rPr>
          <w:rFonts w:ascii="Arial" w:hAnsi="Arial" w:cs="Arial"/>
          <w:lang w:val="en"/>
        </w:rPr>
        <w:t>Men’s rights may be used to determine whether a protection is reasonable or not, but they do not impact on the actual rights of women to protection.</w:t>
      </w:r>
    </w:p>
    <w:p w14:paraId="3ADE770C" w14:textId="77777777" w:rsidR="001E3C88" w:rsidRPr="001E3C88" w:rsidRDefault="001E3C88" w:rsidP="001E3C88">
      <w:pPr>
        <w:spacing w:after="0" w:line="360" w:lineRule="auto"/>
        <w:jc w:val="both"/>
        <w:rPr>
          <w:rFonts w:ascii="Arial" w:hAnsi="Arial" w:cs="Arial"/>
        </w:rPr>
      </w:pPr>
    </w:p>
    <w:p w14:paraId="0389CF25" w14:textId="3840EB0D" w:rsidR="001E3C88" w:rsidRPr="001E3C88" w:rsidRDefault="001E3C88" w:rsidP="00DF4597">
      <w:pPr>
        <w:spacing w:after="0" w:line="360" w:lineRule="auto"/>
        <w:ind w:firstLine="709"/>
        <w:jc w:val="both"/>
        <w:rPr>
          <w:rFonts w:ascii="Arial" w:hAnsi="Arial" w:cs="Arial"/>
        </w:rPr>
      </w:pPr>
      <w:r w:rsidRPr="001E3C88">
        <w:rPr>
          <w:rFonts w:ascii="Arial" w:hAnsi="Arial" w:cs="Arial"/>
        </w:rPr>
        <w:t>Third, street assault, abuse, and harassment is caused by and reinforced by patriarchy.</w:t>
      </w:r>
      <w:r w:rsidRPr="001E3C88">
        <w:rPr>
          <w:rFonts w:ascii="Arial" w:hAnsi="Arial" w:cs="Arial"/>
          <w:vertAlign w:val="superscript"/>
        </w:rPr>
        <w:footnoteReference w:id="69"/>
      </w:r>
      <w:r w:rsidRPr="001E3C88">
        <w:rPr>
          <w:rFonts w:ascii="Arial" w:hAnsi="Arial" w:cs="Arial"/>
        </w:rPr>
        <w:t xml:space="preserve"> As the state upholds and maintains patriarchy, it has responsibility for it and so is under a duty to mitigate its effects and declare its wrongfulness.</w:t>
      </w:r>
      <w:r w:rsidRPr="001E3C88">
        <w:rPr>
          <w:rFonts w:ascii="Arial" w:hAnsi="Arial" w:cs="Arial"/>
          <w:vertAlign w:val="superscript"/>
        </w:rPr>
        <w:footnoteReference w:id="70"/>
      </w:r>
      <w:r w:rsidR="009F3F37">
        <w:rPr>
          <w:rFonts w:ascii="Arial" w:hAnsi="Arial" w:cs="Arial"/>
        </w:rPr>
        <w:t xml:space="preserve"> </w:t>
      </w:r>
      <w:r w:rsidRPr="001E3C88">
        <w:rPr>
          <w:rFonts w:ascii="Arial" w:hAnsi="Arial" w:cs="Arial"/>
        </w:rPr>
        <w:t>Patriarchy is a major source of inequality and impacts women’s position within society to a significant state.</w:t>
      </w:r>
      <w:r w:rsidR="009F3F37">
        <w:rPr>
          <w:rFonts w:ascii="Arial" w:hAnsi="Arial" w:cs="Arial"/>
        </w:rPr>
        <w:t xml:space="preserve"> </w:t>
      </w:r>
      <w:r w:rsidRPr="001E3C88">
        <w:rPr>
          <w:rFonts w:ascii="Arial" w:hAnsi="Arial" w:cs="Arial"/>
        </w:rPr>
        <w:t>As already mentioned</w:t>
      </w:r>
      <w:r w:rsidR="00DF4597">
        <w:rPr>
          <w:rFonts w:ascii="Arial" w:hAnsi="Arial" w:cs="Arial"/>
        </w:rPr>
        <w:t>,</w:t>
      </w:r>
      <w:r w:rsidRPr="001E3C88">
        <w:rPr>
          <w:rFonts w:ascii="Arial" w:hAnsi="Arial" w:cs="Arial"/>
        </w:rPr>
        <w:t xml:space="preserve"> Article 14 and the discrimination issue enhance the obligation on the state to intervene.</w:t>
      </w:r>
      <w:r w:rsidRPr="001E3C88">
        <w:rPr>
          <w:rFonts w:ascii="Arial" w:hAnsi="Arial" w:cs="Arial"/>
          <w:vertAlign w:val="superscript"/>
        </w:rPr>
        <w:footnoteReference w:id="71"/>
      </w:r>
      <w:r w:rsidR="009F3F37">
        <w:rPr>
          <w:rFonts w:ascii="Arial" w:hAnsi="Arial" w:cs="Arial"/>
        </w:rPr>
        <w:t xml:space="preserve"> </w:t>
      </w:r>
      <w:r w:rsidRPr="001E3C88">
        <w:rPr>
          <w:rFonts w:ascii="Arial" w:hAnsi="Arial" w:cs="Arial"/>
        </w:rPr>
        <w:t>As we have seen in the context of domestic abuse, the rights of men have not been accepted as reasons justifying a limit on what can be expected of the state to protect women.</w:t>
      </w:r>
      <w:r w:rsidR="009F3F37">
        <w:rPr>
          <w:rFonts w:ascii="Arial" w:hAnsi="Arial" w:cs="Arial"/>
        </w:rPr>
        <w:t xml:space="preserve"> </w:t>
      </w:r>
      <w:r w:rsidRPr="001E3C88">
        <w:rPr>
          <w:rFonts w:ascii="Arial" w:hAnsi="Arial" w:cs="Arial"/>
        </w:rPr>
        <w:t xml:space="preserve">This point is important because it is a powerful response to the “not all men” argument that might be used in this context. </w:t>
      </w:r>
    </w:p>
    <w:p w14:paraId="58DC725E" w14:textId="77777777" w:rsidR="001E3C88" w:rsidRPr="001E3C88" w:rsidRDefault="001E3C88" w:rsidP="001E3C88">
      <w:pPr>
        <w:spacing w:after="0" w:line="360" w:lineRule="auto"/>
        <w:jc w:val="both"/>
        <w:rPr>
          <w:rFonts w:ascii="Arial" w:hAnsi="Arial" w:cs="Arial"/>
        </w:rPr>
      </w:pPr>
    </w:p>
    <w:p w14:paraId="1C1C5545" w14:textId="19426FEC" w:rsidR="001E3C88" w:rsidRPr="001E3C88" w:rsidRDefault="001E3C88" w:rsidP="00955C8D">
      <w:pPr>
        <w:spacing w:after="0" w:line="360" w:lineRule="auto"/>
        <w:ind w:firstLine="709"/>
        <w:jc w:val="both"/>
        <w:rPr>
          <w:rFonts w:ascii="Arial" w:hAnsi="Arial" w:cs="Arial"/>
        </w:rPr>
      </w:pPr>
      <w:r w:rsidRPr="001E3C88">
        <w:rPr>
          <w:rFonts w:ascii="Arial" w:hAnsi="Arial" w:cs="Arial"/>
        </w:rPr>
        <w:t xml:space="preserve">The “not all men” argument will suggest that while restricting the rights of men who have committed offences against women would be an appropriate way of protecting women’s </w:t>
      </w:r>
      <w:r w:rsidRPr="001E3C88">
        <w:rPr>
          <w:rFonts w:ascii="Arial" w:hAnsi="Arial" w:cs="Arial"/>
        </w:rPr>
        <w:lastRenderedPageBreak/>
        <w:t>rights to public spaces, the proposed curfew is over-broad because it penalises men who do not, and never would, harm women in the ways discussed in this paper.</w:t>
      </w:r>
      <w:r w:rsidR="009F3F37">
        <w:rPr>
          <w:rFonts w:ascii="Arial" w:hAnsi="Arial" w:cs="Arial"/>
        </w:rPr>
        <w:t xml:space="preserve"> </w:t>
      </w:r>
      <w:r w:rsidRPr="001E3C88">
        <w:rPr>
          <w:rFonts w:ascii="Arial" w:hAnsi="Arial" w:cs="Arial"/>
        </w:rPr>
        <w:t>This argument is weak for two reasons.</w:t>
      </w:r>
      <w:r w:rsidR="009F3F37">
        <w:rPr>
          <w:rFonts w:ascii="Arial" w:hAnsi="Arial" w:cs="Arial"/>
        </w:rPr>
        <w:t xml:space="preserve"> </w:t>
      </w:r>
      <w:r w:rsidRPr="001E3C88">
        <w:rPr>
          <w:rFonts w:ascii="Arial" w:hAnsi="Arial" w:cs="Arial"/>
        </w:rPr>
        <w:t>First, all men have benefited, significantly, from patriarchy.</w:t>
      </w:r>
      <w:r w:rsidR="009F3F37">
        <w:rPr>
          <w:rFonts w:ascii="Arial" w:hAnsi="Arial" w:cs="Arial"/>
        </w:rPr>
        <w:t xml:space="preserve"> </w:t>
      </w:r>
      <w:r w:rsidRPr="001E3C88">
        <w:rPr>
          <w:rFonts w:ascii="Arial" w:hAnsi="Arial" w:cs="Arial"/>
        </w:rPr>
        <w:t>If they are required to suffer a bit in an attempt to respond to its impact, it is hardly unfair on them.</w:t>
      </w:r>
      <w:r w:rsidR="009F3F37">
        <w:rPr>
          <w:rFonts w:ascii="Arial" w:hAnsi="Arial" w:cs="Arial"/>
        </w:rPr>
        <w:t xml:space="preserve"> </w:t>
      </w:r>
      <w:r w:rsidRPr="001E3C88">
        <w:rPr>
          <w:rFonts w:ascii="Arial" w:hAnsi="Arial" w:cs="Arial"/>
        </w:rPr>
        <w:t>It simply readjusts the allocation of power within society.</w:t>
      </w:r>
      <w:r w:rsidRPr="001E3C88">
        <w:rPr>
          <w:rFonts w:ascii="Arial" w:hAnsi="Arial" w:cs="Arial"/>
          <w:vertAlign w:val="superscript"/>
        </w:rPr>
        <w:footnoteReference w:id="72"/>
      </w:r>
      <w:r w:rsidR="009F3F37">
        <w:rPr>
          <w:rFonts w:ascii="Arial" w:hAnsi="Arial" w:cs="Arial"/>
        </w:rPr>
        <w:t xml:space="preserve"> </w:t>
      </w:r>
      <w:r w:rsidRPr="001E3C88">
        <w:rPr>
          <w:rFonts w:ascii="Arial" w:hAnsi="Arial" w:cs="Arial"/>
        </w:rPr>
        <w:t>This is just as true for a “non-abusing man” as an abusing one.</w:t>
      </w:r>
      <w:r w:rsidR="009F3F37">
        <w:rPr>
          <w:rFonts w:ascii="Arial" w:hAnsi="Arial" w:cs="Arial"/>
        </w:rPr>
        <w:t xml:space="preserve"> </w:t>
      </w:r>
      <w:r w:rsidRPr="001E3C88">
        <w:rPr>
          <w:rFonts w:ascii="Arial" w:hAnsi="Arial" w:cs="Arial"/>
        </w:rPr>
        <w:t>As Michael Flood puts it:</w:t>
      </w:r>
    </w:p>
    <w:p w14:paraId="05FFF8BC" w14:textId="77777777" w:rsidR="001E3C88" w:rsidRPr="001E3C88" w:rsidRDefault="001E3C88" w:rsidP="001E3C88">
      <w:pPr>
        <w:spacing w:after="0" w:line="360" w:lineRule="auto"/>
        <w:jc w:val="both"/>
        <w:rPr>
          <w:rFonts w:ascii="Arial" w:hAnsi="Arial" w:cs="Arial"/>
        </w:rPr>
      </w:pPr>
    </w:p>
    <w:p w14:paraId="50399100" w14:textId="6F35BECE" w:rsidR="001E3C88" w:rsidRPr="001E3C88" w:rsidRDefault="001E3C88" w:rsidP="00955C8D">
      <w:pPr>
        <w:spacing w:after="0" w:line="360" w:lineRule="auto"/>
        <w:ind w:left="709" w:right="521"/>
        <w:jc w:val="both"/>
        <w:rPr>
          <w:rFonts w:ascii="Arial" w:hAnsi="Arial" w:cs="Arial"/>
          <w:lang w:val="x-none"/>
        </w:rPr>
      </w:pPr>
      <w:r w:rsidRPr="001E3C88">
        <w:rPr>
          <w:rFonts w:ascii="Arial" w:hAnsi="Arial" w:cs="Arial"/>
        </w:rPr>
        <w:tab/>
      </w:r>
      <w:r w:rsidRPr="001E3C88">
        <w:rPr>
          <w:rFonts w:ascii="Arial" w:hAnsi="Arial" w:cs="Arial"/>
          <w:lang w:val="x-none"/>
        </w:rPr>
        <w:t>Men’s violence serves a political function, of subordination. There</w:t>
      </w:r>
      <w:r w:rsidR="00955C8D">
        <w:rPr>
          <w:rFonts w:ascii="Arial" w:hAnsi="Arial" w:cs="Arial"/>
          <w:lang w:val="x-none"/>
        </w:rPr>
        <w:t xml:space="preserve"> </w:t>
      </w:r>
      <w:r w:rsidRPr="001E3C88">
        <w:rPr>
          <w:rFonts w:ascii="Arial" w:hAnsi="Arial" w:cs="Arial"/>
          <w:lang w:val="x-none"/>
        </w:rPr>
        <w:t>are ways in which all men benefit from some men’s violence against women. And</w:t>
      </w:r>
      <w:r w:rsidR="00955C8D">
        <w:rPr>
          <w:rFonts w:ascii="Arial" w:hAnsi="Arial" w:cs="Arial"/>
          <w:lang w:val="x-none"/>
        </w:rPr>
        <w:t xml:space="preserve"> </w:t>
      </w:r>
      <w:r w:rsidRPr="001E3C88">
        <w:rPr>
          <w:rFonts w:ascii="Arial" w:hAnsi="Arial" w:cs="Arial"/>
          <w:lang w:val="x-none"/>
        </w:rPr>
        <w:t>many men collude or are complicit in some men’s violence.</w:t>
      </w:r>
      <w:r w:rsidRPr="001E3C88">
        <w:rPr>
          <w:rFonts w:ascii="Arial" w:hAnsi="Arial" w:cs="Arial"/>
          <w:vertAlign w:val="superscript"/>
          <w:lang w:val="x-none"/>
        </w:rPr>
        <w:footnoteReference w:id="73"/>
      </w:r>
    </w:p>
    <w:p w14:paraId="4B7C991F" w14:textId="77777777" w:rsidR="001E3C88" w:rsidRPr="001E3C88" w:rsidRDefault="001E3C88" w:rsidP="001E3C88">
      <w:pPr>
        <w:spacing w:after="0" w:line="360" w:lineRule="auto"/>
        <w:jc w:val="both"/>
        <w:rPr>
          <w:rFonts w:ascii="Arial" w:hAnsi="Arial" w:cs="Arial"/>
        </w:rPr>
      </w:pPr>
    </w:p>
    <w:p w14:paraId="060B183A" w14:textId="79312866" w:rsidR="001E3C88" w:rsidRPr="001E3C88" w:rsidRDefault="001E3C88" w:rsidP="001E3C88">
      <w:pPr>
        <w:spacing w:after="0" w:line="360" w:lineRule="auto"/>
        <w:jc w:val="both"/>
        <w:rPr>
          <w:rFonts w:ascii="Arial" w:hAnsi="Arial" w:cs="Arial"/>
        </w:rPr>
      </w:pPr>
      <w:r w:rsidRPr="001E3C88">
        <w:rPr>
          <w:rFonts w:ascii="Arial" w:hAnsi="Arial" w:cs="Arial"/>
        </w:rPr>
        <w:t>Second, restricting the curfew to only men who have been convicted of abuse is depriving it of its impact.</w:t>
      </w:r>
      <w:r w:rsidR="009F3F37">
        <w:rPr>
          <w:rFonts w:ascii="Arial" w:hAnsi="Arial" w:cs="Arial"/>
        </w:rPr>
        <w:t xml:space="preserve"> </w:t>
      </w:r>
      <w:r w:rsidRPr="001E3C88">
        <w:rPr>
          <w:rFonts w:ascii="Arial" w:hAnsi="Arial" w:cs="Arial"/>
        </w:rPr>
        <w:t>A woman seeing a man at night or spoken to by him will not know whether he is safe or not.</w:t>
      </w:r>
      <w:r w:rsidR="009F3F37">
        <w:rPr>
          <w:rFonts w:ascii="Arial" w:hAnsi="Arial" w:cs="Arial"/>
        </w:rPr>
        <w:t xml:space="preserve"> </w:t>
      </w:r>
      <w:r w:rsidRPr="001E3C88">
        <w:rPr>
          <w:rFonts w:ascii="Arial" w:hAnsi="Arial" w:cs="Arial"/>
        </w:rPr>
        <w:t>As a primary concern is ensuring access to public spaces without fear, this will be undone by a more limited curfew.</w:t>
      </w:r>
      <w:r w:rsidR="009F3F37">
        <w:rPr>
          <w:rFonts w:ascii="Arial" w:hAnsi="Arial" w:cs="Arial"/>
        </w:rPr>
        <w:t xml:space="preserve"> </w:t>
      </w:r>
    </w:p>
    <w:p w14:paraId="72AD1400" w14:textId="77777777" w:rsidR="001E3C88" w:rsidRPr="001E3C88" w:rsidRDefault="001E3C88" w:rsidP="001E3C88">
      <w:pPr>
        <w:spacing w:after="0" w:line="360" w:lineRule="auto"/>
        <w:jc w:val="both"/>
        <w:rPr>
          <w:rFonts w:ascii="Arial" w:hAnsi="Arial" w:cs="Arial"/>
        </w:rPr>
      </w:pPr>
    </w:p>
    <w:p w14:paraId="74E54745" w14:textId="77777777" w:rsidR="001E3C88" w:rsidRPr="001E3C88" w:rsidRDefault="001E3C88" w:rsidP="003E418E">
      <w:pPr>
        <w:spacing w:after="0" w:line="360" w:lineRule="auto"/>
        <w:jc w:val="both"/>
        <w:rPr>
          <w:rFonts w:ascii="Arial" w:hAnsi="Arial" w:cs="Arial"/>
          <w:b/>
          <w:bCs/>
          <w:i/>
          <w:iCs/>
        </w:rPr>
      </w:pPr>
      <w:r w:rsidRPr="001E3C88">
        <w:rPr>
          <w:rFonts w:ascii="Arial" w:hAnsi="Arial" w:cs="Arial"/>
          <w:b/>
          <w:bCs/>
          <w:i/>
          <w:iCs/>
        </w:rPr>
        <w:t>Problems</w:t>
      </w:r>
    </w:p>
    <w:p w14:paraId="1AEC2B43" w14:textId="77777777" w:rsidR="001E3C88" w:rsidRPr="001E3C88" w:rsidRDefault="001E3C88" w:rsidP="001E3C88">
      <w:pPr>
        <w:spacing w:after="0" w:line="360" w:lineRule="auto"/>
        <w:jc w:val="both"/>
        <w:rPr>
          <w:rFonts w:ascii="Arial" w:hAnsi="Arial" w:cs="Arial"/>
        </w:rPr>
      </w:pPr>
    </w:p>
    <w:p w14:paraId="6A07E8CC" w14:textId="15360128" w:rsidR="001E3C88" w:rsidRPr="001E3C88" w:rsidRDefault="001E3C88" w:rsidP="00CE568F">
      <w:pPr>
        <w:spacing w:after="0" w:line="360" w:lineRule="auto"/>
        <w:jc w:val="both"/>
        <w:rPr>
          <w:rFonts w:ascii="Arial" w:hAnsi="Arial" w:cs="Arial"/>
        </w:rPr>
      </w:pPr>
      <w:r w:rsidRPr="001E3C88">
        <w:rPr>
          <w:rFonts w:ascii="Arial" w:hAnsi="Arial" w:cs="Arial"/>
        </w:rPr>
        <w:t>Apart from the arguments based on men’s rights, there are other, stronger concerns that may be raised about the proposal of a male curfew.</w:t>
      </w:r>
      <w:r w:rsidR="00CE568F">
        <w:rPr>
          <w:rFonts w:ascii="Arial" w:hAnsi="Arial" w:cs="Arial"/>
        </w:rPr>
        <w:t xml:space="preserve"> </w:t>
      </w:r>
      <w:r w:rsidRPr="001E3C88">
        <w:rPr>
          <w:rFonts w:ascii="Arial" w:hAnsi="Arial" w:cs="Arial"/>
        </w:rPr>
        <w:t>The major one is that a male curfew may simply increase the problem of domestic abuse.</w:t>
      </w:r>
      <w:r w:rsidR="009F3F37">
        <w:rPr>
          <w:rFonts w:ascii="Arial" w:hAnsi="Arial" w:cs="Arial"/>
        </w:rPr>
        <w:t xml:space="preserve"> </w:t>
      </w:r>
      <w:r w:rsidRPr="001E3C88">
        <w:rPr>
          <w:rFonts w:ascii="Arial" w:hAnsi="Arial" w:cs="Arial"/>
        </w:rPr>
        <w:t>If men are required to stay at home, will this exacerbate the incidence of domestic abuse.</w:t>
      </w:r>
      <w:r w:rsidR="009F3F37">
        <w:rPr>
          <w:rFonts w:ascii="Arial" w:hAnsi="Arial" w:cs="Arial"/>
        </w:rPr>
        <w:t xml:space="preserve"> </w:t>
      </w:r>
      <w:r w:rsidRPr="001E3C88">
        <w:rPr>
          <w:rFonts w:ascii="Arial" w:hAnsi="Arial" w:cs="Arial"/>
        </w:rPr>
        <w:t>Indeed, we have some evidence from COVID-19 that such concerns must be taken seriously.</w:t>
      </w:r>
      <w:r w:rsidR="009F3F37">
        <w:rPr>
          <w:rFonts w:ascii="Arial" w:hAnsi="Arial" w:cs="Arial"/>
        </w:rPr>
        <w:t xml:space="preserve"> </w:t>
      </w:r>
      <w:r w:rsidRPr="001E3C88">
        <w:rPr>
          <w:rFonts w:ascii="Arial" w:hAnsi="Arial" w:cs="Arial"/>
        </w:rPr>
        <w:t>In fact, the lesson from the COVID-19 lockdowns is a little mixed.</w:t>
      </w:r>
      <w:r w:rsidRPr="001E3C88">
        <w:rPr>
          <w:rFonts w:ascii="Arial" w:hAnsi="Arial" w:cs="Arial"/>
          <w:vertAlign w:val="superscript"/>
        </w:rPr>
        <w:footnoteReference w:id="74"/>
      </w:r>
      <w:r w:rsidR="009F3F37">
        <w:rPr>
          <w:rFonts w:ascii="Arial" w:hAnsi="Arial" w:cs="Arial"/>
        </w:rPr>
        <w:t xml:space="preserve"> </w:t>
      </w:r>
      <w:r w:rsidRPr="001E3C88">
        <w:rPr>
          <w:rFonts w:ascii="Arial" w:hAnsi="Arial" w:cs="Arial"/>
        </w:rPr>
        <w:t>While calls for help to agencies involved in domestic abuse have increased, it is not clear that female homicides have increased.</w:t>
      </w:r>
      <w:r w:rsidRPr="001E3C88">
        <w:rPr>
          <w:rFonts w:ascii="Arial" w:hAnsi="Arial" w:cs="Arial"/>
          <w:vertAlign w:val="superscript"/>
        </w:rPr>
        <w:footnoteReference w:id="75"/>
      </w:r>
      <w:r w:rsidR="009F3F37">
        <w:rPr>
          <w:rFonts w:ascii="Arial" w:hAnsi="Arial" w:cs="Arial"/>
        </w:rPr>
        <w:t xml:space="preserve"> </w:t>
      </w:r>
      <w:r w:rsidRPr="001E3C88">
        <w:rPr>
          <w:rFonts w:ascii="Arial" w:hAnsi="Arial" w:cs="Arial"/>
        </w:rPr>
        <w:t>Further, it seems that domestic abuse between ex partners decreased during lock down,</w:t>
      </w:r>
      <w:r w:rsidRPr="001E3C88">
        <w:rPr>
          <w:rFonts w:ascii="Arial" w:hAnsi="Arial" w:cs="Arial"/>
          <w:vertAlign w:val="superscript"/>
        </w:rPr>
        <w:footnoteReference w:id="76"/>
      </w:r>
      <w:r w:rsidRPr="001E3C88">
        <w:rPr>
          <w:rFonts w:ascii="Arial" w:hAnsi="Arial" w:cs="Arial"/>
        </w:rPr>
        <w:t xml:space="preserve"> even if levels of abuse with current partners may have increased.</w:t>
      </w:r>
      <w:r w:rsidR="009F3F37">
        <w:rPr>
          <w:rFonts w:ascii="Arial" w:hAnsi="Arial" w:cs="Arial"/>
        </w:rPr>
        <w:t xml:space="preserve"> </w:t>
      </w:r>
      <w:r w:rsidRPr="001E3C88">
        <w:rPr>
          <w:rFonts w:ascii="Arial" w:hAnsi="Arial" w:cs="Arial"/>
        </w:rPr>
        <w:t>Nevertheless, there must be serious concerns that a male curfew will lead to increased levels of domestic abuse.</w:t>
      </w:r>
      <w:r w:rsidR="009F3F37">
        <w:rPr>
          <w:rFonts w:ascii="Arial" w:hAnsi="Arial" w:cs="Arial"/>
        </w:rPr>
        <w:t xml:space="preserve"> </w:t>
      </w:r>
      <w:r w:rsidRPr="001E3C88">
        <w:rPr>
          <w:rFonts w:ascii="Arial" w:hAnsi="Arial" w:cs="Arial"/>
        </w:rPr>
        <w:t xml:space="preserve">The response to this should be more effective legal domestic abuse protection in terms of policing and civil remedies, with </w:t>
      </w:r>
      <w:r w:rsidRPr="001E3C88">
        <w:rPr>
          <w:rFonts w:ascii="Arial" w:hAnsi="Arial" w:cs="Arial"/>
        </w:rPr>
        <w:lastRenderedPageBreak/>
        <w:t>more extensive provision of refuges.</w:t>
      </w:r>
      <w:r w:rsidRPr="001E3C88">
        <w:rPr>
          <w:rFonts w:ascii="Arial" w:hAnsi="Arial" w:cs="Arial"/>
          <w:vertAlign w:val="superscript"/>
        </w:rPr>
        <w:footnoteReference w:id="77"/>
      </w:r>
      <w:r w:rsidR="009F3F37">
        <w:rPr>
          <w:rFonts w:ascii="Arial" w:hAnsi="Arial" w:cs="Arial"/>
        </w:rPr>
        <w:t xml:space="preserve"> </w:t>
      </w:r>
      <w:r w:rsidRPr="001E3C88">
        <w:rPr>
          <w:rFonts w:ascii="Arial" w:hAnsi="Arial" w:cs="Arial"/>
        </w:rPr>
        <w:t>The failures to tackle domestic abuse sufficiently should not be seen as an excuse not to tackle abuse in public places effectively.</w:t>
      </w:r>
    </w:p>
    <w:p w14:paraId="4C7AD152" w14:textId="77777777" w:rsidR="001E3C88" w:rsidRPr="001E3C88" w:rsidRDefault="001E3C88" w:rsidP="001E3C88">
      <w:pPr>
        <w:spacing w:after="0" w:line="360" w:lineRule="auto"/>
        <w:jc w:val="both"/>
        <w:rPr>
          <w:rFonts w:ascii="Arial" w:hAnsi="Arial" w:cs="Arial"/>
          <w:lang w:val="x-none"/>
        </w:rPr>
      </w:pPr>
    </w:p>
    <w:p w14:paraId="1EBD1041" w14:textId="4EB4AA35" w:rsidR="001E3C88" w:rsidRDefault="001E3C88" w:rsidP="003E418E">
      <w:pPr>
        <w:spacing w:after="0" w:line="360" w:lineRule="auto"/>
        <w:ind w:firstLine="720"/>
        <w:jc w:val="both"/>
        <w:rPr>
          <w:rFonts w:ascii="Arial" w:hAnsi="Arial" w:cs="Arial"/>
        </w:rPr>
      </w:pPr>
      <w:r w:rsidRPr="001E3C88">
        <w:rPr>
          <w:rFonts w:ascii="Arial" w:hAnsi="Arial" w:cs="Arial"/>
        </w:rPr>
        <w:t>A second concern would be about enforceability.</w:t>
      </w:r>
      <w:r w:rsidR="009F3F37">
        <w:rPr>
          <w:rFonts w:ascii="Arial" w:hAnsi="Arial" w:cs="Arial"/>
        </w:rPr>
        <w:t xml:space="preserve"> </w:t>
      </w:r>
      <w:r w:rsidRPr="001E3C88">
        <w:rPr>
          <w:rFonts w:ascii="Arial" w:hAnsi="Arial" w:cs="Arial"/>
        </w:rPr>
        <w:t xml:space="preserve">In the novel </w:t>
      </w:r>
      <w:r w:rsidRPr="001E3C88">
        <w:rPr>
          <w:rFonts w:ascii="Arial" w:hAnsi="Arial" w:cs="Arial"/>
          <w:i/>
          <w:iCs/>
        </w:rPr>
        <w:t>After Dark</w:t>
      </w:r>
      <w:r w:rsidRPr="001E3C88">
        <w:rPr>
          <w:rFonts w:ascii="Arial" w:hAnsi="Arial" w:cs="Arial"/>
          <w:vertAlign w:val="superscript"/>
        </w:rPr>
        <w:footnoteReference w:id="78"/>
      </w:r>
      <w:r w:rsidRPr="001E3C88">
        <w:rPr>
          <w:rFonts w:ascii="Arial" w:hAnsi="Arial" w:cs="Arial"/>
        </w:rPr>
        <w:t xml:space="preserve"> this was done with electronic tagging for all men, although as the novel shows that is not fool-proof and comes with its own difficulties.</w:t>
      </w:r>
      <w:r w:rsidR="009F3F37">
        <w:rPr>
          <w:rFonts w:ascii="Arial" w:hAnsi="Arial" w:cs="Arial"/>
        </w:rPr>
        <w:t xml:space="preserve"> </w:t>
      </w:r>
      <w:r w:rsidRPr="001E3C88">
        <w:rPr>
          <w:rFonts w:ascii="Arial" w:hAnsi="Arial" w:cs="Arial"/>
        </w:rPr>
        <w:t>Nevertheless, there are examples of male curfews in the past, at least at a short-term level, which have proved enforceable and had some success.</w:t>
      </w:r>
      <w:r w:rsidRPr="001E3C88">
        <w:rPr>
          <w:rFonts w:ascii="Arial" w:hAnsi="Arial" w:cs="Arial"/>
          <w:vertAlign w:val="superscript"/>
        </w:rPr>
        <w:footnoteReference w:id="79"/>
      </w:r>
      <w:r w:rsidR="009F3F37">
        <w:rPr>
          <w:rFonts w:ascii="Arial" w:hAnsi="Arial" w:cs="Arial"/>
        </w:rPr>
        <w:t xml:space="preserve"> </w:t>
      </w:r>
      <w:r w:rsidRPr="001E3C88">
        <w:rPr>
          <w:rFonts w:ascii="Arial" w:hAnsi="Arial" w:cs="Arial"/>
        </w:rPr>
        <w:t>Curfews are used as a form of punishment currently and are enforced with a reasonable degree of success.</w:t>
      </w:r>
      <w:r w:rsidRPr="001E3C88">
        <w:rPr>
          <w:rFonts w:ascii="Arial" w:hAnsi="Arial" w:cs="Arial"/>
          <w:vertAlign w:val="superscript"/>
        </w:rPr>
        <w:footnoteReference w:id="80"/>
      </w:r>
    </w:p>
    <w:p w14:paraId="7D238810" w14:textId="77777777" w:rsidR="005948DE" w:rsidRPr="001E3C88" w:rsidRDefault="005948DE" w:rsidP="003E418E">
      <w:pPr>
        <w:spacing w:after="0" w:line="360" w:lineRule="auto"/>
        <w:ind w:firstLine="720"/>
        <w:jc w:val="both"/>
        <w:rPr>
          <w:rFonts w:ascii="Arial" w:hAnsi="Arial" w:cs="Arial"/>
        </w:rPr>
      </w:pPr>
    </w:p>
    <w:p w14:paraId="562562CE" w14:textId="48B57779" w:rsidR="001E3C88" w:rsidRPr="001E3C88" w:rsidRDefault="001E3C88" w:rsidP="005948DE">
      <w:pPr>
        <w:spacing w:after="0" w:line="360" w:lineRule="auto"/>
        <w:ind w:firstLine="720"/>
        <w:jc w:val="both"/>
        <w:rPr>
          <w:rFonts w:ascii="Arial" w:hAnsi="Arial" w:cs="Arial"/>
        </w:rPr>
      </w:pPr>
      <w:r w:rsidRPr="001E3C88">
        <w:rPr>
          <w:rFonts w:ascii="Arial" w:hAnsi="Arial" w:cs="Arial"/>
        </w:rPr>
        <w:t>A third issue is that a male curfew would require a clear distinction to be drawn between men and women.</w:t>
      </w:r>
      <w:r w:rsidR="009F3F37">
        <w:rPr>
          <w:rFonts w:ascii="Arial" w:hAnsi="Arial" w:cs="Arial"/>
        </w:rPr>
        <w:t xml:space="preserve"> </w:t>
      </w:r>
      <w:r w:rsidRPr="001E3C88">
        <w:rPr>
          <w:rFonts w:ascii="Arial" w:hAnsi="Arial" w:cs="Arial"/>
        </w:rPr>
        <w:t>The contentions over, for example, access to women only spaces give some indication of the issues likely to arise if a male curfew were to be imposed.</w:t>
      </w:r>
      <w:r w:rsidR="009F3F37">
        <w:rPr>
          <w:rFonts w:ascii="Arial" w:hAnsi="Arial" w:cs="Arial"/>
        </w:rPr>
        <w:t xml:space="preserve"> </w:t>
      </w:r>
      <w:r w:rsidRPr="001E3C88">
        <w:rPr>
          <w:rFonts w:ascii="Arial" w:hAnsi="Arial" w:cs="Arial"/>
        </w:rPr>
        <w:t>Gender non-conforming people and trans women could be discriminated against if such a policy were imposed without appropriate recognition of their gender identity.</w:t>
      </w:r>
      <w:r w:rsidR="009F3F37">
        <w:rPr>
          <w:rFonts w:ascii="Arial" w:hAnsi="Arial" w:cs="Arial"/>
        </w:rPr>
        <w:t xml:space="preserve"> </w:t>
      </w:r>
      <w:r w:rsidRPr="001E3C88">
        <w:rPr>
          <w:rFonts w:ascii="Arial" w:hAnsi="Arial" w:cs="Arial"/>
        </w:rPr>
        <w:t>Clearly there are major and complex issues here, although they are part of a b</w:t>
      </w:r>
      <w:r w:rsidR="00B87992">
        <w:rPr>
          <w:rFonts w:ascii="Arial" w:hAnsi="Arial" w:cs="Arial"/>
        </w:rPr>
        <w:t>r</w:t>
      </w:r>
      <w:r w:rsidRPr="001E3C88">
        <w:rPr>
          <w:rFonts w:ascii="Arial" w:hAnsi="Arial" w:cs="Arial"/>
        </w:rPr>
        <w:t>oader debate over definitions of gender within society.</w:t>
      </w:r>
    </w:p>
    <w:p w14:paraId="734C66D4" w14:textId="77777777" w:rsidR="001E3C88" w:rsidRPr="001E3C88" w:rsidRDefault="001E3C88" w:rsidP="001E3C88">
      <w:pPr>
        <w:spacing w:after="0" w:line="360" w:lineRule="auto"/>
        <w:jc w:val="both"/>
        <w:rPr>
          <w:rFonts w:ascii="Arial" w:hAnsi="Arial" w:cs="Arial"/>
        </w:rPr>
      </w:pPr>
    </w:p>
    <w:p w14:paraId="5511C5BB" w14:textId="77777777" w:rsidR="001E3C88" w:rsidRPr="001E3C88" w:rsidRDefault="001E3C88" w:rsidP="005948DE">
      <w:pPr>
        <w:spacing w:after="0" w:line="360" w:lineRule="auto"/>
        <w:jc w:val="both"/>
        <w:rPr>
          <w:rFonts w:ascii="Arial" w:hAnsi="Arial" w:cs="Arial"/>
          <w:b/>
          <w:bCs/>
          <w:i/>
          <w:iCs/>
        </w:rPr>
      </w:pPr>
      <w:r w:rsidRPr="001E3C88">
        <w:rPr>
          <w:rFonts w:ascii="Arial" w:hAnsi="Arial" w:cs="Arial"/>
          <w:b/>
          <w:bCs/>
          <w:i/>
          <w:iCs/>
        </w:rPr>
        <w:t>Conclusion</w:t>
      </w:r>
    </w:p>
    <w:p w14:paraId="25DB745F" w14:textId="77777777" w:rsidR="001E3C88" w:rsidRPr="001E3C88" w:rsidRDefault="001E3C88" w:rsidP="001E3C88">
      <w:pPr>
        <w:spacing w:after="0" w:line="360" w:lineRule="auto"/>
        <w:jc w:val="both"/>
        <w:rPr>
          <w:rFonts w:ascii="Arial" w:hAnsi="Arial" w:cs="Arial"/>
        </w:rPr>
      </w:pPr>
    </w:p>
    <w:p w14:paraId="6F0C2764" w14:textId="68E360FF" w:rsidR="001E3C88" w:rsidRPr="001E3C88" w:rsidRDefault="001E3C88" w:rsidP="001E3C88">
      <w:pPr>
        <w:spacing w:after="0" w:line="360" w:lineRule="auto"/>
        <w:jc w:val="both"/>
        <w:rPr>
          <w:rFonts w:ascii="Arial" w:hAnsi="Arial" w:cs="Arial"/>
        </w:rPr>
      </w:pPr>
      <w:r w:rsidRPr="001E3C88">
        <w:rPr>
          <w:rFonts w:ascii="Arial" w:hAnsi="Arial" w:cs="Arial"/>
        </w:rPr>
        <w:t>This lack of safety in public spaces is a worldwide issue.</w:t>
      </w:r>
      <w:r w:rsidRPr="001E3C88">
        <w:rPr>
          <w:rFonts w:ascii="Arial" w:hAnsi="Arial" w:cs="Arial"/>
          <w:vertAlign w:val="superscript"/>
        </w:rPr>
        <w:footnoteReference w:id="81"/>
      </w:r>
      <w:r w:rsidR="009F3F37">
        <w:rPr>
          <w:rFonts w:ascii="Arial" w:hAnsi="Arial" w:cs="Arial"/>
        </w:rPr>
        <w:t xml:space="preserve"> </w:t>
      </w:r>
      <w:r w:rsidRPr="001E3C88">
        <w:rPr>
          <w:rFonts w:ascii="Arial" w:hAnsi="Arial" w:cs="Arial"/>
        </w:rPr>
        <w:t>Indeed</w:t>
      </w:r>
      <w:r w:rsidR="00B87992">
        <w:rPr>
          <w:rFonts w:ascii="Arial" w:hAnsi="Arial" w:cs="Arial"/>
        </w:rPr>
        <w:t>,</w:t>
      </w:r>
      <w:r w:rsidRPr="001E3C88">
        <w:rPr>
          <w:rFonts w:ascii="Arial" w:hAnsi="Arial" w:cs="Arial"/>
        </w:rPr>
        <w:t xml:space="preserve"> safety in cities and human settlement is one of the UN’s sustainable Development Goals.</w:t>
      </w:r>
      <w:r w:rsidRPr="001E3C88">
        <w:rPr>
          <w:rFonts w:ascii="Arial" w:hAnsi="Arial" w:cs="Arial"/>
          <w:vertAlign w:val="superscript"/>
        </w:rPr>
        <w:footnoteReference w:id="82"/>
      </w:r>
      <w:r w:rsidR="009F3F37">
        <w:rPr>
          <w:rFonts w:ascii="Arial" w:hAnsi="Arial" w:cs="Arial"/>
        </w:rPr>
        <w:t xml:space="preserve"> </w:t>
      </w:r>
      <w:r w:rsidRPr="001E3C88">
        <w:rPr>
          <w:rFonts w:ascii="Arial" w:hAnsi="Arial" w:cs="Arial"/>
        </w:rPr>
        <w:t>Responding to the issue by creating male curfews is not as bizarre as it sounds.</w:t>
      </w:r>
      <w:r w:rsidR="009F3F37">
        <w:rPr>
          <w:rFonts w:ascii="Arial" w:hAnsi="Arial" w:cs="Arial"/>
        </w:rPr>
        <w:t xml:space="preserve"> </w:t>
      </w:r>
      <w:r w:rsidRPr="001E3C88">
        <w:rPr>
          <w:rFonts w:ascii="Arial" w:hAnsi="Arial" w:cs="Arial"/>
        </w:rPr>
        <w:t>Internationally, the problem of male violence against women in public spaces has led to the concept of “safe cities” where women have equal rights to access public spaces within cities and freedom of movement around it, free from threats of sexual harassment or violence.</w:t>
      </w:r>
      <w:r w:rsidR="009F3F37">
        <w:rPr>
          <w:rFonts w:ascii="Arial" w:hAnsi="Arial" w:cs="Arial"/>
        </w:rPr>
        <w:t xml:space="preserve"> </w:t>
      </w:r>
      <w:r w:rsidRPr="001E3C88">
        <w:rPr>
          <w:rFonts w:ascii="Arial" w:hAnsi="Arial" w:cs="Arial"/>
        </w:rPr>
        <w:t>In some areas of the world</w:t>
      </w:r>
      <w:r w:rsidR="00B87992">
        <w:rPr>
          <w:rFonts w:ascii="Arial" w:hAnsi="Arial" w:cs="Arial"/>
        </w:rPr>
        <w:t>,</w:t>
      </w:r>
      <w:r w:rsidRPr="001E3C88">
        <w:rPr>
          <w:rFonts w:ascii="Arial" w:hAnsi="Arial" w:cs="Arial"/>
        </w:rPr>
        <w:t xml:space="preserve"> this has led to areas specifically set aside for women, such as the Sabarmati Riverfront in Ahmedabad.</w:t>
      </w:r>
      <w:r w:rsidRPr="001E3C88">
        <w:rPr>
          <w:rFonts w:ascii="Arial" w:hAnsi="Arial" w:cs="Arial"/>
          <w:vertAlign w:val="superscript"/>
        </w:rPr>
        <w:footnoteReference w:id="83"/>
      </w:r>
      <w:r w:rsidR="009F3F37">
        <w:rPr>
          <w:rFonts w:ascii="Arial" w:hAnsi="Arial" w:cs="Arial"/>
        </w:rPr>
        <w:t xml:space="preserve"> </w:t>
      </w:r>
      <w:r w:rsidRPr="001E3C88">
        <w:rPr>
          <w:rFonts w:ascii="Arial" w:hAnsi="Arial" w:cs="Arial"/>
        </w:rPr>
        <w:t>I do accept there are some serious difficulties with the problem of a male curfew.</w:t>
      </w:r>
      <w:r w:rsidR="009F3F37">
        <w:rPr>
          <w:rFonts w:ascii="Arial" w:hAnsi="Arial" w:cs="Arial"/>
        </w:rPr>
        <w:t xml:space="preserve"> </w:t>
      </w:r>
      <w:r w:rsidRPr="001E3C88">
        <w:rPr>
          <w:rFonts w:ascii="Arial" w:hAnsi="Arial" w:cs="Arial"/>
        </w:rPr>
        <w:t>As already indicated</w:t>
      </w:r>
      <w:r w:rsidR="00B87992">
        <w:rPr>
          <w:rFonts w:ascii="Arial" w:hAnsi="Arial" w:cs="Arial"/>
        </w:rPr>
        <w:t>,</w:t>
      </w:r>
      <w:r w:rsidRPr="001E3C88">
        <w:rPr>
          <w:rFonts w:ascii="Arial" w:hAnsi="Arial" w:cs="Arial"/>
        </w:rPr>
        <w:t xml:space="preserve"> there are challenges over how to enforce it in a way which does not exacerbate </w:t>
      </w:r>
      <w:r w:rsidRPr="001E3C88">
        <w:rPr>
          <w:rFonts w:ascii="Arial" w:hAnsi="Arial" w:cs="Arial"/>
        </w:rPr>
        <w:lastRenderedPageBreak/>
        <w:t>problems with domestic abuse; whether it is enforceable; and whether its policing would increase discrimination against gender-non-conforming women and trans women.</w:t>
      </w:r>
      <w:r w:rsidR="009F3F37">
        <w:rPr>
          <w:rFonts w:ascii="Arial" w:hAnsi="Arial" w:cs="Arial"/>
        </w:rPr>
        <w:t xml:space="preserve"> </w:t>
      </w:r>
    </w:p>
    <w:p w14:paraId="40502116" w14:textId="77777777" w:rsidR="001E3C88" w:rsidRPr="001E3C88" w:rsidRDefault="001E3C88" w:rsidP="001E3C88">
      <w:pPr>
        <w:spacing w:after="0" w:line="360" w:lineRule="auto"/>
        <w:jc w:val="both"/>
        <w:rPr>
          <w:rFonts w:ascii="Arial" w:hAnsi="Arial" w:cs="Arial"/>
        </w:rPr>
      </w:pPr>
    </w:p>
    <w:p w14:paraId="1BCC26EA" w14:textId="760D012F" w:rsidR="004324AD" w:rsidRPr="00C84785" w:rsidRDefault="001E3C88" w:rsidP="00D93D7C">
      <w:pPr>
        <w:spacing w:after="0" w:line="360" w:lineRule="auto"/>
        <w:jc w:val="both"/>
        <w:rPr>
          <w:rFonts w:ascii="Arial" w:hAnsi="Arial" w:cs="Arial"/>
        </w:rPr>
      </w:pPr>
      <w:r w:rsidRPr="001E3C88">
        <w:rPr>
          <w:rFonts w:ascii="Arial" w:hAnsi="Arial" w:cs="Arial"/>
        </w:rPr>
        <w:t>Nevertheless</w:t>
      </w:r>
      <w:r w:rsidR="00B87992">
        <w:rPr>
          <w:rFonts w:ascii="Arial" w:hAnsi="Arial" w:cs="Arial"/>
        </w:rPr>
        <w:t>,</w:t>
      </w:r>
      <w:r w:rsidRPr="001E3C88">
        <w:rPr>
          <w:rFonts w:ascii="Arial" w:hAnsi="Arial" w:cs="Arial"/>
        </w:rPr>
        <w:t xml:space="preserve"> the key argument of this article is that women have a right to access public spaces and the state has a duty to take steps to provide it.</w:t>
      </w:r>
      <w:r w:rsidR="009F3F37">
        <w:rPr>
          <w:rFonts w:ascii="Arial" w:hAnsi="Arial" w:cs="Arial"/>
        </w:rPr>
        <w:t xml:space="preserve"> </w:t>
      </w:r>
      <w:r w:rsidRPr="001E3C88">
        <w:rPr>
          <w:rFonts w:ascii="Arial" w:hAnsi="Arial" w:cs="Arial"/>
        </w:rPr>
        <w:t>Currently access to public spaces is provided in a highly discriminatory way, especially at night.</w:t>
      </w:r>
      <w:r w:rsidR="009F3F37">
        <w:rPr>
          <w:rFonts w:ascii="Arial" w:hAnsi="Arial" w:cs="Arial"/>
        </w:rPr>
        <w:t xml:space="preserve"> </w:t>
      </w:r>
      <w:r w:rsidRPr="001E3C88">
        <w:rPr>
          <w:rFonts w:ascii="Arial" w:hAnsi="Arial" w:cs="Arial"/>
        </w:rPr>
        <w:t>The state has a duty to protect women from violence, abuse and harassment in public; and to share access to state goods such as public spaces in a non-discriminatory way.</w:t>
      </w:r>
      <w:r w:rsidR="009F3F37">
        <w:rPr>
          <w:rFonts w:ascii="Arial" w:hAnsi="Arial" w:cs="Arial"/>
        </w:rPr>
        <w:t xml:space="preserve"> </w:t>
      </w:r>
      <w:r w:rsidRPr="001E3C88">
        <w:rPr>
          <w:rFonts w:ascii="Arial" w:hAnsi="Arial" w:cs="Arial"/>
        </w:rPr>
        <w:t>A male curfew would be an effective way of doing that.</w:t>
      </w:r>
      <w:r w:rsidR="009F3F37">
        <w:rPr>
          <w:rFonts w:ascii="Arial" w:hAnsi="Arial" w:cs="Arial"/>
        </w:rPr>
        <w:t xml:space="preserve"> </w:t>
      </w:r>
      <w:r w:rsidRPr="001E3C88">
        <w:rPr>
          <w:rFonts w:ascii="Arial" w:hAnsi="Arial" w:cs="Arial"/>
        </w:rPr>
        <w:t>It may discriminate unfairly against men, but no more than the current situation unfairly discriminates against women.</w:t>
      </w:r>
      <w:r w:rsidR="009F3F37">
        <w:rPr>
          <w:rFonts w:ascii="Arial" w:hAnsi="Arial" w:cs="Arial"/>
        </w:rPr>
        <w:t xml:space="preserve"> </w:t>
      </w:r>
      <w:r w:rsidRPr="001E3C88">
        <w:rPr>
          <w:rFonts w:ascii="Arial" w:hAnsi="Arial" w:cs="Arial"/>
        </w:rPr>
        <w:t>Many will oppose a male curfew, but those doing so must produce an alternative way of protecting women’s rights and ensuring equal access to public spaces.</w:t>
      </w:r>
    </w:p>
    <w:sectPr w:rsidR="004324AD" w:rsidRPr="00C84785" w:rsidSect="00CE568F">
      <w:headerReference w:type="default" r:id="rId8"/>
      <w:footerReference w:type="default" r:id="rId9"/>
      <w:pgSz w:w="11906" w:h="16838"/>
      <w:pgMar w:top="1440" w:right="1440" w:bottom="1440" w:left="1440" w:header="708" w:footer="708"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4ECEE" w14:textId="77777777" w:rsidR="00232762" w:rsidRDefault="00232762" w:rsidP="00BC0A68">
      <w:pPr>
        <w:spacing w:after="0" w:line="240" w:lineRule="auto"/>
      </w:pPr>
      <w:r>
        <w:separator/>
      </w:r>
    </w:p>
  </w:endnote>
  <w:endnote w:type="continuationSeparator" w:id="0">
    <w:p w14:paraId="1B47279A" w14:textId="77777777" w:rsidR="00232762" w:rsidRDefault="00232762" w:rsidP="00BC0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altName w:val="MS Gothic"/>
    <w:charset w:val="80"/>
    <w:family w:val="swiss"/>
    <w:pitch w:val="variable"/>
    <w:sig w:usb0="E00002FF" w:usb1="7AC7FFFF" w:usb2="00000012" w:usb3="00000000" w:csb0="0002000D" w:csb1="00000000"/>
  </w:font>
  <w:font w:name="Baskerville">
    <w:altName w:val="Perpetua"/>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alatino Linotype" w:hAnsi="Palatino Linotype"/>
      </w:rPr>
      <w:id w:val="-970594747"/>
      <w:docPartObj>
        <w:docPartGallery w:val="Page Numbers (Bottom of Page)"/>
        <w:docPartUnique/>
      </w:docPartObj>
    </w:sdtPr>
    <w:sdtEndPr>
      <w:rPr>
        <w:noProof/>
      </w:rPr>
    </w:sdtEndPr>
    <w:sdtContent>
      <w:p w14:paraId="7DF1CEA4" w14:textId="7C94F7B6" w:rsidR="00D64846" w:rsidRPr="00BC0A68" w:rsidRDefault="00D64846">
        <w:pPr>
          <w:pStyle w:val="Footer"/>
          <w:jc w:val="right"/>
          <w:rPr>
            <w:rFonts w:ascii="Palatino Linotype" w:hAnsi="Palatino Linotype"/>
          </w:rPr>
        </w:pPr>
        <w:r w:rsidRPr="00BC0A68">
          <w:rPr>
            <w:rFonts w:ascii="Palatino Linotype" w:hAnsi="Palatino Linotype"/>
          </w:rPr>
          <w:fldChar w:fldCharType="begin"/>
        </w:r>
        <w:r w:rsidRPr="00BC0A68">
          <w:rPr>
            <w:rFonts w:ascii="Palatino Linotype" w:hAnsi="Palatino Linotype"/>
          </w:rPr>
          <w:instrText xml:space="preserve"> PAGE   \* MERGEFORMAT </w:instrText>
        </w:r>
        <w:r w:rsidRPr="00BC0A68">
          <w:rPr>
            <w:rFonts w:ascii="Palatino Linotype" w:hAnsi="Palatino Linotype"/>
          </w:rPr>
          <w:fldChar w:fldCharType="separate"/>
        </w:r>
        <w:r w:rsidR="00ED3CA5">
          <w:rPr>
            <w:rFonts w:ascii="Palatino Linotype" w:hAnsi="Palatino Linotype"/>
            <w:noProof/>
          </w:rPr>
          <w:t>27</w:t>
        </w:r>
        <w:r w:rsidRPr="00BC0A68">
          <w:rPr>
            <w:rFonts w:ascii="Palatino Linotype" w:hAnsi="Palatino Linotype"/>
            <w:noProof/>
          </w:rPr>
          <w:fldChar w:fldCharType="end"/>
        </w:r>
      </w:p>
    </w:sdtContent>
  </w:sdt>
  <w:p w14:paraId="40915F37" w14:textId="77777777" w:rsidR="00D64846" w:rsidRPr="00BC0A68" w:rsidRDefault="00D64846">
    <w:pPr>
      <w:pStyle w:val="Footer"/>
      <w:rPr>
        <w:rFonts w:ascii="Palatino Linotype" w:hAnsi="Palatino Linoty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C2836" w14:textId="77777777" w:rsidR="00232762" w:rsidRDefault="00232762" w:rsidP="00BC0A68">
      <w:pPr>
        <w:spacing w:after="0" w:line="240" w:lineRule="auto"/>
      </w:pPr>
      <w:r>
        <w:separator/>
      </w:r>
    </w:p>
  </w:footnote>
  <w:footnote w:type="continuationSeparator" w:id="0">
    <w:p w14:paraId="0B839BCC" w14:textId="77777777" w:rsidR="00232762" w:rsidRDefault="00232762" w:rsidP="00BC0A68">
      <w:pPr>
        <w:spacing w:after="0" w:line="240" w:lineRule="auto"/>
      </w:pPr>
      <w:r>
        <w:continuationSeparator/>
      </w:r>
    </w:p>
  </w:footnote>
  <w:footnote w:id="1">
    <w:p w14:paraId="7D9D2077" w14:textId="6A9C38A7" w:rsidR="00D64846" w:rsidRPr="001E3C88" w:rsidRDefault="00D64846" w:rsidP="001E3C88">
      <w:pPr>
        <w:pStyle w:val="FootnoteText"/>
        <w:jc w:val="both"/>
        <w:rPr>
          <w:rFonts w:ascii="Arial" w:hAnsi="Arial" w:cs="Arial"/>
          <w:bCs/>
          <w:sz w:val="18"/>
          <w:szCs w:val="18"/>
        </w:rPr>
      </w:pPr>
      <w:r w:rsidRPr="001E3C88">
        <w:rPr>
          <w:rStyle w:val="FootnoteReference"/>
          <w:rFonts w:ascii="Arial" w:hAnsi="Arial" w:cs="Arial"/>
          <w:sz w:val="18"/>
          <w:szCs w:val="18"/>
        </w:rPr>
        <w:footnoteRef/>
      </w:r>
      <w:r w:rsidRPr="001E3C88">
        <w:rPr>
          <w:rFonts w:ascii="Arial" w:hAnsi="Arial" w:cs="Arial"/>
          <w:bCs/>
          <w:sz w:val="18"/>
          <w:szCs w:val="18"/>
        </w:rPr>
        <w:t xml:space="preserve"> </w:t>
      </w:r>
      <w:r w:rsidR="0071747B" w:rsidRPr="001E3C88">
        <w:rPr>
          <w:rFonts w:ascii="Arial" w:hAnsi="Arial" w:cs="Arial"/>
          <w:bCs/>
          <w:sz w:val="18"/>
          <w:szCs w:val="18"/>
        </w:rPr>
        <w:t>Jonathan Herring</w:t>
      </w:r>
      <w:r w:rsidRPr="001E3C88">
        <w:rPr>
          <w:rFonts w:ascii="Arial" w:hAnsi="Arial" w:cs="Arial"/>
          <w:bCs/>
          <w:sz w:val="18"/>
          <w:szCs w:val="18"/>
        </w:rPr>
        <w:t xml:space="preserve">, University of </w:t>
      </w:r>
      <w:r w:rsidR="0071747B" w:rsidRPr="001E3C88">
        <w:rPr>
          <w:rFonts w:ascii="Arial" w:hAnsi="Arial" w:cs="Arial"/>
          <w:bCs/>
          <w:sz w:val="18"/>
          <w:szCs w:val="18"/>
        </w:rPr>
        <w:t>Oxford</w:t>
      </w:r>
      <w:r w:rsidRPr="001E3C88">
        <w:rPr>
          <w:rFonts w:ascii="Arial" w:hAnsi="Arial" w:cs="Arial"/>
          <w:bCs/>
          <w:sz w:val="18"/>
          <w:szCs w:val="18"/>
        </w:rPr>
        <w:t>. Email:</w:t>
      </w:r>
      <w:r w:rsidRPr="001E3C88">
        <w:rPr>
          <w:rFonts w:ascii="Arial" w:hAnsi="Arial" w:cs="Arial"/>
          <w:sz w:val="18"/>
          <w:szCs w:val="18"/>
        </w:rPr>
        <w:t xml:space="preserve"> </w:t>
      </w:r>
      <w:r w:rsidR="00011BD2">
        <w:rPr>
          <w:rFonts w:ascii="Arial" w:hAnsi="Arial" w:cs="Arial"/>
          <w:sz w:val="18"/>
          <w:szCs w:val="18"/>
        </w:rPr>
        <w:t>Jonathan.herring@law.ox.ac.uk</w:t>
      </w:r>
    </w:p>
    <w:p w14:paraId="73768793" w14:textId="775FDB6F" w:rsidR="00D64846" w:rsidRPr="001E3C88" w:rsidRDefault="00D64846" w:rsidP="00BB0EFC">
      <w:pPr>
        <w:pStyle w:val="FootnoteText"/>
        <w:rPr>
          <w:rFonts w:ascii="Arial" w:hAnsi="Arial" w:cs="Arial"/>
          <w:sz w:val="18"/>
          <w:szCs w:val="18"/>
        </w:rPr>
      </w:pPr>
      <w:r w:rsidRPr="001E3C88">
        <w:rPr>
          <w:rFonts w:ascii="Arial" w:hAnsi="Arial" w:cs="Arial"/>
          <w:sz w:val="18"/>
          <w:szCs w:val="18"/>
        </w:rPr>
        <w:t xml:space="preserve">Citation Format: </w:t>
      </w:r>
      <w:r w:rsidR="0071747B" w:rsidRPr="001E3C88">
        <w:rPr>
          <w:rFonts w:ascii="Arial" w:hAnsi="Arial" w:cs="Arial"/>
          <w:sz w:val="18"/>
          <w:szCs w:val="18"/>
        </w:rPr>
        <w:t>Herring</w:t>
      </w:r>
      <w:r w:rsidR="00BB0EFC">
        <w:rPr>
          <w:rFonts w:ascii="Arial" w:hAnsi="Arial" w:cs="Arial"/>
          <w:sz w:val="18"/>
          <w:szCs w:val="18"/>
        </w:rPr>
        <w:t>, J,</w:t>
      </w:r>
      <w:r w:rsidRPr="001E3C88">
        <w:rPr>
          <w:rFonts w:ascii="Arial" w:hAnsi="Arial" w:cs="Arial"/>
          <w:sz w:val="18"/>
          <w:szCs w:val="18"/>
        </w:rPr>
        <w:t xml:space="preserve"> ‘</w:t>
      </w:r>
      <w:r w:rsidR="0071747B" w:rsidRPr="001E3C88">
        <w:rPr>
          <w:rFonts w:ascii="Arial" w:hAnsi="Arial" w:cs="Arial"/>
          <w:sz w:val="18"/>
          <w:szCs w:val="18"/>
        </w:rPr>
        <w:t>A Right to a Male Curfew</w:t>
      </w:r>
      <w:r w:rsidRPr="001E3C88">
        <w:rPr>
          <w:rFonts w:ascii="Arial" w:hAnsi="Arial" w:cs="Arial"/>
          <w:sz w:val="18"/>
          <w:szCs w:val="18"/>
        </w:rPr>
        <w:t>’ (202</w:t>
      </w:r>
      <w:r w:rsidR="0071747B" w:rsidRPr="001E3C88">
        <w:rPr>
          <w:rFonts w:ascii="Arial" w:hAnsi="Arial" w:cs="Arial"/>
          <w:sz w:val="18"/>
          <w:szCs w:val="18"/>
        </w:rPr>
        <w:t>4</w:t>
      </w:r>
      <w:r w:rsidRPr="001E3C88">
        <w:rPr>
          <w:rFonts w:ascii="Arial" w:hAnsi="Arial" w:cs="Arial"/>
          <w:sz w:val="18"/>
          <w:szCs w:val="18"/>
        </w:rPr>
        <w:t xml:space="preserve">) </w:t>
      </w:r>
      <w:r w:rsidR="0071747B" w:rsidRPr="001E3C88">
        <w:rPr>
          <w:rFonts w:ascii="Arial" w:hAnsi="Arial" w:cs="Arial"/>
          <w:sz w:val="18"/>
          <w:szCs w:val="18"/>
        </w:rPr>
        <w:t>3</w:t>
      </w:r>
      <w:r w:rsidR="00655AC8" w:rsidRPr="001E3C88">
        <w:rPr>
          <w:rFonts w:ascii="Arial" w:hAnsi="Arial" w:cs="Arial"/>
          <w:sz w:val="18"/>
          <w:szCs w:val="18"/>
        </w:rPr>
        <w:t xml:space="preserve"> </w:t>
      </w:r>
      <w:r w:rsidRPr="001E3C88">
        <w:rPr>
          <w:rFonts w:ascii="Arial" w:hAnsi="Arial" w:cs="Arial"/>
          <w:i/>
          <w:iCs/>
          <w:sz w:val="18"/>
          <w:szCs w:val="18"/>
        </w:rPr>
        <w:t xml:space="preserve">International Journal of Gender, Sexuality and Law </w:t>
      </w:r>
      <w:r w:rsidR="00CE568F">
        <w:rPr>
          <w:rFonts w:ascii="Arial" w:hAnsi="Arial" w:cs="Arial"/>
          <w:sz w:val="18"/>
          <w:szCs w:val="18"/>
        </w:rPr>
        <w:t>10</w:t>
      </w:r>
      <w:r w:rsidR="00655AC8" w:rsidRPr="001E3C88">
        <w:rPr>
          <w:rFonts w:ascii="Arial" w:hAnsi="Arial" w:cs="Arial"/>
          <w:sz w:val="18"/>
          <w:szCs w:val="18"/>
        </w:rPr>
        <w:t>.</w:t>
      </w:r>
    </w:p>
  </w:footnote>
  <w:footnote w:id="2">
    <w:p w14:paraId="1FF04333" w14:textId="066BF4C8" w:rsidR="001E3C88" w:rsidRPr="001E3C88" w:rsidRDefault="001E3C88" w:rsidP="001E3C88">
      <w:pPr>
        <w:spacing w:after="0" w:line="240" w:lineRule="auto"/>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Quoted in A</w:t>
      </w:r>
      <w:r w:rsidR="00011BD2">
        <w:rPr>
          <w:rFonts w:ascii="Arial" w:hAnsi="Arial" w:cs="Arial"/>
          <w:sz w:val="18"/>
          <w:szCs w:val="18"/>
        </w:rPr>
        <w:t>rwa</w:t>
      </w:r>
      <w:r w:rsidRPr="001E3C88">
        <w:rPr>
          <w:rFonts w:ascii="Arial" w:hAnsi="Arial" w:cs="Arial"/>
          <w:sz w:val="18"/>
          <w:szCs w:val="18"/>
        </w:rPr>
        <w:t xml:space="preserve"> Mahdawi, ‘Angry at the Idea of a Curfew for Men? Think of all the Ways Women are Told to Adapt’ </w:t>
      </w:r>
      <w:r w:rsidRPr="001E3C88">
        <w:rPr>
          <w:rFonts w:ascii="Arial" w:hAnsi="Arial" w:cs="Arial"/>
          <w:i/>
          <w:iCs/>
          <w:sz w:val="18"/>
          <w:szCs w:val="18"/>
        </w:rPr>
        <w:t>The Guardian</w:t>
      </w:r>
      <w:r w:rsidRPr="001E3C88">
        <w:rPr>
          <w:rFonts w:ascii="Arial" w:hAnsi="Arial" w:cs="Arial"/>
          <w:sz w:val="18"/>
          <w:szCs w:val="18"/>
        </w:rPr>
        <w:t>, 13 March 2021.</w:t>
      </w:r>
      <w:r w:rsidR="00011BD2">
        <w:rPr>
          <w:rFonts w:ascii="Arial" w:hAnsi="Arial" w:cs="Arial"/>
          <w:sz w:val="18"/>
          <w:szCs w:val="18"/>
        </w:rPr>
        <w:t xml:space="preserve"> </w:t>
      </w:r>
      <w:r w:rsidR="00895EF8">
        <w:rPr>
          <w:rFonts w:ascii="Arial" w:hAnsi="Arial" w:cs="Arial"/>
          <w:sz w:val="18"/>
          <w:szCs w:val="18"/>
        </w:rPr>
        <w:t>Available at:</w:t>
      </w:r>
      <w:r w:rsidR="00011BD2">
        <w:rPr>
          <w:rFonts w:ascii="Arial" w:hAnsi="Arial" w:cs="Arial"/>
          <w:sz w:val="18"/>
          <w:szCs w:val="18"/>
        </w:rPr>
        <w:t xml:space="preserve"> </w:t>
      </w:r>
      <w:hyperlink r:id="rId1" w:history="1">
        <w:r w:rsidR="00011BD2" w:rsidRPr="00824E8B">
          <w:rPr>
            <w:rStyle w:val="Hyperlink"/>
            <w:rFonts w:ascii="Arial" w:hAnsi="Arial" w:cs="Arial"/>
            <w:sz w:val="18"/>
            <w:szCs w:val="18"/>
          </w:rPr>
          <w:t>https://www.theguardian.com/commentisfree/2021/mar/13/men-curfew-sarah-everard-women-adapt-violence</w:t>
        </w:r>
      </w:hyperlink>
      <w:r w:rsidR="00011BD2">
        <w:rPr>
          <w:rFonts w:ascii="Arial" w:hAnsi="Arial" w:cs="Arial"/>
          <w:sz w:val="18"/>
          <w:szCs w:val="18"/>
        </w:rPr>
        <w:t xml:space="preserve"> (last accessed 3 June 2024).</w:t>
      </w:r>
    </w:p>
  </w:footnote>
  <w:footnote w:id="3">
    <w:p w14:paraId="5F4ECB79" w14:textId="77777777"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Office of the United Nations High Commissioner for Human Rights, </w:t>
      </w:r>
      <w:r w:rsidRPr="001E3C88">
        <w:rPr>
          <w:rFonts w:ascii="Arial" w:hAnsi="Arial" w:cs="Arial"/>
          <w:i/>
          <w:iCs/>
          <w:sz w:val="18"/>
          <w:szCs w:val="18"/>
        </w:rPr>
        <w:t>Violence Against Women</w:t>
      </w:r>
      <w:r w:rsidRPr="001E3C88">
        <w:rPr>
          <w:rFonts w:ascii="Arial" w:hAnsi="Arial" w:cs="Arial"/>
          <w:sz w:val="18"/>
          <w:szCs w:val="18"/>
        </w:rPr>
        <w:t xml:space="preserve"> (United Nations, 2020).</w:t>
      </w:r>
    </w:p>
  </w:footnote>
  <w:footnote w:id="4">
    <w:p w14:paraId="6CE0D9E4" w14:textId="77777777" w:rsidR="001E3C88" w:rsidRPr="001E3C88" w:rsidRDefault="001E3C88" w:rsidP="001E3C88">
      <w:pPr>
        <w:spacing w:after="0" w:line="240" w:lineRule="auto"/>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Office for National Statistics, </w:t>
      </w:r>
      <w:r w:rsidRPr="001E3C88">
        <w:rPr>
          <w:rFonts w:ascii="Arial" w:hAnsi="Arial" w:cs="Arial"/>
          <w:i/>
          <w:iCs/>
          <w:sz w:val="18"/>
          <w:szCs w:val="18"/>
        </w:rPr>
        <w:t xml:space="preserve">Perceptions of Personal Safety and Experiences of Harassment </w:t>
      </w:r>
      <w:r w:rsidRPr="001E3C88">
        <w:rPr>
          <w:rFonts w:ascii="Arial" w:hAnsi="Arial" w:cs="Arial"/>
          <w:sz w:val="18"/>
          <w:szCs w:val="18"/>
        </w:rPr>
        <w:t>(ONS, 2022).</w:t>
      </w:r>
    </w:p>
  </w:footnote>
  <w:footnote w:id="5">
    <w:p w14:paraId="0913E01D" w14:textId="57B782EA"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UN Women, </w:t>
      </w:r>
      <w:r w:rsidRPr="001E3C88">
        <w:rPr>
          <w:rFonts w:ascii="Arial" w:hAnsi="Arial" w:cs="Arial"/>
          <w:i/>
          <w:iCs/>
          <w:sz w:val="18"/>
          <w:szCs w:val="18"/>
        </w:rPr>
        <w:t>Prevalence and Reporting of Sexual Harassment in UK Public Spaces</w:t>
      </w:r>
      <w:r w:rsidRPr="001E3C88">
        <w:rPr>
          <w:rFonts w:ascii="Arial" w:hAnsi="Arial" w:cs="Arial"/>
          <w:b/>
          <w:bCs/>
          <w:sz w:val="18"/>
          <w:szCs w:val="18"/>
        </w:rPr>
        <w:t xml:space="preserve"> </w:t>
      </w:r>
      <w:r w:rsidRPr="001E3C88">
        <w:rPr>
          <w:rFonts w:ascii="Arial" w:hAnsi="Arial" w:cs="Arial"/>
          <w:sz w:val="18"/>
          <w:szCs w:val="18"/>
        </w:rPr>
        <w:t>(United Nations 2021).</w:t>
      </w:r>
      <w:r w:rsidR="009F3F37">
        <w:rPr>
          <w:rFonts w:ascii="Arial" w:hAnsi="Arial" w:cs="Arial"/>
          <w:sz w:val="18"/>
          <w:szCs w:val="18"/>
        </w:rPr>
        <w:t xml:space="preserve"> </w:t>
      </w:r>
      <w:r w:rsidRPr="001E3C88">
        <w:rPr>
          <w:rFonts w:ascii="Arial" w:hAnsi="Arial" w:cs="Arial"/>
          <w:sz w:val="18"/>
          <w:szCs w:val="18"/>
        </w:rPr>
        <w:t>UN Women is a United Nations Organisation promoting the empowerment of women.</w:t>
      </w:r>
      <w:r w:rsidR="009F3F37">
        <w:rPr>
          <w:rFonts w:ascii="Arial" w:hAnsi="Arial" w:cs="Arial"/>
          <w:sz w:val="18"/>
          <w:szCs w:val="18"/>
        </w:rPr>
        <w:t xml:space="preserve"> </w:t>
      </w:r>
      <w:r w:rsidR="00512458">
        <w:rPr>
          <w:rFonts w:ascii="Arial" w:hAnsi="Arial" w:cs="Arial"/>
          <w:sz w:val="18"/>
          <w:szCs w:val="18"/>
        </w:rPr>
        <w:t xml:space="preserve">Available at: </w:t>
      </w:r>
      <w:hyperlink r:id="rId2" w:history="1">
        <w:r w:rsidR="00512458" w:rsidRPr="00E869E0">
          <w:rPr>
            <w:rStyle w:val="Hyperlink"/>
            <w:rFonts w:ascii="Arial" w:hAnsi="Arial" w:cs="Arial"/>
            <w:sz w:val="18"/>
            <w:szCs w:val="18"/>
          </w:rPr>
          <w:t>https://www.unwomen.org/en/about-us</w:t>
        </w:r>
      </w:hyperlink>
      <w:r w:rsidR="00512458">
        <w:rPr>
          <w:rFonts w:ascii="Arial" w:hAnsi="Arial" w:cs="Arial"/>
          <w:sz w:val="18"/>
          <w:szCs w:val="18"/>
        </w:rPr>
        <w:t xml:space="preserve"> </w:t>
      </w:r>
      <w:r w:rsidR="00512458" w:rsidRPr="00CE568F">
        <w:rPr>
          <w:rFonts w:ascii="Arial" w:hAnsi="Arial" w:cs="Arial"/>
          <w:sz w:val="18"/>
          <w:szCs w:val="18"/>
        </w:rPr>
        <w:t xml:space="preserve">(last accessed </w:t>
      </w:r>
      <w:r w:rsidR="00011BD2" w:rsidRPr="00CE568F">
        <w:rPr>
          <w:rFonts w:ascii="Arial" w:hAnsi="Arial" w:cs="Arial"/>
          <w:sz w:val="18"/>
          <w:szCs w:val="18"/>
        </w:rPr>
        <w:t>3 June 2024</w:t>
      </w:r>
      <w:r w:rsidR="00512458" w:rsidRPr="00CE568F">
        <w:rPr>
          <w:rFonts w:ascii="Arial" w:hAnsi="Arial" w:cs="Arial"/>
          <w:sz w:val="18"/>
          <w:szCs w:val="18"/>
        </w:rPr>
        <w:t>).</w:t>
      </w:r>
    </w:p>
  </w:footnote>
  <w:footnote w:id="6">
    <w:p w14:paraId="5A897BBF" w14:textId="086D18AB"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Girlguiding, </w:t>
      </w:r>
      <w:r w:rsidRPr="001E3C88">
        <w:rPr>
          <w:rFonts w:ascii="Arial" w:hAnsi="Arial" w:cs="Arial"/>
          <w:i/>
          <w:iCs/>
          <w:sz w:val="18"/>
          <w:szCs w:val="18"/>
        </w:rPr>
        <w:t xml:space="preserve">Research Briefing: It </w:t>
      </w:r>
      <w:r w:rsidR="00895EF8">
        <w:rPr>
          <w:rFonts w:ascii="Arial" w:hAnsi="Arial" w:cs="Arial"/>
          <w:i/>
          <w:iCs/>
          <w:sz w:val="18"/>
          <w:szCs w:val="18"/>
        </w:rPr>
        <w:t>H</w:t>
      </w:r>
      <w:r w:rsidRPr="001E3C88">
        <w:rPr>
          <w:rFonts w:ascii="Arial" w:hAnsi="Arial" w:cs="Arial"/>
          <w:i/>
          <w:iCs/>
          <w:sz w:val="18"/>
          <w:szCs w:val="18"/>
        </w:rPr>
        <w:t>appens all the Time</w:t>
      </w:r>
      <w:r w:rsidR="00895EF8">
        <w:rPr>
          <w:rFonts w:ascii="Arial" w:hAnsi="Arial" w:cs="Arial"/>
          <w:i/>
          <w:iCs/>
          <w:sz w:val="18"/>
          <w:szCs w:val="18"/>
        </w:rPr>
        <w:t>:</w:t>
      </w:r>
      <w:r w:rsidRPr="001E3C88">
        <w:rPr>
          <w:rFonts w:ascii="Arial" w:hAnsi="Arial" w:cs="Arial"/>
          <w:i/>
          <w:iCs/>
          <w:sz w:val="18"/>
          <w:szCs w:val="18"/>
        </w:rPr>
        <w:t xml:space="preserve"> Girls’ and Young Women’s Experiences of Sexual Harassment</w:t>
      </w:r>
      <w:r w:rsidRPr="001E3C88">
        <w:rPr>
          <w:rFonts w:ascii="Arial" w:hAnsi="Arial" w:cs="Arial"/>
          <w:sz w:val="18"/>
          <w:szCs w:val="18"/>
        </w:rPr>
        <w:t xml:space="preserve"> (Girlguiding, 2022).</w:t>
      </w:r>
    </w:p>
  </w:footnote>
  <w:footnote w:id="7">
    <w:p w14:paraId="651351BB" w14:textId="63FE64B7" w:rsidR="00800FB2" w:rsidRPr="001E3C88" w:rsidRDefault="00800FB2" w:rsidP="00800FB2">
      <w:pPr>
        <w:spacing w:after="0" w:line="240" w:lineRule="auto"/>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R</w:t>
      </w:r>
      <w:r w:rsidR="00011BD2">
        <w:rPr>
          <w:rFonts w:ascii="Arial" w:hAnsi="Arial" w:cs="Arial"/>
          <w:sz w:val="18"/>
          <w:szCs w:val="18"/>
        </w:rPr>
        <w:t>achel</w:t>
      </w:r>
      <w:r w:rsidRPr="001E3C88">
        <w:rPr>
          <w:rFonts w:ascii="Arial" w:hAnsi="Arial" w:cs="Arial"/>
          <w:sz w:val="18"/>
          <w:szCs w:val="18"/>
        </w:rPr>
        <w:t xml:space="preserve"> Obordo and J</w:t>
      </w:r>
      <w:r w:rsidR="00011BD2">
        <w:rPr>
          <w:rFonts w:ascii="Arial" w:hAnsi="Arial" w:cs="Arial"/>
          <w:sz w:val="18"/>
          <w:szCs w:val="18"/>
        </w:rPr>
        <w:t>edidajah</w:t>
      </w:r>
      <w:r w:rsidRPr="001E3C88">
        <w:rPr>
          <w:rFonts w:ascii="Arial" w:hAnsi="Arial" w:cs="Arial"/>
          <w:sz w:val="18"/>
          <w:szCs w:val="18"/>
        </w:rPr>
        <w:t xml:space="preserve"> Otte, ‘“I Stick to Well-lit and Busy Areas”: Women Share their Fears of Walking alone at Night’</w:t>
      </w:r>
      <w:r>
        <w:rPr>
          <w:rFonts w:ascii="Arial" w:hAnsi="Arial" w:cs="Arial"/>
          <w:sz w:val="18"/>
          <w:szCs w:val="18"/>
        </w:rPr>
        <w:t xml:space="preserve"> </w:t>
      </w:r>
      <w:r w:rsidRPr="001E3C88">
        <w:rPr>
          <w:rFonts w:ascii="Arial" w:hAnsi="Arial" w:cs="Arial"/>
          <w:i/>
          <w:iCs/>
          <w:sz w:val="18"/>
          <w:szCs w:val="18"/>
        </w:rPr>
        <w:t>The Guardian</w:t>
      </w:r>
      <w:r w:rsidRPr="001E3C88">
        <w:rPr>
          <w:rFonts w:ascii="Arial" w:hAnsi="Arial" w:cs="Arial"/>
          <w:sz w:val="18"/>
          <w:szCs w:val="18"/>
        </w:rPr>
        <w:t xml:space="preserve"> 11 March 2021</w:t>
      </w:r>
      <w:r w:rsidR="00895EF8">
        <w:rPr>
          <w:rFonts w:ascii="Arial" w:hAnsi="Arial" w:cs="Arial"/>
          <w:sz w:val="18"/>
          <w:szCs w:val="18"/>
        </w:rPr>
        <w:t xml:space="preserve">. Available at: </w:t>
      </w:r>
      <w:r w:rsidR="00011BD2">
        <w:rPr>
          <w:rFonts w:ascii="Arial" w:hAnsi="Arial" w:cs="Arial"/>
          <w:sz w:val="18"/>
          <w:szCs w:val="18"/>
        </w:rPr>
        <w:t xml:space="preserve"> </w:t>
      </w:r>
      <w:r w:rsidR="00011BD2" w:rsidRPr="00011BD2">
        <w:rPr>
          <w:rFonts w:ascii="Arial" w:hAnsi="Arial" w:cs="Arial"/>
          <w:sz w:val="18"/>
          <w:szCs w:val="18"/>
        </w:rPr>
        <w:t xml:space="preserve">https://www.theguardian.com/lifeandstyle/2021/mar/11/i-stick-to-well-lit-and-busy-areas-five-women-share-their-fears-on-walking-alone-at-night </w:t>
      </w:r>
      <w:r w:rsidR="00011BD2">
        <w:rPr>
          <w:rFonts w:ascii="Arial" w:hAnsi="Arial" w:cs="Arial"/>
          <w:sz w:val="18"/>
          <w:szCs w:val="18"/>
        </w:rPr>
        <w:t xml:space="preserve"> (last accessed 3 June 2024)</w:t>
      </w:r>
      <w:r w:rsidR="00CE568F">
        <w:rPr>
          <w:rFonts w:ascii="Arial" w:hAnsi="Arial" w:cs="Arial"/>
          <w:sz w:val="18"/>
          <w:szCs w:val="18"/>
        </w:rPr>
        <w:t>.</w:t>
      </w:r>
    </w:p>
  </w:footnote>
  <w:footnote w:id="8">
    <w:p w14:paraId="7B786F44" w14:textId="70B3C6C0"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H</w:t>
      </w:r>
      <w:r w:rsidR="00011BD2">
        <w:rPr>
          <w:rFonts w:ascii="Arial" w:hAnsi="Arial" w:cs="Arial"/>
          <w:sz w:val="18"/>
          <w:szCs w:val="18"/>
        </w:rPr>
        <w:t>ugh</w:t>
      </w:r>
      <w:r w:rsidRPr="001E3C88">
        <w:rPr>
          <w:rFonts w:ascii="Arial" w:hAnsi="Arial" w:cs="Arial"/>
          <w:sz w:val="18"/>
          <w:szCs w:val="18"/>
        </w:rPr>
        <w:t xml:space="preserve"> Breakey, ‘Positive Duties and Human Rights’ (2015) 63 </w:t>
      </w:r>
      <w:r w:rsidRPr="001E3C88">
        <w:rPr>
          <w:rFonts w:ascii="Arial" w:hAnsi="Arial" w:cs="Arial"/>
          <w:i/>
          <w:iCs/>
          <w:sz w:val="18"/>
          <w:szCs w:val="18"/>
        </w:rPr>
        <w:t>Political Studies</w:t>
      </w:r>
      <w:r w:rsidRPr="001E3C88">
        <w:rPr>
          <w:rFonts w:ascii="Arial" w:hAnsi="Arial" w:cs="Arial"/>
          <w:sz w:val="18"/>
          <w:szCs w:val="18"/>
        </w:rPr>
        <w:t xml:space="preserve"> 1198.</w:t>
      </w:r>
      <w:r w:rsidR="009F3F37">
        <w:rPr>
          <w:rFonts w:ascii="Arial" w:hAnsi="Arial" w:cs="Arial"/>
          <w:sz w:val="18"/>
          <w:szCs w:val="18"/>
        </w:rPr>
        <w:t xml:space="preserve"> </w:t>
      </w:r>
    </w:p>
  </w:footnote>
  <w:footnote w:id="9">
    <w:p w14:paraId="56517A3D" w14:textId="1C3591DF" w:rsidR="001E3C88" w:rsidRPr="001E3C88" w:rsidRDefault="001E3C88" w:rsidP="001E3C88">
      <w:pPr>
        <w:spacing w:after="0" w:line="240" w:lineRule="auto"/>
        <w:rPr>
          <w:rFonts w:ascii="Arial" w:hAnsi="Arial" w:cs="Arial"/>
          <w:sz w:val="18"/>
          <w:szCs w:val="18"/>
          <w:lang w:eastAsia="en-GB"/>
        </w:rPr>
      </w:pPr>
      <w:r w:rsidRPr="001E3C88">
        <w:rPr>
          <w:rStyle w:val="FootnoteReference"/>
          <w:rFonts w:ascii="Arial" w:hAnsi="Arial" w:cs="Arial"/>
          <w:sz w:val="18"/>
          <w:szCs w:val="18"/>
        </w:rPr>
        <w:footnoteRef/>
      </w:r>
      <w:r w:rsidRPr="001E3C88">
        <w:rPr>
          <w:rFonts w:ascii="Arial" w:hAnsi="Arial" w:cs="Arial"/>
          <w:sz w:val="18"/>
          <w:szCs w:val="18"/>
        </w:rPr>
        <w:t xml:space="preserve"> S</w:t>
      </w:r>
      <w:r w:rsidR="00011BD2">
        <w:rPr>
          <w:rFonts w:ascii="Arial" w:hAnsi="Arial" w:cs="Arial"/>
          <w:sz w:val="18"/>
          <w:szCs w:val="18"/>
        </w:rPr>
        <w:t>andra</w:t>
      </w:r>
      <w:r w:rsidRPr="001E3C88">
        <w:rPr>
          <w:rFonts w:ascii="Arial" w:hAnsi="Arial" w:cs="Arial"/>
          <w:sz w:val="18"/>
          <w:szCs w:val="18"/>
        </w:rPr>
        <w:t xml:space="preserve"> Fredman and M</w:t>
      </w:r>
      <w:r w:rsidR="00011BD2">
        <w:rPr>
          <w:rFonts w:ascii="Arial" w:hAnsi="Arial" w:cs="Arial"/>
          <w:sz w:val="18"/>
          <w:szCs w:val="18"/>
        </w:rPr>
        <w:t>eghan</w:t>
      </w:r>
      <w:r w:rsidRPr="001E3C88">
        <w:rPr>
          <w:rFonts w:ascii="Arial" w:hAnsi="Arial" w:cs="Arial"/>
          <w:sz w:val="18"/>
          <w:szCs w:val="18"/>
        </w:rPr>
        <w:t xml:space="preserve"> Campbell, </w:t>
      </w:r>
      <w:r w:rsidRPr="001E3C88">
        <w:rPr>
          <w:rFonts w:ascii="Arial" w:hAnsi="Arial" w:cs="Arial"/>
          <w:i/>
          <w:iCs/>
          <w:sz w:val="18"/>
          <w:szCs w:val="18"/>
          <w:lang w:eastAsia="en-GB"/>
        </w:rPr>
        <w:t>Social and Economic Rights and Constitutional Law</w:t>
      </w:r>
      <w:r w:rsidRPr="001E3C88">
        <w:rPr>
          <w:rFonts w:ascii="Arial" w:hAnsi="Arial" w:cs="Arial"/>
          <w:sz w:val="18"/>
          <w:szCs w:val="18"/>
          <w:lang w:eastAsia="en-GB"/>
        </w:rPr>
        <w:t xml:space="preserve"> (Edward Elgar, 2016).</w:t>
      </w:r>
    </w:p>
  </w:footnote>
  <w:footnote w:id="10">
    <w:p w14:paraId="0ECB5DCA" w14:textId="4E29D84D"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Pr="001E3C88">
        <w:rPr>
          <w:rStyle w:val="normaltextrun"/>
          <w:rFonts w:ascii="Arial" w:hAnsi="Arial" w:cs="Arial"/>
          <w:sz w:val="18"/>
          <w:szCs w:val="18"/>
        </w:rPr>
        <w:t>E</w:t>
      </w:r>
      <w:r w:rsidR="00011BD2">
        <w:rPr>
          <w:rStyle w:val="normaltextrun"/>
          <w:rFonts w:ascii="Arial" w:hAnsi="Arial" w:cs="Arial"/>
          <w:sz w:val="18"/>
          <w:szCs w:val="18"/>
        </w:rPr>
        <w:t>lif</w:t>
      </w:r>
      <w:r w:rsidRPr="001E3C88">
        <w:rPr>
          <w:rStyle w:val="normaltextrun"/>
          <w:rFonts w:ascii="Arial" w:hAnsi="Arial" w:cs="Arial"/>
          <w:sz w:val="18"/>
          <w:szCs w:val="18"/>
        </w:rPr>
        <w:t xml:space="preserve"> Ceylan</w:t>
      </w:r>
      <w:r w:rsidRPr="001E3C88">
        <w:rPr>
          <w:rStyle w:val="eop"/>
          <w:rFonts w:ascii="Arial" w:hAnsi="Arial" w:cs="Arial"/>
          <w:sz w:val="18"/>
          <w:szCs w:val="18"/>
        </w:rPr>
        <w:t xml:space="preserve"> </w:t>
      </w:r>
      <w:r w:rsidRPr="001E3C88">
        <w:rPr>
          <w:rStyle w:val="normaltextrun"/>
          <w:rFonts w:ascii="Arial" w:hAnsi="Arial" w:cs="Arial"/>
          <w:sz w:val="18"/>
          <w:szCs w:val="18"/>
        </w:rPr>
        <w:t>Özsoy</w:t>
      </w:r>
      <w:r w:rsidRPr="001E3C88">
        <w:rPr>
          <w:rFonts w:ascii="Arial" w:hAnsi="Arial" w:cs="Arial"/>
          <w:sz w:val="18"/>
          <w:szCs w:val="18"/>
        </w:rPr>
        <w:t xml:space="preserve">, ‘Critical Feminist Law-Making: Imitative Spaces and Improvised Coalitions’ (2022) 48 </w:t>
      </w:r>
      <w:r w:rsidRPr="001E3C88">
        <w:rPr>
          <w:rFonts w:ascii="Arial" w:hAnsi="Arial" w:cs="Arial"/>
          <w:i/>
          <w:iCs/>
          <w:sz w:val="18"/>
          <w:szCs w:val="18"/>
        </w:rPr>
        <w:t>Australian Feminist Law Journal</w:t>
      </w:r>
      <w:r w:rsidRPr="001E3C88">
        <w:rPr>
          <w:rFonts w:ascii="Arial" w:hAnsi="Arial" w:cs="Arial"/>
          <w:sz w:val="18"/>
          <w:szCs w:val="18"/>
        </w:rPr>
        <w:t xml:space="preserve"> 265.</w:t>
      </w:r>
    </w:p>
  </w:footnote>
  <w:footnote w:id="11">
    <w:p w14:paraId="2AD9C9E1" w14:textId="365BD5F8"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J</w:t>
      </w:r>
      <w:r w:rsidR="00011BD2">
        <w:rPr>
          <w:rFonts w:ascii="Arial" w:hAnsi="Arial" w:cs="Arial"/>
          <w:sz w:val="18"/>
          <w:szCs w:val="18"/>
        </w:rPr>
        <w:t>onathan</w:t>
      </w:r>
      <w:r w:rsidRPr="001E3C88">
        <w:rPr>
          <w:rFonts w:ascii="Arial" w:hAnsi="Arial" w:cs="Arial"/>
          <w:sz w:val="18"/>
          <w:szCs w:val="18"/>
        </w:rPr>
        <w:t xml:space="preserve"> Herring, </w:t>
      </w:r>
      <w:r w:rsidRPr="001E3C88">
        <w:rPr>
          <w:rFonts w:ascii="Arial" w:hAnsi="Arial" w:cs="Arial"/>
          <w:i/>
          <w:iCs/>
          <w:sz w:val="18"/>
          <w:szCs w:val="18"/>
        </w:rPr>
        <w:t>Domestic Abuse and Human Rights</w:t>
      </w:r>
      <w:r w:rsidRPr="001E3C88">
        <w:rPr>
          <w:rFonts w:ascii="Arial" w:hAnsi="Arial" w:cs="Arial"/>
          <w:sz w:val="18"/>
          <w:szCs w:val="18"/>
        </w:rPr>
        <w:t xml:space="preserve"> (Intersentia, 2022), which develops these arguments in the context of domestic abuse. </w:t>
      </w:r>
    </w:p>
  </w:footnote>
  <w:footnote w:id="12">
    <w:p w14:paraId="002278C3" w14:textId="77777777"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E.g. Council of Europe, </w:t>
      </w:r>
      <w:r w:rsidRPr="001E3C88">
        <w:rPr>
          <w:rFonts w:ascii="Arial" w:hAnsi="Arial" w:cs="Arial"/>
          <w:i/>
          <w:iCs/>
          <w:sz w:val="18"/>
          <w:szCs w:val="18"/>
        </w:rPr>
        <w:t xml:space="preserve">The Council of Europe Convention on Preventing and Combating Violence against Women and Domestic Violence </w:t>
      </w:r>
      <w:r w:rsidRPr="001E3C88">
        <w:rPr>
          <w:rFonts w:ascii="Arial" w:hAnsi="Arial" w:cs="Arial"/>
          <w:sz w:val="18"/>
          <w:szCs w:val="18"/>
        </w:rPr>
        <w:t xml:space="preserve">(Council of Europe, 2014) [The Istanbul Convention]; United Nations, </w:t>
      </w:r>
      <w:r w:rsidRPr="001E3C88">
        <w:rPr>
          <w:rFonts w:ascii="Arial" w:hAnsi="Arial" w:cs="Arial"/>
          <w:i/>
          <w:iCs/>
          <w:sz w:val="18"/>
          <w:szCs w:val="18"/>
        </w:rPr>
        <w:t>Universal Declaration of Human Rights</w:t>
      </w:r>
      <w:r w:rsidRPr="001E3C88">
        <w:rPr>
          <w:rFonts w:ascii="Arial" w:hAnsi="Arial" w:cs="Arial"/>
          <w:sz w:val="18"/>
          <w:szCs w:val="18"/>
        </w:rPr>
        <w:t xml:space="preserve"> (United Nations, 1948). </w:t>
      </w:r>
    </w:p>
  </w:footnote>
  <w:footnote w:id="13">
    <w:p w14:paraId="457F70E9" w14:textId="77777777" w:rsidR="001E3C88" w:rsidRPr="001E3C88" w:rsidRDefault="001E3C88" w:rsidP="001E3C88">
      <w:pPr>
        <w:spacing w:after="0" w:line="240" w:lineRule="auto"/>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Pr="001E3C88">
        <w:rPr>
          <w:rFonts w:ascii="Arial" w:hAnsi="Arial" w:cs="Arial"/>
          <w:i/>
          <w:iCs/>
          <w:sz w:val="18"/>
          <w:szCs w:val="18"/>
        </w:rPr>
        <w:t xml:space="preserve">Kongrovà v Slovakia </w:t>
      </w:r>
      <w:r w:rsidRPr="001E3C88">
        <w:rPr>
          <w:rFonts w:ascii="Arial" w:hAnsi="Arial" w:cs="Arial"/>
          <w:sz w:val="18"/>
          <w:szCs w:val="18"/>
        </w:rPr>
        <w:t>(Application no. 7510/04).</w:t>
      </w:r>
    </w:p>
  </w:footnote>
  <w:footnote w:id="14">
    <w:p w14:paraId="451B6A98" w14:textId="77777777"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Pr="001E3C88">
        <w:rPr>
          <w:rFonts w:ascii="Arial" w:hAnsi="Arial" w:cs="Arial"/>
          <w:i/>
          <w:iCs/>
          <w:sz w:val="18"/>
          <w:szCs w:val="18"/>
        </w:rPr>
        <w:t>Osman v UK</w:t>
      </w:r>
      <w:r w:rsidRPr="001E3C88">
        <w:rPr>
          <w:rFonts w:ascii="Arial" w:hAnsi="Arial" w:cs="Arial"/>
          <w:sz w:val="18"/>
          <w:szCs w:val="18"/>
        </w:rPr>
        <w:t xml:space="preserve"> (1998) 29 </w:t>
      </w:r>
      <w:r w:rsidRPr="001E3C88">
        <w:rPr>
          <w:rStyle w:val="Emphasis"/>
          <w:rFonts w:ascii="Arial" w:hAnsi="Arial" w:cs="Arial"/>
          <w:i w:val="0"/>
          <w:iCs w:val="0"/>
          <w:sz w:val="18"/>
          <w:szCs w:val="18"/>
        </w:rPr>
        <w:t>EHRR</w:t>
      </w:r>
      <w:r w:rsidRPr="001E3C88">
        <w:rPr>
          <w:rFonts w:ascii="Arial" w:hAnsi="Arial" w:cs="Arial"/>
          <w:i/>
          <w:iCs/>
          <w:sz w:val="18"/>
          <w:szCs w:val="18"/>
        </w:rPr>
        <w:t xml:space="preserve"> </w:t>
      </w:r>
      <w:r w:rsidRPr="001E3C88">
        <w:rPr>
          <w:rFonts w:ascii="Arial" w:hAnsi="Arial" w:cs="Arial"/>
          <w:sz w:val="18"/>
          <w:szCs w:val="18"/>
        </w:rPr>
        <w:t>245.</w:t>
      </w:r>
    </w:p>
  </w:footnote>
  <w:footnote w:id="15">
    <w:p w14:paraId="2FF4A557" w14:textId="77777777" w:rsidR="007F131C" w:rsidRPr="001E3C88" w:rsidRDefault="007F131C" w:rsidP="007F131C">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Application no. 47916/99, 6 May 2003. </w:t>
      </w:r>
    </w:p>
  </w:footnote>
  <w:footnote w:id="16">
    <w:p w14:paraId="57BFDBD5" w14:textId="77777777"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Office for National Statistics, </w:t>
      </w:r>
      <w:r w:rsidRPr="001E3C88">
        <w:rPr>
          <w:rFonts w:ascii="Arial" w:hAnsi="Arial" w:cs="Arial"/>
          <w:i/>
          <w:iCs/>
          <w:sz w:val="18"/>
          <w:szCs w:val="18"/>
        </w:rPr>
        <w:t>Homicide in England and Wales</w:t>
      </w:r>
      <w:r w:rsidRPr="001E3C88">
        <w:rPr>
          <w:rFonts w:ascii="Arial" w:hAnsi="Arial" w:cs="Arial"/>
          <w:sz w:val="18"/>
          <w:szCs w:val="18"/>
        </w:rPr>
        <w:t xml:space="preserve"> (ONS, 2023).</w:t>
      </w:r>
    </w:p>
  </w:footnote>
  <w:footnote w:id="17">
    <w:p w14:paraId="76617243" w14:textId="77777777"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Pr="001E3C88">
        <w:rPr>
          <w:rFonts w:ascii="Arial" w:hAnsi="Arial" w:cs="Arial"/>
          <w:i/>
          <w:iCs/>
          <w:sz w:val="18"/>
          <w:szCs w:val="18"/>
        </w:rPr>
        <w:t>Chahal v the United Kingdom</w:t>
      </w:r>
      <w:r w:rsidRPr="001E3C88">
        <w:rPr>
          <w:rFonts w:ascii="Arial" w:hAnsi="Arial" w:cs="Arial"/>
          <w:sz w:val="18"/>
          <w:szCs w:val="18"/>
        </w:rPr>
        <w:t xml:space="preserve"> [1997] 23 EHRR 79.</w:t>
      </w:r>
    </w:p>
  </w:footnote>
  <w:footnote w:id="18">
    <w:p w14:paraId="13696629" w14:textId="70A65FE0"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Pr="001E3C88">
        <w:rPr>
          <w:rStyle w:val="Emphasis"/>
          <w:rFonts w:ascii="Arial" w:hAnsi="Arial" w:cs="Arial"/>
          <w:sz w:val="18"/>
          <w:szCs w:val="18"/>
        </w:rPr>
        <w:t xml:space="preserve">Commissioner of Police of the Metropolis v DSD </w:t>
      </w:r>
      <w:r w:rsidRPr="001E3C88">
        <w:rPr>
          <w:rFonts w:ascii="Arial" w:hAnsi="Arial" w:cs="Arial"/>
          <w:sz w:val="18"/>
          <w:szCs w:val="18"/>
        </w:rPr>
        <w:t>[2018] UKSC 11</w:t>
      </w:r>
      <w:r w:rsidR="00895EF8">
        <w:rPr>
          <w:rFonts w:ascii="Arial" w:hAnsi="Arial" w:cs="Arial"/>
          <w:sz w:val="18"/>
          <w:szCs w:val="18"/>
        </w:rPr>
        <w:t>.</w:t>
      </w:r>
    </w:p>
  </w:footnote>
  <w:footnote w:id="19">
    <w:p w14:paraId="4D80E313" w14:textId="77777777" w:rsidR="001E3C88" w:rsidRPr="001E3C88" w:rsidRDefault="001E3C88" w:rsidP="001E3C88">
      <w:pPr>
        <w:spacing w:after="0" w:line="240" w:lineRule="auto"/>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Office for National Statistics, </w:t>
      </w:r>
      <w:r w:rsidRPr="001E3C88">
        <w:rPr>
          <w:rFonts w:ascii="Arial" w:hAnsi="Arial" w:cs="Arial"/>
          <w:i/>
          <w:iCs/>
          <w:sz w:val="18"/>
          <w:szCs w:val="18"/>
        </w:rPr>
        <w:t>Nature of Sexual Assault by Rape or Penetration, England and Wales: year ending March 2020</w:t>
      </w:r>
      <w:r w:rsidRPr="001E3C88">
        <w:rPr>
          <w:rFonts w:ascii="Arial" w:hAnsi="Arial" w:cs="Arial"/>
          <w:sz w:val="18"/>
          <w:szCs w:val="18"/>
        </w:rPr>
        <w:t xml:space="preserve"> (ONS, 2022).</w:t>
      </w:r>
    </w:p>
  </w:footnote>
  <w:footnote w:id="20">
    <w:p w14:paraId="649421DF" w14:textId="084CF36C"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008156CF">
        <w:rPr>
          <w:rFonts w:ascii="Arial" w:hAnsi="Arial" w:cs="Arial"/>
          <w:sz w:val="18"/>
          <w:szCs w:val="18"/>
        </w:rPr>
        <w:t>Rape Crisis, ‘Rape and Sexual Assault Statistics’</w:t>
      </w:r>
      <w:r w:rsidR="00895EF8">
        <w:rPr>
          <w:rFonts w:ascii="Arial" w:hAnsi="Arial" w:cs="Arial"/>
          <w:sz w:val="18"/>
          <w:szCs w:val="18"/>
        </w:rPr>
        <w:t xml:space="preserve">. Available at: </w:t>
      </w:r>
      <w:hyperlink r:id="rId3" w:history="1">
        <w:r w:rsidR="00895EF8" w:rsidRPr="00085D9E">
          <w:rPr>
            <w:rStyle w:val="Hyperlink"/>
            <w:rFonts w:ascii="Arial" w:hAnsi="Arial" w:cs="Arial"/>
            <w:sz w:val="18"/>
            <w:szCs w:val="18"/>
          </w:rPr>
          <w:t>https://rapecrisis.org.uk/get-informed/statistics-sexual-violence/</w:t>
        </w:r>
      </w:hyperlink>
      <w:r w:rsidR="008156CF">
        <w:rPr>
          <w:rFonts w:ascii="Arial" w:hAnsi="Arial" w:cs="Arial"/>
          <w:sz w:val="18"/>
          <w:szCs w:val="18"/>
        </w:rPr>
        <w:t xml:space="preserve"> (accessed 3 June 2024).</w:t>
      </w:r>
    </w:p>
  </w:footnote>
  <w:footnote w:id="21">
    <w:p w14:paraId="21E45D47" w14:textId="0B232A9D"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Pr="001E3C88">
        <w:rPr>
          <w:rFonts w:ascii="Arial" w:hAnsi="Arial" w:cs="Arial"/>
          <w:i/>
          <w:iCs/>
          <w:sz w:val="18"/>
          <w:szCs w:val="18"/>
        </w:rPr>
        <w:t>Ireland v the United Kingdom</w:t>
      </w:r>
      <w:r w:rsidRPr="001E3C88">
        <w:rPr>
          <w:rFonts w:ascii="Arial" w:hAnsi="Arial" w:cs="Arial"/>
          <w:sz w:val="18"/>
          <w:szCs w:val="18"/>
        </w:rPr>
        <w:t xml:space="preserve"> 2 EHRR 25.</w:t>
      </w:r>
    </w:p>
  </w:footnote>
  <w:footnote w:id="22">
    <w:p w14:paraId="50DB2A88" w14:textId="32286CBB"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Pr="001E3C88">
        <w:rPr>
          <w:rFonts w:ascii="Arial" w:hAnsi="Arial" w:cs="Arial"/>
          <w:i/>
          <w:iCs/>
          <w:sz w:val="18"/>
          <w:szCs w:val="18"/>
        </w:rPr>
        <w:t>Wieser v. Austria</w:t>
      </w:r>
      <w:r w:rsidRPr="001E3C88">
        <w:rPr>
          <w:rFonts w:ascii="Arial" w:hAnsi="Arial" w:cs="Arial"/>
          <w:sz w:val="18"/>
          <w:szCs w:val="18"/>
        </w:rPr>
        <w:t xml:space="preserve"> Application no. 2293/03, </w:t>
      </w:r>
      <w:r w:rsidR="00895EF8">
        <w:rPr>
          <w:rFonts w:ascii="Arial" w:hAnsi="Arial" w:cs="Arial"/>
          <w:sz w:val="18"/>
          <w:szCs w:val="18"/>
        </w:rPr>
        <w:t>[</w:t>
      </w:r>
      <w:r w:rsidRPr="001E3C88">
        <w:rPr>
          <w:rFonts w:ascii="Arial" w:hAnsi="Arial" w:cs="Arial"/>
          <w:sz w:val="18"/>
          <w:szCs w:val="18"/>
        </w:rPr>
        <w:t>36</w:t>
      </w:r>
      <w:r w:rsidR="00895EF8">
        <w:rPr>
          <w:rFonts w:ascii="Arial" w:hAnsi="Arial" w:cs="Arial"/>
          <w:sz w:val="18"/>
          <w:szCs w:val="18"/>
        </w:rPr>
        <w:t>]</w:t>
      </w:r>
      <w:r w:rsidRPr="001E3C88">
        <w:rPr>
          <w:rFonts w:ascii="Arial" w:hAnsi="Arial" w:cs="Arial"/>
          <w:sz w:val="18"/>
          <w:szCs w:val="18"/>
        </w:rPr>
        <w:t xml:space="preserve">; </w:t>
      </w:r>
      <w:r w:rsidRPr="001E3C88">
        <w:rPr>
          <w:rFonts w:ascii="Arial" w:hAnsi="Arial" w:cs="Arial"/>
          <w:i/>
          <w:sz w:val="18"/>
          <w:szCs w:val="18"/>
        </w:rPr>
        <w:t>Dordevic v Croatia</w:t>
      </w:r>
      <w:r w:rsidRPr="001E3C88">
        <w:rPr>
          <w:rFonts w:ascii="Arial" w:hAnsi="Arial" w:cs="Arial"/>
          <w:sz w:val="18"/>
          <w:szCs w:val="18"/>
        </w:rPr>
        <w:t xml:space="preserve"> (2012) EHRR 1640, </w:t>
      </w:r>
      <w:r w:rsidR="00895EF8">
        <w:rPr>
          <w:rFonts w:ascii="Arial" w:hAnsi="Arial" w:cs="Arial"/>
          <w:sz w:val="18"/>
          <w:szCs w:val="18"/>
        </w:rPr>
        <w:t>[</w:t>
      </w:r>
      <w:r w:rsidRPr="001E3C88">
        <w:rPr>
          <w:rFonts w:ascii="Arial" w:hAnsi="Arial" w:cs="Arial"/>
          <w:sz w:val="18"/>
          <w:szCs w:val="18"/>
        </w:rPr>
        <w:t>95</w:t>
      </w:r>
      <w:r w:rsidR="00895EF8">
        <w:rPr>
          <w:rFonts w:ascii="Arial" w:hAnsi="Arial" w:cs="Arial"/>
          <w:sz w:val="18"/>
          <w:szCs w:val="18"/>
        </w:rPr>
        <w:t>].</w:t>
      </w:r>
    </w:p>
  </w:footnote>
  <w:footnote w:id="23">
    <w:p w14:paraId="02FB9706" w14:textId="2FE49EA1" w:rsidR="001E3C88" w:rsidRPr="001E3C88" w:rsidRDefault="001E3C88" w:rsidP="001E3C88">
      <w:pPr>
        <w:autoSpaceDE w:val="0"/>
        <w:autoSpaceDN w:val="0"/>
        <w:adjustRightInd w:val="0"/>
        <w:snapToGrid w:val="0"/>
        <w:spacing w:after="0" w:line="240" w:lineRule="auto"/>
        <w:rPr>
          <w:rFonts w:ascii="Arial" w:hAnsi="Arial" w:cs="Arial"/>
          <w:color w:val="000000"/>
          <w:sz w:val="18"/>
          <w:szCs w:val="18"/>
          <w:lang w:val="x-none"/>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008156CF">
        <w:rPr>
          <w:rFonts w:ascii="Arial" w:hAnsi="Arial" w:cs="Arial"/>
          <w:sz w:val="18"/>
          <w:szCs w:val="18"/>
        </w:rPr>
        <w:t xml:space="preserve">Application 33234/07, </w:t>
      </w:r>
      <w:r w:rsidR="00895EF8">
        <w:rPr>
          <w:rFonts w:ascii="Arial" w:hAnsi="Arial" w:cs="Arial"/>
          <w:sz w:val="18"/>
          <w:szCs w:val="18"/>
        </w:rPr>
        <w:t>[</w:t>
      </w:r>
      <w:r w:rsidR="008156CF">
        <w:rPr>
          <w:rFonts w:ascii="Arial" w:hAnsi="Arial" w:cs="Arial"/>
          <w:sz w:val="18"/>
          <w:szCs w:val="18"/>
        </w:rPr>
        <w:t>66</w:t>
      </w:r>
      <w:r w:rsidR="00895EF8">
        <w:rPr>
          <w:rFonts w:ascii="Arial" w:hAnsi="Arial" w:cs="Arial"/>
          <w:sz w:val="18"/>
          <w:szCs w:val="18"/>
        </w:rPr>
        <w:t>]</w:t>
      </w:r>
      <w:r w:rsidR="008156CF">
        <w:rPr>
          <w:rFonts w:ascii="Arial" w:hAnsi="Arial" w:cs="Arial"/>
          <w:sz w:val="18"/>
          <w:szCs w:val="18"/>
        </w:rPr>
        <w:t xml:space="preserve">, discussed in </w:t>
      </w:r>
      <w:r w:rsidRPr="001E3C88">
        <w:rPr>
          <w:rFonts w:ascii="Arial" w:hAnsi="Arial" w:cs="Arial"/>
          <w:color w:val="000000"/>
          <w:sz w:val="18"/>
          <w:szCs w:val="18"/>
          <w:lang w:val="x-none"/>
        </w:rPr>
        <w:t>R</w:t>
      </w:r>
      <w:r w:rsidR="00011BD2">
        <w:rPr>
          <w:rFonts w:ascii="Arial" w:hAnsi="Arial" w:cs="Arial"/>
          <w:color w:val="000000"/>
          <w:sz w:val="18"/>
          <w:szCs w:val="18"/>
          <w:lang w:val="x-none"/>
        </w:rPr>
        <w:t>onagh</w:t>
      </w:r>
      <w:r w:rsidRPr="001E3C88">
        <w:rPr>
          <w:rFonts w:ascii="Arial" w:hAnsi="Arial" w:cs="Arial"/>
          <w:color w:val="000000"/>
          <w:sz w:val="18"/>
          <w:szCs w:val="18"/>
          <w:lang w:val="x-none"/>
        </w:rPr>
        <w:t xml:space="preserve"> Mc</w:t>
      </w:r>
      <w:r w:rsidRPr="001E3C88">
        <w:rPr>
          <w:rFonts w:ascii="Arial" w:hAnsi="Arial" w:cs="Arial"/>
          <w:color w:val="000000"/>
          <w:sz w:val="18"/>
          <w:szCs w:val="18"/>
        </w:rPr>
        <w:t>Q</w:t>
      </w:r>
      <w:r w:rsidRPr="001E3C88">
        <w:rPr>
          <w:rFonts w:ascii="Arial" w:hAnsi="Arial" w:cs="Arial"/>
          <w:color w:val="000000"/>
          <w:sz w:val="18"/>
          <w:szCs w:val="18"/>
          <w:lang w:val="x-none"/>
        </w:rPr>
        <w:t xml:space="preserve">uigg, </w:t>
      </w:r>
      <w:r w:rsidRPr="001E3C88">
        <w:rPr>
          <w:rFonts w:ascii="Arial" w:hAnsi="Arial" w:cs="Arial"/>
          <w:color w:val="000000"/>
          <w:sz w:val="18"/>
          <w:szCs w:val="18"/>
        </w:rPr>
        <w:t>‘</w:t>
      </w:r>
      <w:r w:rsidRPr="001E3C88">
        <w:rPr>
          <w:rFonts w:ascii="Arial" w:hAnsi="Arial" w:cs="Arial"/>
          <w:color w:val="000000"/>
          <w:sz w:val="18"/>
          <w:szCs w:val="18"/>
          <w:lang w:val="x-none"/>
        </w:rPr>
        <w:t>The European Court of Human Rights and</w:t>
      </w:r>
      <w:r w:rsidRPr="001E3C88">
        <w:rPr>
          <w:rFonts w:ascii="Arial" w:hAnsi="Arial" w:cs="Arial"/>
          <w:color w:val="000000"/>
          <w:sz w:val="18"/>
          <w:szCs w:val="18"/>
          <w:lang w:val="en-US"/>
        </w:rPr>
        <w:t xml:space="preserve"> </w:t>
      </w:r>
      <w:r w:rsidRPr="001E3C88">
        <w:rPr>
          <w:rFonts w:ascii="Arial" w:hAnsi="Arial" w:cs="Arial"/>
          <w:color w:val="000000"/>
          <w:sz w:val="18"/>
          <w:szCs w:val="18"/>
        </w:rPr>
        <w:t>D</w:t>
      </w:r>
      <w:r w:rsidRPr="001E3C88">
        <w:rPr>
          <w:rFonts w:ascii="Arial" w:hAnsi="Arial" w:cs="Arial"/>
          <w:color w:val="000000"/>
          <w:sz w:val="18"/>
          <w:szCs w:val="18"/>
          <w:lang w:val="x-none"/>
        </w:rPr>
        <w:t xml:space="preserve">omestic </w:t>
      </w:r>
      <w:r w:rsidRPr="001E3C88">
        <w:rPr>
          <w:rFonts w:ascii="Arial" w:hAnsi="Arial" w:cs="Arial"/>
          <w:color w:val="000000"/>
          <w:sz w:val="18"/>
          <w:szCs w:val="18"/>
        </w:rPr>
        <w:t>V</w:t>
      </w:r>
      <w:r w:rsidRPr="001E3C88">
        <w:rPr>
          <w:rFonts w:ascii="Arial" w:hAnsi="Arial" w:cs="Arial"/>
          <w:color w:val="000000"/>
          <w:sz w:val="18"/>
          <w:szCs w:val="18"/>
          <w:lang w:val="x-none"/>
        </w:rPr>
        <w:t xml:space="preserve">iolence: </w:t>
      </w:r>
      <w:r w:rsidRPr="001E3C88">
        <w:rPr>
          <w:rFonts w:ascii="Arial" w:hAnsi="Arial" w:cs="Arial"/>
          <w:i/>
          <w:iCs/>
          <w:color w:val="000000"/>
          <w:sz w:val="18"/>
          <w:szCs w:val="18"/>
          <w:lang w:val="x-none"/>
        </w:rPr>
        <w:t>Valiuliene v. Lithuania</w:t>
      </w:r>
      <w:r w:rsidRPr="001E3C88">
        <w:rPr>
          <w:rFonts w:ascii="Arial" w:hAnsi="Arial" w:cs="Arial"/>
          <w:color w:val="000000"/>
          <w:sz w:val="18"/>
          <w:szCs w:val="18"/>
          <w:lang w:val="x-none"/>
        </w:rPr>
        <w:t xml:space="preserve">’ </w:t>
      </w:r>
      <w:r w:rsidRPr="001E3C88">
        <w:rPr>
          <w:rFonts w:ascii="Arial" w:hAnsi="Arial" w:cs="Arial"/>
          <w:color w:val="000000"/>
          <w:sz w:val="18"/>
          <w:szCs w:val="18"/>
        </w:rPr>
        <w:t xml:space="preserve">(2014) 18 </w:t>
      </w:r>
      <w:r w:rsidRPr="001E3C88">
        <w:rPr>
          <w:rFonts w:ascii="Arial" w:hAnsi="Arial" w:cs="Arial"/>
          <w:i/>
          <w:color w:val="000000"/>
          <w:sz w:val="18"/>
          <w:szCs w:val="18"/>
          <w:lang w:val="x-none"/>
        </w:rPr>
        <w:t>The International Journal of Human Rights</w:t>
      </w:r>
      <w:r w:rsidRPr="001E3C88">
        <w:rPr>
          <w:rFonts w:ascii="Arial" w:hAnsi="Arial" w:cs="Arial"/>
          <w:color w:val="000000"/>
          <w:sz w:val="18"/>
          <w:szCs w:val="18"/>
        </w:rPr>
        <w:t xml:space="preserve"> </w:t>
      </w:r>
      <w:r w:rsidRPr="001E3C88">
        <w:rPr>
          <w:rFonts w:ascii="Arial" w:hAnsi="Arial" w:cs="Arial"/>
          <w:color w:val="000000"/>
          <w:sz w:val="18"/>
          <w:szCs w:val="18"/>
          <w:lang w:val="x-none"/>
        </w:rPr>
        <w:t>756.</w:t>
      </w:r>
    </w:p>
  </w:footnote>
  <w:footnote w:id="24">
    <w:p w14:paraId="08DD7F13" w14:textId="14E296ED"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S</w:t>
      </w:r>
      <w:r w:rsidR="00011BD2">
        <w:rPr>
          <w:rFonts w:ascii="Arial" w:hAnsi="Arial" w:cs="Arial"/>
          <w:sz w:val="18"/>
          <w:szCs w:val="18"/>
        </w:rPr>
        <w:t>hazia</w:t>
      </w:r>
      <w:r w:rsidRPr="001E3C88">
        <w:rPr>
          <w:rFonts w:ascii="Arial" w:hAnsi="Arial" w:cs="Arial"/>
          <w:sz w:val="18"/>
          <w:szCs w:val="18"/>
        </w:rPr>
        <w:t xml:space="preserve"> Choudhry and J</w:t>
      </w:r>
      <w:r w:rsidR="00011BD2">
        <w:rPr>
          <w:rFonts w:ascii="Arial" w:hAnsi="Arial" w:cs="Arial"/>
          <w:sz w:val="18"/>
          <w:szCs w:val="18"/>
        </w:rPr>
        <w:t>onathan</w:t>
      </w:r>
      <w:r w:rsidRPr="001E3C88">
        <w:rPr>
          <w:rFonts w:ascii="Arial" w:hAnsi="Arial" w:cs="Arial"/>
          <w:sz w:val="18"/>
          <w:szCs w:val="18"/>
        </w:rPr>
        <w:t xml:space="preserve"> Herring, </w:t>
      </w:r>
      <w:r w:rsidRPr="001E3C88">
        <w:rPr>
          <w:rFonts w:ascii="Arial" w:hAnsi="Arial" w:cs="Arial"/>
          <w:i/>
          <w:sz w:val="18"/>
          <w:szCs w:val="18"/>
        </w:rPr>
        <w:t xml:space="preserve">European Human Rights and Family Law </w:t>
      </w:r>
      <w:r w:rsidRPr="001E3C88">
        <w:rPr>
          <w:rFonts w:ascii="Arial" w:hAnsi="Arial" w:cs="Arial"/>
          <w:iCs/>
          <w:sz w:val="18"/>
          <w:szCs w:val="18"/>
        </w:rPr>
        <w:t>(Hart</w:t>
      </w:r>
      <w:r w:rsidRPr="001E3C88">
        <w:rPr>
          <w:rFonts w:ascii="Arial" w:hAnsi="Arial" w:cs="Arial"/>
          <w:sz w:val="18"/>
          <w:szCs w:val="18"/>
        </w:rPr>
        <w:t>, 2010), ch 2.</w:t>
      </w:r>
    </w:p>
  </w:footnote>
  <w:footnote w:id="25">
    <w:p w14:paraId="3460B0BB" w14:textId="77777777"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Pr="001E3C88">
        <w:rPr>
          <w:rFonts w:ascii="Arial" w:hAnsi="Arial" w:cs="Arial"/>
          <w:i/>
          <w:sz w:val="18"/>
          <w:szCs w:val="18"/>
        </w:rPr>
        <w:t xml:space="preserve">Mudric v Moldova </w:t>
      </w:r>
      <w:r w:rsidRPr="001E3C88">
        <w:rPr>
          <w:rFonts w:ascii="Arial" w:hAnsi="Arial" w:cs="Arial"/>
          <w:sz w:val="18"/>
          <w:szCs w:val="18"/>
        </w:rPr>
        <w:t xml:space="preserve">Application no. 74839/10; </w:t>
      </w:r>
      <w:r w:rsidRPr="001E3C88">
        <w:rPr>
          <w:rFonts w:ascii="Arial" w:hAnsi="Arial" w:cs="Arial"/>
          <w:i/>
          <w:sz w:val="18"/>
          <w:szCs w:val="18"/>
        </w:rPr>
        <w:t>Talpis v Italy</w:t>
      </w:r>
      <w:r w:rsidRPr="001E3C88">
        <w:rPr>
          <w:rFonts w:ascii="Arial" w:hAnsi="Arial" w:cs="Arial"/>
          <w:sz w:val="18"/>
          <w:szCs w:val="18"/>
        </w:rPr>
        <w:t xml:space="preserve"> Application no. 41237/14.</w:t>
      </w:r>
    </w:p>
  </w:footnote>
  <w:footnote w:id="26">
    <w:p w14:paraId="7C68C293" w14:textId="4AF1F2D5"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Pr="001E3C88">
        <w:rPr>
          <w:rFonts w:ascii="Arial" w:hAnsi="Arial" w:cs="Arial"/>
          <w:i/>
          <w:sz w:val="18"/>
          <w:szCs w:val="18"/>
        </w:rPr>
        <w:t>Dordevic v Croatia</w:t>
      </w:r>
      <w:r w:rsidR="00A737F7">
        <w:rPr>
          <w:rFonts w:ascii="Arial" w:hAnsi="Arial" w:cs="Arial"/>
          <w:sz w:val="18"/>
          <w:szCs w:val="18"/>
        </w:rPr>
        <w:t>, n 22 above,</w:t>
      </w:r>
      <w:r w:rsidRPr="001E3C88">
        <w:rPr>
          <w:rFonts w:ascii="Arial" w:hAnsi="Arial" w:cs="Arial"/>
          <w:sz w:val="18"/>
          <w:szCs w:val="18"/>
        </w:rPr>
        <w:t xml:space="preserve"> </w:t>
      </w:r>
      <w:r w:rsidR="00895EF8">
        <w:rPr>
          <w:rFonts w:ascii="Arial" w:hAnsi="Arial" w:cs="Arial"/>
          <w:sz w:val="18"/>
          <w:szCs w:val="18"/>
        </w:rPr>
        <w:t>[</w:t>
      </w:r>
      <w:r w:rsidRPr="001E3C88">
        <w:rPr>
          <w:rFonts w:ascii="Arial" w:hAnsi="Arial" w:cs="Arial"/>
          <w:sz w:val="18"/>
          <w:szCs w:val="18"/>
        </w:rPr>
        <w:t>96</w:t>
      </w:r>
      <w:r w:rsidR="00895EF8">
        <w:rPr>
          <w:rFonts w:ascii="Arial" w:hAnsi="Arial" w:cs="Arial"/>
          <w:sz w:val="18"/>
          <w:szCs w:val="18"/>
        </w:rPr>
        <w:t>]</w:t>
      </w:r>
      <w:r w:rsidRPr="001E3C88">
        <w:rPr>
          <w:rFonts w:ascii="Arial" w:hAnsi="Arial" w:cs="Arial"/>
          <w:sz w:val="18"/>
          <w:szCs w:val="18"/>
        </w:rPr>
        <w:t>.</w:t>
      </w:r>
    </w:p>
  </w:footnote>
  <w:footnote w:id="27">
    <w:p w14:paraId="0AB1436C" w14:textId="77777777" w:rsidR="00605D59" w:rsidRPr="001E3C88" w:rsidRDefault="00605D59" w:rsidP="00605D59">
      <w:pPr>
        <w:spacing w:after="0" w:line="240" w:lineRule="auto"/>
        <w:rPr>
          <w:rFonts w:ascii="Arial" w:hAnsi="Arial" w:cs="Arial"/>
          <w:sz w:val="18"/>
          <w:szCs w:val="18"/>
          <w:lang w:eastAsia="en-GB"/>
        </w:rPr>
      </w:pPr>
      <w:r w:rsidRPr="001E3C88">
        <w:rPr>
          <w:rStyle w:val="FootnoteReference"/>
          <w:rFonts w:ascii="Arial" w:hAnsi="Arial" w:cs="Arial"/>
          <w:sz w:val="18"/>
          <w:szCs w:val="18"/>
        </w:rPr>
        <w:footnoteRef/>
      </w:r>
      <w:r w:rsidRPr="001E3C88">
        <w:rPr>
          <w:rFonts w:ascii="Arial" w:hAnsi="Arial" w:cs="Arial"/>
          <w:sz w:val="18"/>
          <w:szCs w:val="18"/>
        </w:rPr>
        <w:t xml:space="preserve"> The Victims Commissioner, </w:t>
      </w:r>
      <w:r w:rsidRPr="001E3C88">
        <w:rPr>
          <w:rFonts w:ascii="Arial" w:hAnsi="Arial" w:cs="Arial"/>
          <w:i/>
          <w:iCs/>
          <w:sz w:val="18"/>
          <w:szCs w:val="18"/>
          <w:lang w:eastAsia="en-GB"/>
        </w:rPr>
        <w:t>The Distressing Truth is that if you are Raped in Britain Today, Your Chances of Seeing Justice are Slim</w:t>
      </w:r>
      <w:r w:rsidRPr="001E3C88">
        <w:rPr>
          <w:rFonts w:ascii="Arial" w:hAnsi="Arial" w:cs="Arial"/>
          <w:sz w:val="18"/>
          <w:szCs w:val="18"/>
          <w:lang w:eastAsia="en-GB"/>
        </w:rPr>
        <w:t xml:space="preserve"> (Victims’ Commissioner, 2022).</w:t>
      </w:r>
    </w:p>
  </w:footnote>
  <w:footnote w:id="28">
    <w:p w14:paraId="6A0D9F70" w14:textId="5068F200"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Crown Prosecution Service, </w:t>
      </w:r>
      <w:r w:rsidRPr="001E3C88">
        <w:rPr>
          <w:rFonts w:ascii="Arial" w:hAnsi="Arial" w:cs="Arial"/>
          <w:i/>
          <w:iCs/>
          <w:sz w:val="18"/>
          <w:szCs w:val="18"/>
        </w:rPr>
        <w:t>Street-</w:t>
      </w:r>
      <w:r w:rsidR="006868AA">
        <w:rPr>
          <w:rFonts w:ascii="Arial" w:hAnsi="Arial" w:cs="Arial"/>
          <w:i/>
          <w:iCs/>
          <w:sz w:val="18"/>
          <w:szCs w:val="18"/>
        </w:rPr>
        <w:t>B</w:t>
      </w:r>
      <w:r w:rsidRPr="001E3C88">
        <w:rPr>
          <w:rFonts w:ascii="Arial" w:hAnsi="Arial" w:cs="Arial"/>
          <w:i/>
          <w:iCs/>
          <w:sz w:val="18"/>
          <w:szCs w:val="18"/>
        </w:rPr>
        <w:t>ased Sexual Harassment</w:t>
      </w:r>
      <w:r w:rsidRPr="001E3C88">
        <w:rPr>
          <w:rFonts w:ascii="Arial" w:hAnsi="Arial" w:cs="Arial"/>
          <w:sz w:val="18"/>
          <w:szCs w:val="18"/>
        </w:rPr>
        <w:t xml:space="preserve"> (CPS, 2022). </w:t>
      </w:r>
    </w:p>
  </w:footnote>
  <w:footnote w:id="29">
    <w:p w14:paraId="27AA69CD" w14:textId="77777777"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Pr="001E3C88">
        <w:rPr>
          <w:rFonts w:ascii="Arial" w:hAnsi="Arial" w:cs="Arial"/>
          <w:i/>
          <w:sz w:val="18"/>
          <w:szCs w:val="18"/>
        </w:rPr>
        <w:t>Silver v United Kingdom</w:t>
      </w:r>
      <w:r w:rsidRPr="001E3C88">
        <w:rPr>
          <w:rFonts w:ascii="Arial" w:hAnsi="Arial" w:cs="Arial"/>
          <w:sz w:val="18"/>
          <w:szCs w:val="18"/>
        </w:rPr>
        <w:t xml:space="preserve"> 5 EHRR 344, [97].</w:t>
      </w:r>
    </w:p>
  </w:footnote>
  <w:footnote w:id="30">
    <w:p w14:paraId="4FA99658" w14:textId="53C4B499"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D</w:t>
      </w:r>
      <w:r w:rsidR="00011BD2">
        <w:rPr>
          <w:rFonts w:ascii="Arial" w:hAnsi="Arial" w:cs="Arial"/>
          <w:sz w:val="18"/>
          <w:szCs w:val="18"/>
        </w:rPr>
        <w:t>avid</w:t>
      </w:r>
      <w:r w:rsidRPr="001E3C88">
        <w:rPr>
          <w:rFonts w:ascii="Arial" w:hAnsi="Arial" w:cs="Arial"/>
          <w:sz w:val="18"/>
          <w:szCs w:val="18"/>
        </w:rPr>
        <w:t xml:space="preserve"> Feldman, </w:t>
      </w:r>
      <w:r w:rsidRPr="001E3C88">
        <w:rPr>
          <w:rFonts w:ascii="Arial" w:hAnsi="Arial" w:cs="Arial"/>
          <w:i/>
          <w:sz w:val="18"/>
          <w:szCs w:val="18"/>
        </w:rPr>
        <w:t xml:space="preserve">Civil Liberties and Human Rights </w:t>
      </w:r>
      <w:r w:rsidRPr="001E3C88">
        <w:rPr>
          <w:rFonts w:ascii="Arial" w:hAnsi="Arial" w:cs="Arial"/>
          <w:iCs/>
          <w:sz w:val="18"/>
          <w:szCs w:val="18"/>
        </w:rPr>
        <w:t>(</w:t>
      </w:r>
      <w:r w:rsidRPr="001E3C88">
        <w:rPr>
          <w:rFonts w:ascii="Arial" w:hAnsi="Arial" w:cs="Arial"/>
          <w:sz w:val="18"/>
          <w:szCs w:val="18"/>
        </w:rPr>
        <w:t>Oxford University Press, 2017)</w:t>
      </w:r>
      <w:r w:rsidR="00A737F7">
        <w:rPr>
          <w:rFonts w:ascii="Arial" w:hAnsi="Arial" w:cs="Arial"/>
          <w:sz w:val="18"/>
          <w:szCs w:val="18"/>
        </w:rPr>
        <w:t>,</w:t>
      </w:r>
      <w:r w:rsidRPr="001E3C88">
        <w:rPr>
          <w:rFonts w:ascii="Arial" w:hAnsi="Arial" w:cs="Arial"/>
          <w:sz w:val="18"/>
          <w:szCs w:val="18"/>
        </w:rPr>
        <w:t xml:space="preserve"> 57.</w:t>
      </w:r>
    </w:p>
  </w:footnote>
  <w:footnote w:id="31">
    <w:p w14:paraId="37F982A3" w14:textId="77777777" w:rsidR="001E3C88" w:rsidRPr="001E3C88" w:rsidRDefault="001E3C88" w:rsidP="001E3C88">
      <w:pPr>
        <w:spacing w:after="0" w:line="240" w:lineRule="auto"/>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Pr="001E3C88">
        <w:rPr>
          <w:rFonts w:ascii="Arial" w:hAnsi="Arial" w:cs="Arial"/>
          <w:i/>
          <w:sz w:val="18"/>
          <w:szCs w:val="18"/>
        </w:rPr>
        <w:t>Olsson v Sweden</w:t>
      </w:r>
      <w:r w:rsidRPr="001E3C88">
        <w:rPr>
          <w:rFonts w:ascii="Arial" w:hAnsi="Arial" w:cs="Arial"/>
          <w:sz w:val="18"/>
          <w:szCs w:val="18"/>
        </w:rPr>
        <w:t xml:space="preserve"> </w:t>
      </w:r>
      <w:r w:rsidRPr="001E3C88">
        <w:rPr>
          <w:rFonts w:ascii="Arial" w:hAnsi="Arial" w:cs="Arial"/>
          <w:i/>
          <w:iCs/>
          <w:sz w:val="18"/>
          <w:szCs w:val="18"/>
        </w:rPr>
        <w:t>(No. 2)</w:t>
      </w:r>
      <w:r w:rsidRPr="001E3C88">
        <w:rPr>
          <w:rFonts w:ascii="Arial" w:hAnsi="Arial" w:cs="Arial"/>
          <w:sz w:val="18"/>
          <w:szCs w:val="18"/>
        </w:rPr>
        <w:t xml:space="preserve"> (1992) 17 EHRR 134, [68].</w:t>
      </w:r>
    </w:p>
  </w:footnote>
  <w:footnote w:id="32">
    <w:p w14:paraId="7A158ACB" w14:textId="72B30808" w:rsidR="001E3C88" w:rsidRPr="001E3C88" w:rsidRDefault="001E3C88" w:rsidP="001E3C88">
      <w:pPr>
        <w:spacing w:after="0" w:line="240" w:lineRule="auto"/>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Pr="001E3C88">
        <w:rPr>
          <w:rFonts w:ascii="Arial" w:hAnsi="Arial" w:cs="Arial"/>
          <w:i/>
          <w:iCs/>
          <w:sz w:val="18"/>
          <w:szCs w:val="18"/>
          <w:lang w:val="en-US"/>
        </w:rPr>
        <w:t>Dorđević v. Croatia</w:t>
      </w:r>
      <w:r w:rsidR="00A737F7">
        <w:rPr>
          <w:rFonts w:ascii="Arial" w:hAnsi="Arial" w:cs="Arial"/>
          <w:sz w:val="18"/>
          <w:szCs w:val="18"/>
        </w:rPr>
        <w:t>, n 22 above</w:t>
      </w:r>
      <w:r w:rsidRPr="001E3C88">
        <w:rPr>
          <w:rFonts w:ascii="Arial" w:hAnsi="Arial" w:cs="Arial"/>
          <w:sz w:val="18"/>
          <w:szCs w:val="18"/>
        </w:rPr>
        <w:t>.</w:t>
      </w:r>
    </w:p>
  </w:footnote>
  <w:footnote w:id="33">
    <w:p w14:paraId="277A76F2" w14:textId="77777777"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Pr="001E3C88">
        <w:rPr>
          <w:rFonts w:ascii="Arial" w:hAnsi="Arial" w:cs="Arial"/>
          <w:i/>
          <w:sz w:val="18"/>
          <w:szCs w:val="18"/>
        </w:rPr>
        <w:t xml:space="preserve">X and Y v the Netherlands </w:t>
      </w:r>
      <w:r w:rsidRPr="001E3C88">
        <w:rPr>
          <w:rFonts w:ascii="Arial" w:hAnsi="Arial" w:cs="Arial"/>
          <w:sz w:val="18"/>
          <w:szCs w:val="18"/>
        </w:rPr>
        <w:t>(1986) 8 EHRR 235.</w:t>
      </w:r>
    </w:p>
  </w:footnote>
  <w:footnote w:id="34">
    <w:p w14:paraId="2031FCA8" w14:textId="0A312593"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006868AA" w:rsidRPr="006868AA">
        <w:rPr>
          <w:rFonts w:ascii="Arial" w:hAnsi="Arial" w:cs="Arial"/>
          <w:iCs/>
          <w:sz w:val="18"/>
          <w:szCs w:val="18"/>
        </w:rPr>
        <w:t>ibid</w:t>
      </w:r>
      <w:r w:rsidRPr="006868AA">
        <w:rPr>
          <w:rFonts w:ascii="Arial" w:hAnsi="Arial" w:cs="Arial"/>
          <w:iCs/>
          <w:sz w:val="18"/>
          <w:szCs w:val="18"/>
        </w:rPr>
        <w:t>.</w:t>
      </w:r>
    </w:p>
  </w:footnote>
  <w:footnote w:id="35">
    <w:p w14:paraId="38B66B3C" w14:textId="77777777" w:rsidR="001E3C88" w:rsidRPr="001E3C88" w:rsidRDefault="001E3C88" w:rsidP="001E3C88">
      <w:pPr>
        <w:pStyle w:val="NormalWeb"/>
        <w:spacing w:before="0" w:beforeAutospacing="0" w:after="0" w:afterAutospacing="0"/>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Pr="001E3C88">
        <w:rPr>
          <w:rFonts w:ascii="Arial" w:hAnsi="Arial" w:cs="Arial"/>
          <w:i/>
          <w:iCs/>
          <w:sz w:val="18"/>
          <w:szCs w:val="18"/>
        </w:rPr>
        <w:t>Bensaid v The United Kingdom</w:t>
      </w:r>
      <w:r w:rsidRPr="001E3C88">
        <w:rPr>
          <w:rFonts w:ascii="Arial" w:hAnsi="Arial" w:cs="Arial"/>
          <w:sz w:val="18"/>
          <w:szCs w:val="18"/>
        </w:rPr>
        <w:t> [2001] 33 EHRR 10.</w:t>
      </w:r>
    </w:p>
  </w:footnote>
  <w:footnote w:id="36">
    <w:p w14:paraId="493CAB19" w14:textId="3EFDB669"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Pr="001E3C88">
        <w:rPr>
          <w:rFonts w:ascii="Arial" w:hAnsi="Arial" w:cs="Arial"/>
          <w:i/>
          <w:iCs/>
          <w:sz w:val="18"/>
          <w:szCs w:val="18"/>
        </w:rPr>
        <w:t>Pretty v UK</w:t>
      </w:r>
      <w:r w:rsidRPr="001E3C88">
        <w:rPr>
          <w:rFonts w:ascii="Arial" w:hAnsi="Arial" w:cs="Arial"/>
          <w:sz w:val="18"/>
          <w:szCs w:val="18"/>
        </w:rPr>
        <w:t xml:space="preserve"> (2002) 35 EHRR 1</w:t>
      </w:r>
      <w:r w:rsidR="00895EF8">
        <w:rPr>
          <w:rFonts w:ascii="Arial" w:hAnsi="Arial" w:cs="Arial"/>
          <w:sz w:val="18"/>
          <w:szCs w:val="18"/>
        </w:rPr>
        <w:t>,</w:t>
      </w:r>
      <w:r w:rsidRPr="001E3C88">
        <w:rPr>
          <w:rFonts w:ascii="Arial" w:hAnsi="Arial" w:cs="Arial"/>
          <w:sz w:val="18"/>
          <w:szCs w:val="18"/>
        </w:rPr>
        <w:t xml:space="preserve"> [61].</w:t>
      </w:r>
    </w:p>
  </w:footnote>
  <w:footnote w:id="37">
    <w:p w14:paraId="377CB0CE" w14:textId="46A14CD6"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Pr="001E3C88">
        <w:rPr>
          <w:rFonts w:ascii="Arial" w:hAnsi="Arial" w:cs="Arial"/>
          <w:i/>
          <w:iCs/>
          <w:sz w:val="18"/>
          <w:szCs w:val="18"/>
        </w:rPr>
        <w:t>Bensaid v The United Kingdom</w:t>
      </w:r>
      <w:r w:rsidR="003A4DAF">
        <w:rPr>
          <w:rFonts w:ascii="Arial" w:hAnsi="Arial" w:cs="Arial"/>
          <w:sz w:val="18"/>
          <w:szCs w:val="18"/>
        </w:rPr>
        <w:t xml:space="preserve">, </w:t>
      </w:r>
      <w:r w:rsidR="003A4DAF" w:rsidRPr="003A4DAF">
        <w:rPr>
          <w:rFonts w:ascii="Arial" w:hAnsi="Arial" w:cs="Arial"/>
          <w:sz w:val="18"/>
          <w:szCs w:val="18"/>
        </w:rPr>
        <w:t>n 35 above</w:t>
      </w:r>
      <w:r w:rsidR="003A4DAF">
        <w:rPr>
          <w:rFonts w:ascii="Arial" w:hAnsi="Arial" w:cs="Arial"/>
          <w:i/>
          <w:iCs/>
          <w:sz w:val="18"/>
          <w:szCs w:val="18"/>
        </w:rPr>
        <w:t>,</w:t>
      </w:r>
      <w:r w:rsidRPr="001E3C88">
        <w:rPr>
          <w:rFonts w:ascii="Arial" w:hAnsi="Arial" w:cs="Arial"/>
          <w:sz w:val="18"/>
          <w:szCs w:val="18"/>
        </w:rPr>
        <w:t xml:space="preserve"> [45].</w:t>
      </w:r>
    </w:p>
  </w:footnote>
  <w:footnote w:id="38">
    <w:p w14:paraId="459796B1" w14:textId="6B959A51"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Pr="001E3C88">
        <w:rPr>
          <w:rFonts w:ascii="Arial" w:hAnsi="Arial" w:cs="Arial"/>
          <w:i/>
          <w:iCs/>
          <w:sz w:val="18"/>
          <w:szCs w:val="18"/>
        </w:rPr>
        <w:t>El-Masri v The Former Yugoslav Republic of Macedonia</w:t>
      </w:r>
      <w:r w:rsidRPr="001E3C88">
        <w:rPr>
          <w:rFonts w:ascii="Arial" w:hAnsi="Arial" w:cs="Arial"/>
          <w:sz w:val="18"/>
          <w:szCs w:val="18"/>
        </w:rPr>
        <w:t xml:space="preserve"> </w:t>
      </w:r>
      <w:r w:rsidRPr="001E3C88">
        <w:rPr>
          <w:rStyle w:val="Emphasis"/>
          <w:rFonts w:ascii="Arial" w:hAnsi="Arial" w:cs="Arial"/>
          <w:sz w:val="18"/>
          <w:szCs w:val="18"/>
        </w:rPr>
        <w:t>App</w:t>
      </w:r>
      <w:r w:rsidRPr="001E3C88">
        <w:rPr>
          <w:rFonts w:ascii="Arial" w:hAnsi="Arial" w:cs="Arial"/>
          <w:sz w:val="18"/>
          <w:szCs w:val="18"/>
        </w:rPr>
        <w:t>lication No. 39630/09,</w:t>
      </w:r>
      <w:r w:rsidR="009F3F37">
        <w:rPr>
          <w:rFonts w:ascii="Arial" w:hAnsi="Arial" w:cs="Arial"/>
          <w:i/>
          <w:iCs/>
          <w:sz w:val="18"/>
          <w:szCs w:val="18"/>
        </w:rPr>
        <w:t xml:space="preserve"> </w:t>
      </w:r>
      <w:r w:rsidRPr="001E3C88">
        <w:rPr>
          <w:rFonts w:ascii="Arial" w:hAnsi="Arial" w:cs="Arial"/>
          <w:sz w:val="18"/>
          <w:szCs w:val="18"/>
        </w:rPr>
        <w:t>[239].</w:t>
      </w:r>
      <w:r w:rsidR="009F3F37">
        <w:rPr>
          <w:rFonts w:ascii="Arial" w:hAnsi="Arial" w:cs="Arial"/>
          <w:sz w:val="18"/>
          <w:szCs w:val="18"/>
        </w:rPr>
        <w:t xml:space="preserve"> </w:t>
      </w:r>
    </w:p>
  </w:footnote>
  <w:footnote w:id="39">
    <w:p w14:paraId="637CE58E" w14:textId="77777777"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Pr="001E3C88">
        <w:rPr>
          <w:rFonts w:ascii="Arial" w:hAnsi="Arial" w:cs="Arial"/>
          <w:i/>
          <w:iCs/>
          <w:sz w:val="18"/>
          <w:szCs w:val="18"/>
        </w:rPr>
        <w:t>Storck v Germany</w:t>
      </w:r>
      <w:r w:rsidRPr="001E3C88">
        <w:rPr>
          <w:rFonts w:ascii="Arial" w:hAnsi="Arial" w:cs="Arial"/>
          <w:sz w:val="18"/>
          <w:szCs w:val="18"/>
        </w:rPr>
        <w:t xml:space="preserve"> [2005] ECHR 406, [102].</w:t>
      </w:r>
    </w:p>
  </w:footnote>
  <w:footnote w:id="40">
    <w:p w14:paraId="497F6FF2" w14:textId="77777777" w:rsidR="001E3C88" w:rsidRPr="001E3C88" w:rsidRDefault="001E3C88" w:rsidP="001E3C88">
      <w:pPr>
        <w:spacing w:after="0" w:line="240" w:lineRule="auto"/>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Pr="001E3C88">
        <w:rPr>
          <w:rFonts w:ascii="Arial" w:hAnsi="Arial" w:cs="Arial"/>
          <w:i/>
          <w:sz w:val="18"/>
          <w:szCs w:val="18"/>
        </w:rPr>
        <w:t>Petrovic v Austria</w:t>
      </w:r>
      <w:r w:rsidRPr="001E3C88">
        <w:rPr>
          <w:rFonts w:ascii="Arial" w:hAnsi="Arial" w:cs="Arial"/>
          <w:color w:val="000000"/>
          <w:sz w:val="18"/>
          <w:szCs w:val="18"/>
        </w:rPr>
        <w:t xml:space="preserve"> </w:t>
      </w:r>
      <w:r w:rsidRPr="001E3C88">
        <w:rPr>
          <w:rFonts w:ascii="Arial" w:hAnsi="Arial" w:cs="Arial"/>
          <w:color w:val="000000"/>
          <w:sz w:val="18"/>
          <w:szCs w:val="18"/>
          <w:lang w:val="en-US"/>
        </w:rPr>
        <w:t xml:space="preserve">(2001) 33 </w:t>
      </w:r>
      <w:r w:rsidRPr="001E3C88">
        <w:rPr>
          <w:rFonts w:ascii="Arial" w:hAnsi="Arial" w:cs="Arial"/>
          <w:bCs/>
          <w:color w:val="000000"/>
          <w:sz w:val="18"/>
          <w:szCs w:val="18"/>
          <w:lang w:val="en-US"/>
        </w:rPr>
        <w:t>EHRR</w:t>
      </w:r>
      <w:r w:rsidRPr="001E3C88">
        <w:rPr>
          <w:rFonts w:ascii="Arial" w:hAnsi="Arial" w:cs="Arial"/>
          <w:color w:val="000000"/>
          <w:sz w:val="18"/>
          <w:szCs w:val="18"/>
          <w:lang w:val="en-US"/>
        </w:rPr>
        <w:t xml:space="preserve"> 307,</w:t>
      </w:r>
      <w:r w:rsidRPr="001E3C88">
        <w:rPr>
          <w:rFonts w:ascii="Arial" w:hAnsi="Arial" w:cs="Arial"/>
          <w:sz w:val="18"/>
          <w:szCs w:val="18"/>
        </w:rPr>
        <w:t xml:space="preserve"> [22].</w:t>
      </w:r>
    </w:p>
  </w:footnote>
  <w:footnote w:id="41">
    <w:p w14:paraId="38F67E51" w14:textId="56525E17"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00895EF8" w:rsidRPr="00895EF8">
        <w:rPr>
          <w:rFonts w:ascii="Arial" w:hAnsi="Arial" w:cs="Arial"/>
          <w:i/>
          <w:sz w:val="18"/>
          <w:szCs w:val="18"/>
        </w:rPr>
        <w:t>Dorđević</w:t>
      </w:r>
      <w:r w:rsidRPr="001E3C88">
        <w:rPr>
          <w:rFonts w:ascii="Arial" w:hAnsi="Arial" w:cs="Arial"/>
          <w:i/>
          <w:sz w:val="18"/>
          <w:szCs w:val="18"/>
        </w:rPr>
        <w:t xml:space="preserve"> v Croatia</w:t>
      </w:r>
      <w:r w:rsidRPr="001E3C88">
        <w:rPr>
          <w:rFonts w:ascii="Arial" w:hAnsi="Arial" w:cs="Arial"/>
          <w:sz w:val="18"/>
          <w:szCs w:val="18"/>
        </w:rPr>
        <w:t xml:space="preserve"> Application</w:t>
      </w:r>
      <w:r w:rsidR="00A737F7">
        <w:rPr>
          <w:rFonts w:ascii="Arial" w:hAnsi="Arial" w:cs="Arial"/>
          <w:sz w:val="18"/>
          <w:szCs w:val="18"/>
        </w:rPr>
        <w:t>, n 22 above, [</w:t>
      </w:r>
      <w:r w:rsidRPr="001E3C88">
        <w:rPr>
          <w:rFonts w:ascii="Arial" w:hAnsi="Arial" w:cs="Arial"/>
          <w:sz w:val="18"/>
          <w:szCs w:val="18"/>
        </w:rPr>
        <w:t>157</w:t>
      </w:r>
      <w:r w:rsidR="00A737F7">
        <w:rPr>
          <w:rFonts w:ascii="Arial" w:hAnsi="Arial" w:cs="Arial"/>
          <w:sz w:val="18"/>
          <w:szCs w:val="18"/>
        </w:rPr>
        <w:t>].</w:t>
      </w:r>
    </w:p>
  </w:footnote>
  <w:footnote w:id="42">
    <w:p w14:paraId="6358B660" w14:textId="16AFC0EA"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Pr="001E3C88">
        <w:rPr>
          <w:rFonts w:ascii="Arial" w:hAnsi="Arial" w:cs="Arial"/>
          <w:i/>
          <w:sz w:val="18"/>
          <w:szCs w:val="18"/>
        </w:rPr>
        <w:t>Opuz v Turkey</w:t>
      </w:r>
      <w:r w:rsidRPr="001E3C88">
        <w:rPr>
          <w:rFonts w:ascii="Arial" w:hAnsi="Arial" w:cs="Arial"/>
          <w:sz w:val="18"/>
          <w:szCs w:val="18"/>
        </w:rPr>
        <w:t xml:space="preserve"> </w:t>
      </w:r>
      <w:hyperlink r:id="rId4" w:tooltip="Link to BAILII version" w:history="1">
        <w:r w:rsidRPr="001E3C88">
          <w:rPr>
            <w:rFonts w:ascii="Arial" w:hAnsi="Arial" w:cs="Arial"/>
            <w:sz w:val="18"/>
            <w:szCs w:val="18"/>
          </w:rPr>
          <w:t>(2010) 50 EHRR 28</w:t>
        </w:r>
      </w:hyperlink>
      <w:r w:rsidRPr="001E3C88">
        <w:rPr>
          <w:rFonts w:ascii="Arial" w:hAnsi="Arial" w:cs="Arial"/>
          <w:sz w:val="18"/>
          <w:szCs w:val="18"/>
        </w:rPr>
        <w:t>.</w:t>
      </w:r>
      <w:r w:rsidR="009F3F37">
        <w:rPr>
          <w:rFonts w:ascii="Arial" w:hAnsi="Arial" w:cs="Arial"/>
          <w:sz w:val="18"/>
          <w:szCs w:val="18"/>
        </w:rPr>
        <w:t xml:space="preserve"> </w:t>
      </w:r>
      <w:r w:rsidRPr="001E3C88">
        <w:rPr>
          <w:rFonts w:ascii="Arial" w:hAnsi="Arial" w:cs="Arial"/>
          <w:sz w:val="18"/>
          <w:szCs w:val="18"/>
        </w:rPr>
        <w:t>For a detailed discussion see S</w:t>
      </w:r>
      <w:r w:rsidR="00011BD2">
        <w:rPr>
          <w:rFonts w:ascii="Arial" w:hAnsi="Arial" w:cs="Arial"/>
          <w:sz w:val="18"/>
          <w:szCs w:val="18"/>
        </w:rPr>
        <w:t>hazia</w:t>
      </w:r>
      <w:r w:rsidRPr="001E3C88">
        <w:rPr>
          <w:rFonts w:ascii="Arial" w:hAnsi="Arial" w:cs="Arial"/>
          <w:sz w:val="18"/>
          <w:szCs w:val="18"/>
        </w:rPr>
        <w:t xml:space="preserve"> Choudhry and J</w:t>
      </w:r>
      <w:r w:rsidR="00011BD2">
        <w:rPr>
          <w:rFonts w:ascii="Arial" w:hAnsi="Arial" w:cs="Arial"/>
          <w:sz w:val="18"/>
          <w:szCs w:val="18"/>
        </w:rPr>
        <w:t>onathan</w:t>
      </w:r>
      <w:r w:rsidRPr="001E3C88">
        <w:rPr>
          <w:rFonts w:ascii="Arial" w:hAnsi="Arial" w:cs="Arial"/>
          <w:sz w:val="18"/>
          <w:szCs w:val="18"/>
        </w:rPr>
        <w:t xml:space="preserve"> Herring, ‘Opuz v Turkey’ in L</w:t>
      </w:r>
      <w:r w:rsidR="00011BD2">
        <w:rPr>
          <w:rFonts w:ascii="Arial" w:hAnsi="Arial" w:cs="Arial"/>
          <w:sz w:val="18"/>
          <w:szCs w:val="18"/>
        </w:rPr>
        <w:t>oveday</w:t>
      </w:r>
      <w:r w:rsidRPr="001E3C88">
        <w:rPr>
          <w:rFonts w:ascii="Arial" w:hAnsi="Arial" w:cs="Arial"/>
          <w:sz w:val="18"/>
          <w:szCs w:val="18"/>
        </w:rPr>
        <w:t xml:space="preserve"> Hodson and T</w:t>
      </w:r>
      <w:r w:rsidR="00011BD2">
        <w:rPr>
          <w:rFonts w:ascii="Arial" w:hAnsi="Arial" w:cs="Arial"/>
          <w:sz w:val="18"/>
          <w:szCs w:val="18"/>
        </w:rPr>
        <w:t>roy</w:t>
      </w:r>
      <w:r w:rsidRPr="001E3C88">
        <w:rPr>
          <w:rFonts w:ascii="Arial" w:hAnsi="Arial" w:cs="Arial"/>
          <w:sz w:val="18"/>
          <w:szCs w:val="18"/>
        </w:rPr>
        <w:t xml:space="preserve"> Lavers (eds) </w:t>
      </w:r>
      <w:r w:rsidRPr="001E3C88">
        <w:rPr>
          <w:rFonts w:ascii="Arial" w:hAnsi="Arial" w:cs="Arial"/>
          <w:i/>
          <w:sz w:val="18"/>
          <w:szCs w:val="18"/>
        </w:rPr>
        <w:t>Feminist Judgements in International Law</w:t>
      </w:r>
      <w:r w:rsidRPr="001E3C88">
        <w:rPr>
          <w:rFonts w:ascii="Arial" w:hAnsi="Arial" w:cs="Arial"/>
          <w:sz w:val="18"/>
          <w:szCs w:val="18"/>
        </w:rPr>
        <w:t xml:space="preserve"> (Hart, 2019). </w:t>
      </w:r>
    </w:p>
  </w:footnote>
  <w:footnote w:id="43">
    <w:p w14:paraId="5D596F9E" w14:textId="66E17197" w:rsidR="001E3C88" w:rsidRPr="001E3C88" w:rsidRDefault="001E3C88" w:rsidP="001E3C88">
      <w:pPr>
        <w:autoSpaceDE w:val="0"/>
        <w:autoSpaceDN w:val="0"/>
        <w:adjustRightInd w:val="0"/>
        <w:spacing w:after="0" w:line="240" w:lineRule="auto"/>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Pr="001E3C88">
        <w:rPr>
          <w:rFonts w:ascii="Arial" w:hAnsi="Arial" w:cs="Arial"/>
          <w:color w:val="000000"/>
          <w:sz w:val="18"/>
          <w:szCs w:val="18"/>
        </w:rPr>
        <w:t>M</w:t>
      </w:r>
      <w:r w:rsidR="00011BD2">
        <w:rPr>
          <w:rFonts w:ascii="Arial" w:hAnsi="Arial" w:cs="Arial"/>
          <w:color w:val="000000"/>
          <w:sz w:val="18"/>
          <w:szCs w:val="18"/>
        </w:rPr>
        <w:t>andy</w:t>
      </w:r>
      <w:r w:rsidRPr="001E3C88">
        <w:rPr>
          <w:rFonts w:ascii="Arial" w:hAnsi="Arial" w:cs="Arial"/>
          <w:color w:val="000000"/>
          <w:sz w:val="18"/>
          <w:szCs w:val="18"/>
        </w:rPr>
        <w:t xml:space="preserve"> Burton, ‘The Human Rights of Victims of Domestic Violence:</w:t>
      </w:r>
      <w:r w:rsidR="00A23752">
        <w:rPr>
          <w:rFonts w:ascii="Arial" w:hAnsi="Arial" w:cs="Arial"/>
          <w:color w:val="000000"/>
          <w:sz w:val="18"/>
          <w:szCs w:val="18"/>
        </w:rPr>
        <w:t xml:space="preserve"> </w:t>
      </w:r>
      <w:r w:rsidRPr="001E3C88">
        <w:rPr>
          <w:rFonts w:ascii="Arial" w:hAnsi="Arial" w:cs="Arial"/>
          <w:i/>
          <w:color w:val="000000"/>
          <w:sz w:val="18"/>
          <w:szCs w:val="18"/>
        </w:rPr>
        <w:t>Opuz v. Turkey’</w:t>
      </w:r>
      <w:r w:rsidRPr="001E3C88">
        <w:rPr>
          <w:rFonts w:ascii="Arial" w:hAnsi="Arial" w:cs="Arial"/>
          <w:color w:val="000000"/>
          <w:sz w:val="18"/>
          <w:szCs w:val="18"/>
        </w:rPr>
        <w:t xml:space="preserve">, [2010] </w:t>
      </w:r>
      <w:r w:rsidRPr="001E3C88">
        <w:rPr>
          <w:rFonts w:ascii="Arial" w:hAnsi="Arial" w:cs="Arial"/>
          <w:i/>
          <w:color w:val="000000"/>
          <w:sz w:val="18"/>
          <w:szCs w:val="18"/>
        </w:rPr>
        <w:t>Child and Family Law Quarterl</w:t>
      </w:r>
      <w:r w:rsidRPr="001E3C88">
        <w:rPr>
          <w:rFonts w:ascii="Arial" w:hAnsi="Arial" w:cs="Arial"/>
          <w:color w:val="000000"/>
          <w:sz w:val="18"/>
          <w:szCs w:val="18"/>
        </w:rPr>
        <w:t>y 131; P</w:t>
      </w:r>
      <w:r w:rsidR="00794A07">
        <w:rPr>
          <w:rFonts w:ascii="Arial" w:hAnsi="Arial" w:cs="Arial"/>
          <w:color w:val="000000"/>
          <w:sz w:val="18"/>
          <w:szCs w:val="18"/>
        </w:rPr>
        <w:t>atricia</w:t>
      </w:r>
      <w:r w:rsidRPr="001E3C88">
        <w:rPr>
          <w:rFonts w:ascii="Arial" w:hAnsi="Arial" w:cs="Arial"/>
          <w:color w:val="000000"/>
          <w:sz w:val="18"/>
          <w:szCs w:val="18"/>
        </w:rPr>
        <w:t xml:space="preserve"> Londono, ‘Developing Human Rights Principles in Cases of Gender-based Violence: </w:t>
      </w:r>
      <w:r w:rsidRPr="001E3C88">
        <w:rPr>
          <w:rFonts w:ascii="Arial" w:hAnsi="Arial" w:cs="Arial"/>
          <w:i/>
          <w:color w:val="000000"/>
          <w:sz w:val="18"/>
          <w:szCs w:val="18"/>
        </w:rPr>
        <w:t xml:space="preserve">Opuz v Turkey </w:t>
      </w:r>
      <w:r w:rsidRPr="001E3C88">
        <w:rPr>
          <w:rFonts w:ascii="Arial" w:hAnsi="Arial" w:cs="Arial"/>
          <w:color w:val="000000"/>
          <w:sz w:val="18"/>
          <w:szCs w:val="18"/>
        </w:rPr>
        <w:t xml:space="preserve">in the European Court of Human Rights’ (2009) 9 </w:t>
      </w:r>
      <w:r w:rsidRPr="001E3C88">
        <w:rPr>
          <w:rFonts w:ascii="Arial" w:hAnsi="Arial" w:cs="Arial"/>
          <w:i/>
          <w:iCs/>
          <w:color w:val="000000"/>
          <w:sz w:val="18"/>
          <w:szCs w:val="18"/>
        </w:rPr>
        <w:t xml:space="preserve">Human Rights Law Review </w:t>
      </w:r>
      <w:r w:rsidRPr="001E3C88">
        <w:rPr>
          <w:rFonts w:ascii="Arial" w:hAnsi="Arial" w:cs="Arial"/>
          <w:color w:val="000000"/>
          <w:sz w:val="18"/>
          <w:szCs w:val="18"/>
        </w:rPr>
        <w:t>662.</w:t>
      </w:r>
    </w:p>
  </w:footnote>
  <w:footnote w:id="44">
    <w:p w14:paraId="4B1BEC12" w14:textId="77777777"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Application no. 41261/17.</w:t>
      </w:r>
    </w:p>
  </w:footnote>
  <w:footnote w:id="45">
    <w:p w14:paraId="093C490E" w14:textId="24DEBEA6"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00A23752">
        <w:rPr>
          <w:rFonts w:ascii="Arial" w:hAnsi="Arial" w:cs="Arial"/>
          <w:sz w:val="18"/>
          <w:szCs w:val="18"/>
        </w:rPr>
        <w:t>ibid, [</w:t>
      </w:r>
      <w:r w:rsidRPr="001E3C88">
        <w:rPr>
          <w:rFonts w:ascii="Arial" w:hAnsi="Arial" w:cs="Arial"/>
          <w:sz w:val="18"/>
          <w:szCs w:val="18"/>
        </w:rPr>
        <w:t>111</w:t>
      </w:r>
      <w:r w:rsidR="00A23752">
        <w:rPr>
          <w:rFonts w:ascii="Arial" w:hAnsi="Arial" w:cs="Arial"/>
          <w:sz w:val="18"/>
          <w:szCs w:val="18"/>
        </w:rPr>
        <w:t>]</w:t>
      </w:r>
      <w:r w:rsidRPr="001E3C88">
        <w:rPr>
          <w:rFonts w:ascii="Arial" w:hAnsi="Arial" w:cs="Arial"/>
          <w:sz w:val="18"/>
          <w:szCs w:val="18"/>
        </w:rPr>
        <w:t>.</w:t>
      </w:r>
    </w:p>
  </w:footnote>
  <w:footnote w:id="46">
    <w:p w14:paraId="68CB61BE" w14:textId="2E834A09"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00A23752">
        <w:rPr>
          <w:rFonts w:ascii="Arial" w:hAnsi="Arial" w:cs="Arial"/>
          <w:sz w:val="18"/>
          <w:szCs w:val="18"/>
        </w:rPr>
        <w:t>ibid, [</w:t>
      </w:r>
      <w:r w:rsidRPr="001E3C88">
        <w:rPr>
          <w:rFonts w:ascii="Arial" w:hAnsi="Arial" w:cs="Arial"/>
          <w:sz w:val="18"/>
          <w:szCs w:val="18"/>
        </w:rPr>
        <w:t>113</w:t>
      </w:r>
      <w:r w:rsidR="00A23752">
        <w:rPr>
          <w:rFonts w:ascii="Arial" w:hAnsi="Arial" w:cs="Arial"/>
          <w:sz w:val="18"/>
          <w:szCs w:val="18"/>
        </w:rPr>
        <w:t>]</w:t>
      </w:r>
      <w:r w:rsidRPr="001E3C88">
        <w:rPr>
          <w:rFonts w:ascii="Arial" w:hAnsi="Arial" w:cs="Arial"/>
          <w:sz w:val="18"/>
          <w:szCs w:val="18"/>
        </w:rPr>
        <w:t>.</w:t>
      </w:r>
    </w:p>
  </w:footnote>
  <w:footnote w:id="47">
    <w:p w14:paraId="5D71B70C" w14:textId="361DB795"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00A23752">
        <w:rPr>
          <w:rFonts w:ascii="Arial" w:hAnsi="Arial" w:cs="Arial"/>
          <w:sz w:val="18"/>
          <w:szCs w:val="18"/>
        </w:rPr>
        <w:t>ibid, [</w:t>
      </w:r>
      <w:r w:rsidRPr="001E3C88">
        <w:rPr>
          <w:rFonts w:ascii="Arial" w:hAnsi="Arial" w:cs="Arial"/>
          <w:sz w:val="18"/>
          <w:szCs w:val="18"/>
        </w:rPr>
        <w:t>114</w:t>
      </w:r>
      <w:r w:rsidR="00A23752">
        <w:rPr>
          <w:rFonts w:ascii="Arial" w:hAnsi="Arial" w:cs="Arial"/>
          <w:sz w:val="18"/>
          <w:szCs w:val="18"/>
        </w:rPr>
        <w:t>]</w:t>
      </w:r>
      <w:r w:rsidRPr="001E3C88">
        <w:rPr>
          <w:rFonts w:ascii="Arial" w:hAnsi="Arial" w:cs="Arial"/>
          <w:sz w:val="18"/>
          <w:szCs w:val="18"/>
        </w:rPr>
        <w:t>.</w:t>
      </w:r>
    </w:p>
  </w:footnote>
  <w:footnote w:id="48">
    <w:p w14:paraId="6E883F51" w14:textId="77777777" w:rsidR="001E3C88" w:rsidRPr="001E3C88" w:rsidRDefault="001E3C88" w:rsidP="001E3C88">
      <w:pPr>
        <w:spacing w:after="0" w:line="240" w:lineRule="auto"/>
        <w:rPr>
          <w:rFonts w:ascii="Arial" w:eastAsia="Arial Unicode MS" w:hAnsi="Arial" w:cs="Arial"/>
          <w:sz w:val="18"/>
          <w:szCs w:val="18"/>
        </w:rPr>
      </w:pPr>
      <w:r w:rsidRPr="001E3C88">
        <w:rPr>
          <w:rFonts w:ascii="Arial" w:eastAsia="Baskerville" w:hAnsi="Arial" w:cs="Arial"/>
          <w:sz w:val="18"/>
          <w:szCs w:val="18"/>
          <w:vertAlign w:val="superscript"/>
        </w:rPr>
        <w:footnoteRef/>
      </w:r>
      <w:r w:rsidRPr="001E3C88">
        <w:rPr>
          <w:rFonts w:ascii="Arial" w:hAnsi="Arial" w:cs="Arial"/>
          <w:sz w:val="18"/>
          <w:szCs w:val="18"/>
        </w:rPr>
        <w:t xml:space="preserve"> </w:t>
      </w:r>
      <w:r w:rsidRPr="001E3C88">
        <w:rPr>
          <w:rFonts w:ascii="Arial" w:hAnsi="Arial" w:cs="Arial"/>
          <w:i/>
          <w:iCs/>
          <w:sz w:val="18"/>
          <w:szCs w:val="18"/>
        </w:rPr>
        <w:t>Z v UK</w:t>
      </w:r>
      <w:r w:rsidRPr="001E3C88">
        <w:rPr>
          <w:rFonts w:ascii="Arial" w:hAnsi="Arial" w:cs="Arial"/>
          <w:sz w:val="18"/>
          <w:szCs w:val="18"/>
        </w:rPr>
        <w:t xml:space="preserve"> [2001] 2 FCR 246.</w:t>
      </w:r>
    </w:p>
  </w:footnote>
  <w:footnote w:id="49">
    <w:p w14:paraId="7BF1FF35" w14:textId="7998E3C7" w:rsidR="001E3C88" w:rsidRPr="001E3C88" w:rsidRDefault="001E3C88" w:rsidP="001E3C88">
      <w:pPr>
        <w:spacing w:after="0" w:line="240" w:lineRule="auto"/>
        <w:rPr>
          <w:rFonts w:ascii="Arial" w:eastAsia="Arial Unicode MS" w:hAnsi="Arial" w:cs="Arial"/>
          <w:sz w:val="18"/>
          <w:szCs w:val="18"/>
        </w:rPr>
      </w:pPr>
      <w:r w:rsidRPr="001E3C88">
        <w:rPr>
          <w:rFonts w:ascii="Arial" w:eastAsia="Baskerville" w:hAnsi="Arial" w:cs="Arial"/>
          <w:sz w:val="18"/>
          <w:szCs w:val="18"/>
          <w:vertAlign w:val="superscript"/>
        </w:rPr>
        <w:footnoteRef/>
      </w:r>
      <w:r w:rsidRPr="001E3C88">
        <w:rPr>
          <w:rFonts w:ascii="Arial" w:hAnsi="Arial" w:cs="Arial"/>
          <w:sz w:val="18"/>
          <w:szCs w:val="18"/>
        </w:rPr>
        <w:t xml:space="preserve"> </w:t>
      </w:r>
      <w:r w:rsidRPr="001E3C88">
        <w:rPr>
          <w:rFonts w:ascii="Arial" w:hAnsi="Arial" w:cs="Arial"/>
          <w:i/>
          <w:iCs/>
          <w:sz w:val="18"/>
          <w:szCs w:val="18"/>
        </w:rPr>
        <w:t>A v UK</w:t>
      </w:r>
      <w:r w:rsidRPr="001E3C88">
        <w:rPr>
          <w:rFonts w:ascii="Arial" w:hAnsi="Arial" w:cs="Arial"/>
          <w:sz w:val="18"/>
          <w:szCs w:val="18"/>
        </w:rPr>
        <w:t xml:space="preserve"> [1998] 3 FCR 597, </w:t>
      </w:r>
      <w:r w:rsidR="00A23752">
        <w:rPr>
          <w:rFonts w:ascii="Arial" w:hAnsi="Arial" w:cs="Arial"/>
          <w:sz w:val="18"/>
          <w:szCs w:val="18"/>
        </w:rPr>
        <w:t>[</w:t>
      </w:r>
      <w:r w:rsidRPr="001E3C88">
        <w:rPr>
          <w:rFonts w:ascii="Arial" w:hAnsi="Arial" w:cs="Arial"/>
          <w:sz w:val="18"/>
          <w:szCs w:val="18"/>
        </w:rPr>
        <w:t>24</w:t>
      </w:r>
      <w:r w:rsidR="00A23752">
        <w:rPr>
          <w:rFonts w:ascii="Arial" w:hAnsi="Arial" w:cs="Arial"/>
          <w:sz w:val="18"/>
          <w:szCs w:val="18"/>
        </w:rPr>
        <w:t>]</w:t>
      </w:r>
      <w:r w:rsidRPr="001E3C88">
        <w:rPr>
          <w:rFonts w:ascii="Arial" w:hAnsi="Arial" w:cs="Arial"/>
          <w:sz w:val="18"/>
          <w:szCs w:val="18"/>
        </w:rPr>
        <w:t>.</w:t>
      </w:r>
    </w:p>
  </w:footnote>
  <w:footnote w:id="50">
    <w:p w14:paraId="0DD88CF7" w14:textId="64F6A441" w:rsidR="001E3C88" w:rsidRPr="001E3C88" w:rsidRDefault="001E3C88" w:rsidP="001E3C88">
      <w:pPr>
        <w:spacing w:after="0" w:line="240" w:lineRule="auto"/>
        <w:rPr>
          <w:rFonts w:ascii="Arial" w:eastAsia="Arial Unicode MS" w:hAnsi="Arial" w:cs="Arial"/>
          <w:sz w:val="18"/>
          <w:szCs w:val="18"/>
          <w:lang w:val="de-DE"/>
        </w:rPr>
      </w:pPr>
      <w:r w:rsidRPr="001E3C88">
        <w:rPr>
          <w:rFonts w:ascii="Arial" w:eastAsia="Baskerville" w:hAnsi="Arial" w:cs="Arial"/>
          <w:sz w:val="18"/>
          <w:szCs w:val="18"/>
          <w:vertAlign w:val="superscript"/>
        </w:rPr>
        <w:footnoteRef/>
      </w:r>
      <w:r w:rsidRPr="001E3C88">
        <w:rPr>
          <w:rFonts w:ascii="Arial" w:hAnsi="Arial" w:cs="Arial"/>
          <w:sz w:val="18"/>
          <w:szCs w:val="18"/>
          <w:lang w:val="de-DE"/>
        </w:rPr>
        <w:t xml:space="preserve"> </w:t>
      </w:r>
      <w:r w:rsidRPr="001E3C88">
        <w:rPr>
          <w:rFonts w:ascii="Arial" w:hAnsi="Arial" w:cs="Arial"/>
          <w:i/>
          <w:iCs/>
          <w:sz w:val="18"/>
          <w:szCs w:val="18"/>
          <w:lang w:val="de-DE"/>
        </w:rPr>
        <w:t>Z v UK</w:t>
      </w:r>
      <w:r w:rsidRPr="001E3C88">
        <w:rPr>
          <w:rFonts w:ascii="Arial" w:hAnsi="Arial" w:cs="Arial"/>
          <w:sz w:val="18"/>
          <w:szCs w:val="18"/>
          <w:lang w:val="de-DE"/>
        </w:rPr>
        <w:t xml:space="preserve"> </w:t>
      </w:r>
      <w:r w:rsidR="00A23752">
        <w:rPr>
          <w:rFonts w:ascii="Arial" w:hAnsi="Arial" w:cs="Arial"/>
          <w:sz w:val="18"/>
          <w:szCs w:val="18"/>
          <w:lang w:val="de-DE"/>
        </w:rPr>
        <w:t>, n 48 above</w:t>
      </w:r>
      <w:r w:rsidRPr="001E3C88">
        <w:rPr>
          <w:rFonts w:ascii="Arial" w:hAnsi="Arial" w:cs="Arial"/>
          <w:sz w:val="18"/>
          <w:szCs w:val="18"/>
          <w:lang w:val="de-DE"/>
        </w:rPr>
        <w:t xml:space="preserve">, </w:t>
      </w:r>
      <w:r w:rsidR="00A23752">
        <w:rPr>
          <w:rFonts w:ascii="Arial" w:hAnsi="Arial" w:cs="Arial"/>
          <w:sz w:val="18"/>
          <w:szCs w:val="18"/>
          <w:lang w:val="de-DE"/>
        </w:rPr>
        <w:t>[</w:t>
      </w:r>
      <w:r w:rsidRPr="001E3C88">
        <w:rPr>
          <w:rFonts w:ascii="Arial" w:hAnsi="Arial" w:cs="Arial"/>
          <w:sz w:val="18"/>
          <w:szCs w:val="18"/>
          <w:lang w:val="de-DE"/>
        </w:rPr>
        <w:t>73</w:t>
      </w:r>
      <w:r w:rsidR="00A23752">
        <w:rPr>
          <w:rFonts w:ascii="Arial" w:hAnsi="Arial" w:cs="Arial"/>
          <w:sz w:val="18"/>
          <w:szCs w:val="18"/>
          <w:lang w:val="de-DE"/>
        </w:rPr>
        <w:t>]</w:t>
      </w:r>
      <w:r w:rsidRPr="001E3C88">
        <w:rPr>
          <w:rFonts w:ascii="Arial" w:hAnsi="Arial" w:cs="Arial"/>
          <w:sz w:val="18"/>
          <w:szCs w:val="18"/>
          <w:lang w:val="de-DE"/>
        </w:rPr>
        <w:t>.</w:t>
      </w:r>
    </w:p>
  </w:footnote>
  <w:footnote w:id="51">
    <w:p w14:paraId="47A4AB2F" w14:textId="77777777" w:rsidR="001E3C88" w:rsidRPr="001E3C88" w:rsidRDefault="001E3C88" w:rsidP="001E3C88">
      <w:pPr>
        <w:spacing w:after="0" w:line="240" w:lineRule="auto"/>
        <w:rPr>
          <w:rFonts w:ascii="Arial" w:eastAsia="Arial Unicode MS" w:hAnsi="Arial" w:cs="Arial"/>
          <w:sz w:val="18"/>
          <w:szCs w:val="18"/>
          <w:lang w:val="de-DE"/>
        </w:rPr>
      </w:pPr>
      <w:r w:rsidRPr="001E3C88">
        <w:rPr>
          <w:rFonts w:ascii="Arial" w:eastAsia="Baskerville" w:hAnsi="Arial" w:cs="Arial"/>
          <w:sz w:val="18"/>
          <w:szCs w:val="18"/>
          <w:vertAlign w:val="superscript"/>
        </w:rPr>
        <w:footnoteRef/>
      </w:r>
      <w:r w:rsidRPr="001E3C88">
        <w:rPr>
          <w:rFonts w:ascii="Arial" w:hAnsi="Arial" w:cs="Arial"/>
          <w:sz w:val="18"/>
          <w:szCs w:val="18"/>
          <w:lang w:val="de-DE"/>
        </w:rPr>
        <w:t xml:space="preserve"> </w:t>
      </w:r>
      <w:r w:rsidRPr="001E3C88">
        <w:rPr>
          <w:rFonts w:ascii="Arial" w:hAnsi="Arial" w:cs="Arial"/>
          <w:i/>
          <w:iCs/>
          <w:sz w:val="18"/>
          <w:szCs w:val="18"/>
          <w:lang w:val="de-DE"/>
        </w:rPr>
        <w:t>E v UK</w:t>
      </w:r>
      <w:r w:rsidRPr="001E3C88">
        <w:rPr>
          <w:rFonts w:ascii="Arial" w:hAnsi="Arial" w:cs="Arial"/>
          <w:sz w:val="18"/>
          <w:szCs w:val="18"/>
          <w:lang w:val="de-DE"/>
        </w:rPr>
        <w:t xml:space="preserve"> [2002] 3 FCR 700.</w:t>
      </w:r>
    </w:p>
  </w:footnote>
  <w:footnote w:id="52">
    <w:p w14:paraId="1348008B" w14:textId="77777777" w:rsidR="001E3C88" w:rsidRPr="001E3C88" w:rsidRDefault="001E3C88" w:rsidP="001E3C88">
      <w:pPr>
        <w:autoSpaceDE w:val="0"/>
        <w:autoSpaceDN w:val="0"/>
        <w:adjustRightInd w:val="0"/>
        <w:snapToGrid w:val="0"/>
        <w:spacing w:after="0" w:line="240" w:lineRule="auto"/>
        <w:rPr>
          <w:rFonts w:ascii="Arial" w:hAnsi="Arial" w:cs="Arial"/>
          <w:color w:val="000000"/>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Pr="001E3C88">
        <w:rPr>
          <w:rFonts w:ascii="Arial" w:hAnsi="Arial" w:cs="Arial"/>
          <w:i/>
          <w:color w:val="000000"/>
          <w:sz w:val="18"/>
          <w:szCs w:val="18"/>
          <w:lang w:val="x-none"/>
        </w:rPr>
        <w:t>Balșan v. Romania</w:t>
      </w:r>
      <w:r w:rsidRPr="001E3C88">
        <w:rPr>
          <w:rFonts w:ascii="Arial" w:hAnsi="Arial" w:cs="Arial"/>
          <w:color w:val="000000"/>
          <w:sz w:val="18"/>
          <w:szCs w:val="18"/>
        </w:rPr>
        <w:t xml:space="preserve"> </w:t>
      </w:r>
      <w:r w:rsidRPr="001E3C88">
        <w:rPr>
          <w:rFonts w:ascii="Arial" w:hAnsi="Arial" w:cs="Arial"/>
          <w:sz w:val="18"/>
          <w:szCs w:val="18"/>
        </w:rPr>
        <w:t>Application No 49645/09.</w:t>
      </w:r>
    </w:p>
  </w:footnote>
  <w:footnote w:id="53">
    <w:p w14:paraId="4C499F80" w14:textId="77777777"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Pr="001E3C88">
        <w:rPr>
          <w:rFonts w:ascii="Arial" w:hAnsi="Arial" w:cs="Arial"/>
          <w:i/>
          <w:sz w:val="18"/>
          <w:szCs w:val="18"/>
        </w:rPr>
        <w:t>Talpis v Italy</w:t>
      </w:r>
      <w:r w:rsidRPr="001E3C88">
        <w:rPr>
          <w:rFonts w:ascii="Arial" w:hAnsi="Arial" w:cs="Arial"/>
          <w:sz w:val="18"/>
          <w:szCs w:val="18"/>
        </w:rPr>
        <w:t xml:space="preserve"> [2017] ECHR 075.</w:t>
      </w:r>
    </w:p>
  </w:footnote>
  <w:footnote w:id="54">
    <w:p w14:paraId="3F78C485" w14:textId="70B12F34"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00A23752">
        <w:rPr>
          <w:rFonts w:ascii="Arial" w:hAnsi="Arial" w:cs="Arial"/>
          <w:sz w:val="18"/>
          <w:szCs w:val="18"/>
        </w:rPr>
        <w:t>ibid, [</w:t>
      </w:r>
      <w:r w:rsidRPr="001E3C88">
        <w:rPr>
          <w:rFonts w:ascii="Arial" w:hAnsi="Arial" w:cs="Arial"/>
          <w:sz w:val="18"/>
          <w:szCs w:val="18"/>
        </w:rPr>
        <w:t>99</w:t>
      </w:r>
      <w:r w:rsidR="00A23752">
        <w:rPr>
          <w:rFonts w:ascii="Arial" w:hAnsi="Arial" w:cs="Arial"/>
          <w:sz w:val="18"/>
          <w:szCs w:val="18"/>
        </w:rPr>
        <w:t>]</w:t>
      </w:r>
      <w:r w:rsidRPr="001E3C88">
        <w:rPr>
          <w:rFonts w:ascii="Arial" w:hAnsi="Arial" w:cs="Arial"/>
          <w:sz w:val="18"/>
          <w:szCs w:val="18"/>
        </w:rPr>
        <w:t>.</w:t>
      </w:r>
    </w:p>
  </w:footnote>
  <w:footnote w:id="55">
    <w:p w14:paraId="1718060C" w14:textId="77777777" w:rsidR="001E3C88" w:rsidRPr="001E3C88" w:rsidRDefault="001E3C88" w:rsidP="001E3C88">
      <w:pPr>
        <w:autoSpaceDE w:val="0"/>
        <w:autoSpaceDN w:val="0"/>
        <w:adjustRightInd w:val="0"/>
        <w:snapToGrid w:val="0"/>
        <w:spacing w:after="0" w:line="240" w:lineRule="auto"/>
        <w:rPr>
          <w:rFonts w:ascii="Arial" w:hAnsi="Arial" w:cs="Arial"/>
          <w:color w:val="000000"/>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Pr="001E3C88">
        <w:rPr>
          <w:rFonts w:ascii="Arial" w:hAnsi="Arial" w:cs="Arial"/>
          <w:i/>
          <w:color w:val="000000"/>
          <w:sz w:val="18"/>
          <w:szCs w:val="18"/>
          <w:lang w:val="x-none"/>
        </w:rPr>
        <w:t>Mastromatteo v Italy</w:t>
      </w:r>
      <w:r w:rsidRPr="001E3C88">
        <w:rPr>
          <w:rFonts w:ascii="Arial" w:hAnsi="Arial" w:cs="Arial"/>
          <w:color w:val="000000"/>
          <w:sz w:val="18"/>
          <w:szCs w:val="18"/>
          <w:lang w:val="x-none"/>
        </w:rPr>
        <w:t xml:space="preserve"> Application No. 37703/97</w:t>
      </w:r>
      <w:r w:rsidRPr="001E3C88">
        <w:rPr>
          <w:rFonts w:ascii="Arial" w:hAnsi="Arial" w:cs="Arial"/>
          <w:color w:val="000000"/>
          <w:sz w:val="18"/>
          <w:szCs w:val="18"/>
        </w:rPr>
        <w:t>.</w:t>
      </w:r>
    </w:p>
  </w:footnote>
  <w:footnote w:id="56">
    <w:p w14:paraId="0FACCB23" w14:textId="460988B8"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Pr="001E3C88">
        <w:rPr>
          <w:rFonts w:ascii="Arial" w:hAnsi="Arial" w:cs="Arial"/>
          <w:i/>
          <w:sz w:val="18"/>
          <w:szCs w:val="18"/>
        </w:rPr>
        <w:t>Valiulienė v Lithuania</w:t>
      </w:r>
      <w:r w:rsidRPr="001E3C88">
        <w:rPr>
          <w:rFonts w:ascii="Arial" w:hAnsi="Arial" w:cs="Arial"/>
          <w:b/>
          <w:sz w:val="18"/>
          <w:szCs w:val="18"/>
        </w:rPr>
        <w:t xml:space="preserve"> </w:t>
      </w:r>
      <w:r w:rsidRPr="001E3C88">
        <w:rPr>
          <w:rFonts w:ascii="Arial" w:hAnsi="Arial" w:cs="Arial"/>
          <w:sz w:val="18"/>
          <w:szCs w:val="18"/>
        </w:rPr>
        <w:t xml:space="preserve">Application no. 33234/07, </w:t>
      </w:r>
      <w:r w:rsidR="00A23752">
        <w:rPr>
          <w:rFonts w:ascii="Arial" w:hAnsi="Arial" w:cs="Arial"/>
          <w:sz w:val="18"/>
          <w:szCs w:val="18"/>
        </w:rPr>
        <w:t>[</w:t>
      </w:r>
      <w:r w:rsidRPr="001E3C88">
        <w:rPr>
          <w:rFonts w:ascii="Arial" w:hAnsi="Arial" w:cs="Arial"/>
          <w:sz w:val="18"/>
          <w:szCs w:val="18"/>
        </w:rPr>
        <w:t>75</w:t>
      </w:r>
      <w:r w:rsidR="00A23752">
        <w:rPr>
          <w:rFonts w:ascii="Arial" w:hAnsi="Arial" w:cs="Arial"/>
          <w:sz w:val="18"/>
          <w:szCs w:val="18"/>
        </w:rPr>
        <w:t>]</w:t>
      </w:r>
      <w:r w:rsidRPr="001E3C88">
        <w:rPr>
          <w:rFonts w:ascii="Arial" w:hAnsi="Arial" w:cs="Arial"/>
          <w:sz w:val="18"/>
          <w:szCs w:val="18"/>
        </w:rPr>
        <w:t>.</w:t>
      </w:r>
    </w:p>
  </w:footnote>
  <w:footnote w:id="57">
    <w:p w14:paraId="72F9A9D8" w14:textId="77777777"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Pr="001E3C88">
        <w:rPr>
          <w:rFonts w:ascii="Arial" w:hAnsi="Arial" w:cs="Arial"/>
          <w:i/>
          <w:sz w:val="18"/>
          <w:szCs w:val="18"/>
          <w:lang w:eastAsia="en-GB"/>
        </w:rPr>
        <w:t>Vosylius v United Kingdom</w:t>
      </w:r>
      <w:r w:rsidRPr="001E3C88">
        <w:rPr>
          <w:rFonts w:ascii="Arial" w:hAnsi="Arial" w:cs="Arial"/>
          <w:sz w:val="18"/>
          <w:szCs w:val="18"/>
          <w:lang w:eastAsia="en-GB"/>
        </w:rPr>
        <w:t xml:space="preserve"> </w:t>
      </w:r>
      <w:r w:rsidRPr="001E3C88">
        <w:rPr>
          <w:rFonts w:ascii="Arial" w:hAnsi="Arial" w:cs="Arial"/>
          <w:sz w:val="18"/>
          <w:szCs w:val="18"/>
        </w:rPr>
        <w:t>(2013) 57 EHRR SE20.</w:t>
      </w:r>
    </w:p>
  </w:footnote>
  <w:footnote w:id="58">
    <w:p w14:paraId="6EF5C325" w14:textId="77777777"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Pr="001E3C88">
        <w:rPr>
          <w:rFonts w:ascii="Arial" w:hAnsi="Arial" w:cs="Arial"/>
          <w:i/>
          <w:iCs/>
          <w:sz w:val="18"/>
          <w:szCs w:val="18"/>
        </w:rPr>
        <w:t>Menson v United Kingdom</w:t>
      </w:r>
      <w:r w:rsidRPr="001E3C88">
        <w:rPr>
          <w:rFonts w:ascii="Arial" w:hAnsi="Arial" w:cs="Arial"/>
          <w:sz w:val="18"/>
          <w:szCs w:val="18"/>
        </w:rPr>
        <w:t xml:space="preserve"> [2003] EHRR CD220.</w:t>
      </w:r>
    </w:p>
  </w:footnote>
  <w:footnote w:id="59">
    <w:p w14:paraId="654C500F" w14:textId="2BC32F4F" w:rsidR="001E3C88" w:rsidRPr="001E3C88" w:rsidRDefault="001E3C88" w:rsidP="001E3C88">
      <w:pPr>
        <w:spacing w:after="0" w:line="240" w:lineRule="auto"/>
        <w:rPr>
          <w:rFonts w:ascii="Arial" w:hAnsi="Arial" w:cs="Arial"/>
          <w:sz w:val="18"/>
          <w:szCs w:val="18"/>
          <w:lang w:eastAsia="en-GB"/>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Pr="001E3C88">
        <w:rPr>
          <w:rFonts w:ascii="Arial" w:hAnsi="Arial" w:cs="Arial"/>
          <w:i/>
          <w:iCs/>
          <w:sz w:val="18"/>
          <w:szCs w:val="18"/>
          <w:lang w:eastAsia="en-GB"/>
        </w:rPr>
        <w:t>Oneryildiz v Turkey</w:t>
      </w:r>
      <w:r w:rsidRPr="001E3C88">
        <w:rPr>
          <w:rFonts w:ascii="Arial" w:hAnsi="Arial" w:cs="Arial"/>
          <w:sz w:val="18"/>
          <w:szCs w:val="18"/>
        </w:rPr>
        <w:t xml:space="preserve"> </w:t>
      </w:r>
      <w:hyperlink r:id="rId5" w:tooltip="Link to BAILII version" w:history="1">
        <w:r w:rsidRPr="001E3C88">
          <w:rPr>
            <w:rFonts w:ascii="Arial" w:hAnsi="Arial" w:cs="Arial"/>
            <w:sz w:val="18"/>
            <w:szCs w:val="18"/>
          </w:rPr>
          <w:t>(2005) 41 EHRR 20</w:t>
        </w:r>
      </w:hyperlink>
      <w:r w:rsidRPr="001E3C88">
        <w:rPr>
          <w:rFonts w:ascii="Arial" w:hAnsi="Arial" w:cs="Arial"/>
          <w:sz w:val="18"/>
          <w:szCs w:val="18"/>
        </w:rPr>
        <w:t xml:space="preserve">, </w:t>
      </w:r>
      <w:r w:rsidR="00A23752">
        <w:rPr>
          <w:rFonts w:ascii="Arial" w:hAnsi="Arial" w:cs="Arial"/>
          <w:sz w:val="18"/>
          <w:szCs w:val="18"/>
        </w:rPr>
        <w:t>[</w:t>
      </w:r>
      <w:r w:rsidRPr="001E3C88">
        <w:rPr>
          <w:rFonts w:ascii="Arial" w:hAnsi="Arial" w:cs="Arial"/>
          <w:sz w:val="18"/>
          <w:szCs w:val="18"/>
        </w:rPr>
        <w:t>89</w:t>
      </w:r>
      <w:r w:rsidR="00A23752">
        <w:rPr>
          <w:rFonts w:ascii="Arial" w:hAnsi="Arial" w:cs="Arial"/>
          <w:sz w:val="18"/>
          <w:szCs w:val="18"/>
        </w:rPr>
        <w:t>]</w:t>
      </w:r>
      <w:r w:rsidRPr="001E3C88">
        <w:rPr>
          <w:rFonts w:ascii="Arial" w:hAnsi="Arial" w:cs="Arial"/>
          <w:sz w:val="18"/>
          <w:szCs w:val="18"/>
        </w:rPr>
        <w:t>.</w:t>
      </w:r>
    </w:p>
  </w:footnote>
  <w:footnote w:id="60">
    <w:p w14:paraId="3BA845C3" w14:textId="77777777" w:rsidR="001E3C88" w:rsidRPr="001E3C88" w:rsidRDefault="001E3C88" w:rsidP="001E3C88">
      <w:pPr>
        <w:pStyle w:val="FootnoteText"/>
        <w:rPr>
          <w:rFonts w:ascii="Arial" w:hAnsi="Arial" w:cs="Arial"/>
          <w:sz w:val="18"/>
          <w:szCs w:val="18"/>
          <w:lang w:val="en-US"/>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Pr="001E3C88">
        <w:rPr>
          <w:rFonts w:ascii="Arial" w:hAnsi="Arial" w:cs="Arial"/>
          <w:i/>
          <w:sz w:val="18"/>
          <w:szCs w:val="18"/>
        </w:rPr>
        <w:t>Kilic v Turkey</w:t>
      </w:r>
      <w:r w:rsidRPr="001E3C88">
        <w:rPr>
          <w:rFonts w:ascii="Arial" w:hAnsi="Arial" w:cs="Arial"/>
          <w:sz w:val="18"/>
          <w:szCs w:val="18"/>
        </w:rPr>
        <w:t xml:space="preserve"> Application no. 63034/11.</w:t>
      </w:r>
    </w:p>
  </w:footnote>
  <w:footnote w:id="61">
    <w:p w14:paraId="5119B208" w14:textId="42707D5F" w:rsidR="00DB0B3E" w:rsidRPr="001E3C88" w:rsidRDefault="00DB0B3E" w:rsidP="00DB0B3E">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[2013] UKSC 39, </w:t>
      </w:r>
      <w:r w:rsidR="00A23752">
        <w:rPr>
          <w:rFonts w:ascii="Arial" w:hAnsi="Arial" w:cs="Arial"/>
          <w:sz w:val="18"/>
          <w:szCs w:val="18"/>
        </w:rPr>
        <w:t>[</w:t>
      </w:r>
      <w:r w:rsidRPr="001E3C88">
        <w:rPr>
          <w:rFonts w:ascii="Arial" w:hAnsi="Arial" w:cs="Arial"/>
          <w:sz w:val="18"/>
          <w:szCs w:val="18"/>
        </w:rPr>
        <w:t>74</w:t>
      </w:r>
      <w:r w:rsidR="00A23752">
        <w:rPr>
          <w:rFonts w:ascii="Arial" w:hAnsi="Arial" w:cs="Arial"/>
          <w:sz w:val="18"/>
          <w:szCs w:val="18"/>
        </w:rPr>
        <w:t>]</w:t>
      </w:r>
      <w:r w:rsidRPr="001E3C88">
        <w:rPr>
          <w:rFonts w:ascii="Arial" w:hAnsi="Arial" w:cs="Arial"/>
          <w:sz w:val="18"/>
          <w:szCs w:val="18"/>
        </w:rPr>
        <w:t xml:space="preserve">. </w:t>
      </w:r>
    </w:p>
  </w:footnote>
  <w:footnote w:id="62">
    <w:p w14:paraId="4413C86D" w14:textId="77777777"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For a sample of the countless projects which have for many years sought to make streets safer see the discussions in United Nations, </w:t>
      </w:r>
      <w:r w:rsidRPr="001E3C88">
        <w:rPr>
          <w:rFonts w:ascii="Arial" w:hAnsi="Arial" w:cs="Arial"/>
          <w:i/>
          <w:iCs/>
          <w:sz w:val="18"/>
          <w:szCs w:val="18"/>
        </w:rPr>
        <w:t>Making Cities Safer for Women</w:t>
      </w:r>
      <w:r w:rsidRPr="001E3C88">
        <w:rPr>
          <w:rFonts w:ascii="Arial" w:hAnsi="Arial" w:cs="Arial"/>
          <w:sz w:val="18"/>
          <w:szCs w:val="18"/>
        </w:rPr>
        <w:t xml:space="preserve"> (United Nations, 2022); HM Government, Safer Streets for Women (HM Government, 2021); Action Aid, </w:t>
      </w:r>
      <w:r w:rsidRPr="001E3C88">
        <w:rPr>
          <w:rFonts w:ascii="Arial" w:hAnsi="Arial" w:cs="Arial"/>
          <w:i/>
          <w:iCs/>
          <w:sz w:val="18"/>
          <w:szCs w:val="18"/>
        </w:rPr>
        <w:t>Making Streets Safer</w:t>
      </w:r>
      <w:r w:rsidRPr="001E3C88">
        <w:rPr>
          <w:rFonts w:ascii="Arial" w:hAnsi="Arial" w:cs="Arial"/>
          <w:sz w:val="18"/>
          <w:szCs w:val="18"/>
        </w:rPr>
        <w:t xml:space="preserve"> (Action Aid, 2023)</w:t>
      </w:r>
    </w:p>
  </w:footnote>
  <w:footnote w:id="63">
    <w:p w14:paraId="45FCE719" w14:textId="67A4CD4C" w:rsidR="001E3C88" w:rsidRPr="001E3C88" w:rsidRDefault="001E3C88" w:rsidP="001E3C88">
      <w:pPr>
        <w:spacing w:after="0" w:line="240" w:lineRule="auto"/>
        <w:rPr>
          <w:rFonts w:ascii="Arial" w:hAnsi="Arial" w:cs="Arial"/>
          <w:color w:val="000000"/>
          <w:sz w:val="18"/>
          <w:szCs w:val="18"/>
          <w:lang w:val="x-none"/>
        </w:rPr>
      </w:pPr>
      <w:r w:rsidRPr="001E3C88">
        <w:rPr>
          <w:rStyle w:val="FootnoteReference"/>
          <w:rFonts w:ascii="Arial" w:hAnsi="Arial" w:cs="Arial"/>
          <w:sz w:val="18"/>
          <w:szCs w:val="18"/>
        </w:rPr>
        <w:footnoteRef/>
      </w:r>
      <w:r w:rsidRPr="001E3C88">
        <w:rPr>
          <w:rFonts w:ascii="Arial" w:hAnsi="Arial" w:cs="Arial"/>
          <w:sz w:val="18"/>
          <w:szCs w:val="18"/>
        </w:rPr>
        <w:t xml:space="preserve"> R</w:t>
      </w:r>
      <w:r w:rsidR="00794A07">
        <w:rPr>
          <w:rFonts w:ascii="Arial" w:hAnsi="Arial" w:cs="Arial"/>
          <w:sz w:val="18"/>
          <w:szCs w:val="18"/>
        </w:rPr>
        <w:t>onagh</w:t>
      </w:r>
      <w:r w:rsidRPr="001E3C88">
        <w:rPr>
          <w:rFonts w:ascii="Arial" w:hAnsi="Arial" w:cs="Arial"/>
          <w:sz w:val="18"/>
          <w:szCs w:val="18"/>
        </w:rPr>
        <w:t xml:space="preserve"> </w:t>
      </w:r>
      <w:r w:rsidRPr="001E3C88">
        <w:rPr>
          <w:rFonts w:ascii="Arial" w:hAnsi="Arial" w:cs="Arial"/>
          <w:color w:val="000000"/>
          <w:sz w:val="18"/>
          <w:szCs w:val="18"/>
        </w:rPr>
        <w:t xml:space="preserve">McQuigg, </w:t>
      </w:r>
      <w:r w:rsidRPr="001E3C88">
        <w:rPr>
          <w:rFonts w:ascii="Arial" w:hAnsi="Arial" w:cs="Arial"/>
          <w:i/>
          <w:color w:val="000000"/>
          <w:sz w:val="18"/>
          <w:szCs w:val="18"/>
          <w:lang w:val="x-none"/>
        </w:rPr>
        <w:t>The Istanbul Convention,</w:t>
      </w:r>
      <w:r w:rsidRPr="001E3C88">
        <w:rPr>
          <w:rFonts w:ascii="Arial" w:hAnsi="Arial" w:cs="Arial"/>
          <w:i/>
          <w:color w:val="000000"/>
          <w:sz w:val="18"/>
          <w:szCs w:val="18"/>
        </w:rPr>
        <w:t xml:space="preserve"> </w:t>
      </w:r>
      <w:r w:rsidRPr="001E3C88">
        <w:rPr>
          <w:rFonts w:ascii="Arial" w:hAnsi="Arial" w:cs="Arial"/>
          <w:i/>
          <w:color w:val="000000"/>
          <w:sz w:val="18"/>
          <w:szCs w:val="18"/>
          <w:lang w:val="x-none"/>
        </w:rPr>
        <w:t>Domestic</w:t>
      </w:r>
      <w:r w:rsidRPr="001E3C88">
        <w:rPr>
          <w:rFonts w:ascii="Arial" w:hAnsi="Arial" w:cs="Arial"/>
          <w:i/>
          <w:color w:val="000000"/>
          <w:sz w:val="18"/>
          <w:szCs w:val="18"/>
        </w:rPr>
        <w:t xml:space="preserve"> V</w:t>
      </w:r>
      <w:r w:rsidRPr="001E3C88">
        <w:rPr>
          <w:rFonts w:ascii="Arial" w:hAnsi="Arial" w:cs="Arial"/>
          <w:i/>
          <w:color w:val="000000"/>
          <w:sz w:val="18"/>
          <w:szCs w:val="18"/>
          <w:lang w:val="x-none"/>
        </w:rPr>
        <w:t>iolence and</w:t>
      </w:r>
      <w:r w:rsidRPr="001E3C88">
        <w:rPr>
          <w:rFonts w:ascii="Arial" w:hAnsi="Arial" w:cs="Arial"/>
          <w:i/>
          <w:color w:val="000000"/>
          <w:sz w:val="18"/>
          <w:szCs w:val="18"/>
        </w:rPr>
        <w:t xml:space="preserve"> </w:t>
      </w:r>
      <w:r w:rsidRPr="001E3C88">
        <w:rPr>
          <w:rFonts w:ascii="Arial" w:hAnsi="Arial" w:cs="Arial"/>
          <w:i/>
          <w:color w:val="000000"/>
          <w:sz w:val="18"/>
          <w:szCs w:val="18"/>
          <w:lang w:val="x-none"/>
        </w:rPr>
        <w:t>Human Rights</w:t>
      </w:r>
      <w:r w:rsidRPr="001E3C88">
        <w:rPr>
          <w:rFonts w:ascii="Arial" w:hAnsi="Arial" w:cs="Arial"/>
          <w:i/>
          <w:color w:val="000000"/>
          <w:sz w:val="18"/>
          <w:szCs w:val="18"/>
        </w:rPr>
        <w:t xml:space="preserve"> </w:t>
      </w:r>
      <w:r w:rsidRPr="001E3C88">
        <w:rPr>
          <w:rFonts w:ascii="Arial" w:hAnsi="Arial" w:cs="Arial"/>
          <w:iCs/>
          <w:color w:val="000000"/>
          <w:sz w:val="18"/>
          <w:szCs w:val="18"/>
        </w:rPr>
        <w:t>(</w:t>
      </w:r>
      <w:r w:rsidRPr="001E3C88">
        <w:rPr>
          <w:rFonts w:ascii="Arial" w:hAnsi="Arial" w:cs="Arial"/>
          <w:color w:val="000000"/>
          <w:sz w:val="18"/>
          <w:szCs w:val="18"/>
        </w:rPr>
        <w:t xml:space="preserve">Routledge, 2017); </w:t>
      </w:r>
      <w:r w:rsidR="00794A07">
        <w:t xml:space="preserve">Kevät </w:t>
      </w:r>
      <w:r w:rsidRPr="001E3C88">
        <w:rPr>
          <w:rFonts w:ascii="Arial" w:hAnsi="Arial" w:cs="Arial"/>
          <w:color w:val="000000"/>
          <w:sz w:val="18"/>
          <w:szCs w:val="18"/>
        </w:rPr>
        <w:t>Nousiainen, ‘</w:t>
      </w:r>
      <w:r w:rsidRPr="001E3C88">
        <w:rPr>
          <w:rFonts w:ascii="Arial" w:hAnsi="Arial" w:cs="Arial"/>
          <w:sz w:val="18"/>
          <w:szCs w:val="18"/>
        </w:rPr>
        <w:t xml:space="preserve">The Istanbul Convention and the EU: Converging </w:t>
      </w:r>
      <w:r w:rsidR="00895EF8">
        <w:rPr>
          <w:rFonts w:ascii="Arial" w:hAnsi="Arial" w:cs="Arial"/>
          <w:sz w:val="18"/>
          <w:szCs w:val="18"/>
        </w:rPr>
        <w:t>S</w:t>
      </w:r>
      <w:r w:rsidRPr="001E3C88">
        <w:rPr>
          <w:rFonts w:ascii="Arial" w:hAnsi="Arial" w:cs="Arial"/>
          <w:sz w:val="18"/>
          <w:szCs w:val="18"/>
        </w:rPr>
        <w:t xml:space="preserve">tandards on </w:t>
      </w:r>
      <w:r w:rsidR="00895EF8">
        <w:rPr>
          <w:rFonts w:ascii="Arial" w:hAnsi="Arial" w:cs="Arial"/>
          <w:sz w:val="18"/>
          <w:szCs w:val="18"/>
        </w:rPr>
        <w:t>V</w:t>
      </w:r>
      <w:r w:rsidRPr="001E3C88">
        <w:rPr>
          <w:rFonts w:ascii="Arial" w:hAnsi="Arial" w:cs="Arial"/>
          <w:sz w:val="18"/>
          <w:szCs w:val="18"/>
        </w:rPr>
        <w:t xml:space="preserve">iolence against </w:t>
      </w:r>
      <w:r w:rsidR="00895EF8">
        <w:rPr>
          <w:rFonts w:ascii="Arial" w:hAnsi="Arial" w:cs="Arial"/>
          <w:sz w:val="18"/>
          <w:szCs w:val="18"/>
        </w:rPr>
        <w:t>W</w:t>
      </w:r>
      <w:r w:rsidRPr="001E3C88">
        <w:rPr>
          <w:rFonts w:ascii="Arial" w:hAnsi="Arial" w:cs="Arial"/>
          <w:sz w:val="18"/>
          <w:szCs w:val="18"/>
        </w:rPr>
        <w:t xml:space="preserve">omen?’ (2016) </w:t>
      </w:r>
      <w:r w:rsidRPr="001E3C88">
        <w:rPr>
          <w:rFonts w:ascii="Arial" w:hAnsi="Arial" w:cs="Arial"/>
          <w:i/>
          <w:sz w:val="18"/>
          <w:szCs w:val="18"/>
        </w:rPr>
        <w:t>European Equality Law Review</w:t>
      </w:r>
      <w:r w:rsidRPr="001E3C88">
        <w:rPr>
          <w:rFonts w:ascii="Arial" w:hAnsi="Arial" w:cs="Arial"/>
          <w:sz w:val="18"/>
          <w:szCs w:val="18"/>
        </w:rPr>
        <w:t xml:space="preserve"> 2443.</w:t>
      </w:r>
    </w:p>
  </w:footnote>
  <w:footnote w:id="64">
    <w:p w14:paraId="123A7A55" w14:textId="4561E36C" w:rsidR="001E3C88" w:rsidRPr="001E3C88" w:rsidRDefault="001E3C88" w:rsidP="001E3C88">
      <w:pPr>
        <w:spacing w:after="0" w:line="240" w:lineRule="auto"/>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S</w:t>
      </w:r>
      <w:r w:rsidR="00794A07">
        <w:rPr>
          <w:rFonts w:ascii="Arial" w:hAnsi="Arial" w:cs="Arial"/>
          <w:sz w:val="18"/>
          <w:szCs w:val="18"/>
        </w:rPr>
        <w:t>hazia</w:t>
      </w:r>
      <w:r w:rsidR="00794A07" w:rsidRPr="001E3C88">
        <w:rPr>
          <w:rFonts w:ascii="Arial" w:hAnsi="Arial" w:cs="Arial"/>
          <w:sz w:val="18"/>
          <w:szCs w:val="18"/>
        </w:rPr>
        <w:t xml:space="preserve"> </w:t>
      </w:r>
      <w:r w:rsidRPr="001E3C88">
        <w:rPr>
          <w:rFonts w:ascii="Arial" w:hAnsi="Arial" w:cs="Arial"/>
          <w:color w:val="000000"/>
          <w:sz w:val="18"/>
          <w:szCs w:val="18"/>
          <w:lang w:val="en-US"/>
        </w:rPr>
        <w:t>Choudhry</w:t>
      </w:r>
      <w:r w:rsidR="000918C0">
        <w:rPr>
          <w:rFonts w:ascii="Arial" w:hAnsi="Arial" w:cs="Arial"/>
          <w:color w:val="000000"/>
          <w:sz w:val="18"/>
          <w:szCs w:val="18"/>
          <w:lang w:val="en-US"/>
        </w:rPr>
        <w:t>,</w:t>
      </w:r>
      <w:r w:rsidRPr="001E3C88">
        <w:rPr>
          <w:rFonts w:ascii="Arial" w:hAnsi="Arial" w:cs="Arial"/>
          <w:color w:val="000000"/>
          <w:sz w:val="18"/>
          <w:szCs w:val="18"/>
          <w:lang w:val="en-US"/>
        </w:rPr>
        <w:t xml:space="preserve"> </w:t>
      </w:r>
      <w:r w:rsidR="000918C0">
        <w:rPr>
          <w:rFonts w:ascii="Arial" w:hAnsi="Arial" w:cs="Arial"/>
          <w:color w:val="000000"/>
          <w:sz w:val="18"/>
          <w:szCs w:val="18"/>
          <w:lang w:val="en-US"/>
        </w:rPr>
        <w:t>‘</w:t>
      </w:r>
      <w:r w:rsidRPr="001E3C88">
        <w:rPr>
          <w:rFonts w:ascii="Arial" w:hAnsi="Arial" w:cs="Arial"/>
          <w:sz w:val="18"/>
          <w:szCs w:val="18"/>
        </w:rPr>
        <w:t xml:space="preserve">When Women's Rights are </w:t>
      </w:r>
      <w:r w:rsidRPr="001E3C88">
        <w:rPr>
          <w:rFonts w:ascii="Arial" w:hAnsi="Arial" w:cs="Arial"/>
          <w:i/>
          <w:iCs/>
          <w:sz w:val="18"/>
          <w:szCs w:val="18"/>
        </w:rPr>
        <w:t>Not</w:t>
      </w:r>
      <w:r w:rsidRPr="001E3C88">
        <w:rPr>
          <w:rFonts w:ascii="Arial" w:hAnsi="Arial" w:cs="Arial"/>
          <w:sz w:val="18"/>
          <w:szCs w:val="18"/>
        </w:rPr>
        <w:t xml:space="preserve"> Human Rights – the Non</w:t>
      </w:r>
      <w:r w:rsidRPr="001E3C88">
        <w:rPr>
          <w:rFonts w:ascii="Cambria Math" w:hAnsi="Cambria Math" w:cs="Cambria Math"/>
          <w:sz w:val="18"/>
          <w:szCs w:val="18"/>
        </w:rPr>
        <w:t>‐</w:t>
      </w:r>
      <w:r w:rsidRPr="001E3C88">
        <w:rPr>
          <w:rFonts w:ascii="Arial" w:hAnsi="Arial" w:cs="Arial"/>
          <w:sz w:val="18"/>
          <w:szCs w:val="18"/>
        </w:rPr>
        <w:t xml:space="preserve"> Performativity of the Human Rights of Victims of Domestic Abuse within English Family Law’ (2019) 72 </w:t>
      </w:r>
      <w:r w:rsidRPr="001E3C88">
        <w:rPr>
          <w:rFonts w:ascii="Arial" w:hAnsi="Arial" w:cs="Arial"/>
          <w:i/>
          <w:sz w:val="18"/>
          <w:szCs w:val="18"/>
        </w:rPr>
        <w:t>Modern Law Review</w:t>
      </w:r>
      <w:r w:rsidRPr="001E3C88">
        <w:rPr>
          <w:rFonts w:ascii="Arial" w:hAnsi="Arial" w:cs="Arial"/>
          <w:sz w:val="18"/>
          <w:szCs w:val="18"/>
        </w:rPr>
        <w:t xml:space="preserve"> 1075.</w:t>
      </w:r>
    </w:p>
  </w:footnote>
  <w:footnote w:id="65">
    <w:p w14:paraId="6873D6F5" w14:textId="575E87CA" w:rsidR="001E3C88" w:rsidRPr="001E3C88" w:rsidRDefault="001E3C88" w:rsidP="001E3C88">
      <w:pPr>
        <w:spacing w:after="0" w:line="240" w:lineRule="auto"/>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K</w:t>
      </w:r>
      <w:r w:rsidR="00794A07">
        <w:rPr>
          <w:rFonts w:ascii="Arial" w:hAnsi="Arial" w:cs="Arial"/>
          <w:sz w:val="18"/>
          <w:szCs w:val="18"/>
        </w:rPr>
        <w:t>imberley</w:t>
      </w:r>
      <w:r w:rsidRPr="001E3C88">
        <w:rPr>
          <w:rFonts w:ascii="Arial" w:hAnsi="Arial" w:cs="Arial"/>
          <w:sz w:val="18"/>
          <w:szCs w:val="18"/>
        </w:rPr>
        <w:t xml:space="preserve"> Fairchild, ‘Context Effects on Women’s Perceptions of Stranger Harassment’ (2010) 14 </w:t>
      </w:r>
      <w:r w:rsidRPr="001E3C88">
        <w:rPr>
          <w:rFonts w:ascii="Arial" w:hAnsi="Arial" w:cs="Arial"/>
          <w:i/>
          <w:iCs/>
          <w:sz w:val="18"/>
          <w:szCs w:val="18"/>
        </w:rPr>
        <w:t>Sexuality and Culture</w:t>
      </w:r>
      <w:r w:rsidRPr="001E3C88">
        <w:rPr>
          <w:rFonts w:ascii="Arial" w:hAnsi="Arial" w:cs="Arial"/>
          <w:sz w:val="18"/>
          <w:szCs w:val="18"/>
        </w:rPr>
        <w:t xml:space="preserve"> 191. </w:t>
      </w:r>
    </w:p>
  </w:footnote>
  <w:footnote w:id="66">
    <w:p w14:paraId="3F0A6B2B" w14:textId="608C3D41" w:rsidR="001E3C88" w:rsidRPr="001E3C88" w:rsidRDefault="001E3C88" w:rsidP="001E3C88">
      <w:pPr>
        <w:spacing w:after="0" w:line="240" w:lineRule="auto"/>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F</w:t>
      </w:r>
      <w:r w:rsidR="00794A07">
        <w:rPr>
          <w:rFonts w:ascii="Arial" w:hAnsi="Arial" w:cs="Arial"/>
          <w:sz w:val="18"/>
          <w:szCs w:val="18"/>
        </w:rPr>
        <w:t>iona</w:t>
      </w:r>
      <w:r w:rsidRPr="001E3C88">
        <w:rPr>
          <w:rFonts w:ascii="Arial" w:hAnsi="Arial" w:cs="Arial"/>
          <w:sz w:val="18"/>
          <w:szCs w:val="18"/>
        </w:rPr>
        <w:t xml:space="preserve"> Vera-Gray, </w:t>
      </w:r>
      <w:r w:rsidRPr="001E3C88">
        <w:rPr>
          <w:rFonts w:ascii="Arial" w:hAnsi="Arial" w:cs="Arial"/>
          <w:i/>
          <w:iCs/>
          <w:sz w:val="18"/>
          <w:szCs w:val="18"/>
        </w:rPr>
        <w:t>The Right Amount of Panic: How Women Trade Freedom for Safety</w:t>
      </w:r>
      <w:r w:rsidRPr="001E3C88">
        <w:rPr>
          <w:rFonts w:ascii="Arial" w:hAnsi="Arial" w:cs="Arial"/>
          <w:sz w:val="18"/>
          <w:szCs w:val="18"/>
        </w:rPr>
        <w:t xml:space="preserve"> (Policy Press, 2018).</w:t>
      </w:r>
    </w:p>
  </w:footnote>
  <w:footnote w:id="67">
    <w:p w14:paraId="0DBE1542" w14:textId="2671D8DC" w:rsidR="001E3C88" w:rsidRPr="001E3C88" w:rsidRDefault="001E3C88" w:rsidP="001E3C88">
      <w:pPr>
        <w:spacing w:after="0" w:line="240" w:lineRule="auto"/>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H</w:t>
      </w:r>
      <w:r w:rsidR="00794A07">
        <w:rPr>
          <w:rFonts w:ascii="Arial" w:hAnsi="Arial" w:cs="Arial"/>
          <w:sz w:val="18"/>
          <w:szCs w:val="18"/>
        </w:rPr>
        <w:t>olly</w:t>
      </w:r>
      <w:r w:rsidRPr="001E3C88">
        <w:rPr>
          <w:rFonts w:ascii="Arial" w:hAnsi="Arial" w:cs="Arial"/>
          <w:sz w:val="18"/>
          <w:szCs w:val="18"/>
        </w:rPr>
        <w:t xml:space="preserve"> </w:t>
      </w:r>
      <w:r w:rsidR="00794A07">
        <w:rPr>
          <w:rFonts w:ascii="Arial" w:hAnsi="Arial" w:cs="Arial"/>
          <w:sz w:val="18"/>
          <w:szCs w:val="18"/>
        </w:rPr>
        <w:t>K</w:t>
      </w:r>
      <w:r w:rsidRPr="001E3C88">
        <w:rPr>
          <w:rFonts w:ascii="Arial" w:hAnsi="Arial" w:cs="Arial"/>
          <w:sz w:val="18"/>
          <w:szCs w:val="18"/>
        </w:rPr>
        <w:t>earl,</w:t>
      </w:r>
      <w:r w:rsidR="009F3F37">
        <w:rPr>
          <w:rFonts w:ascii="Arial" w:hAnsi="Arial" w:cs="Arial"/>
          <w:sz w:val="18"/>
          <w:szCs w:val="18"/>
        </w:rPr>
        <w:t xml:space="preserve"> </w:t>
      </w:r>
      <w:r w:rsidRPr="001E3C88">
        <w:rPr>
          <w:rFonts w:ascii="Arial" w:hAnsi="Arial" w:cs="Arial"/>
          <w:i/>
          <w:iCs/>
          <w:sz w:val="18"/>
          <w:szCs w:val="18"/>
        </w:rPr>
        <w:t>Stop Street Harassment: Making Public Places Safe and Welcoming for Women</w:t>
      </w:r>
      <w:r w:rsidRPr="001E3C88">
        <w:rPr>
          <w:rFonts w:ascii="Arial" w:hAnsi="Arial" w:cs="Arial"/>
          <w:sz w:val="18"/>
          <w:szCs w:val="18"/>
        </w:rPr>
        <w:t xml:space="preserve"> (Praeger, 2010).</w:t>
      </w:r>
    </w:p>
  </w:footnote>
  <w:footnote w:id="68">
    <w:p w14:paraId="50424723" w14:textId="45DA7E1D" w:rsidR="001E3C88" w:rsidRPr="001E3C88" w:rsidRDefault="001E3C88" w:rsidP="001E3C88">
      <w:pPr>
        <w:spacing w:after="0" w:line="240" w:lineRule="auto"/>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C</w:t>
      </w:r>
      <w:r w:rsidR="00794A07">
        <w:rPr>
          <w:rFonts w:ascii="Arial" w:hAnsi="Arial" w:cs="Arial"/>
          <w:sz w:val="18"/>
          <w:szCs w:val="18"/>
        </w:rPr>
        <w:t>iara</w:t>
      </w:r>
      <w:r w:rsidRPr="001E3C88">
        <w:rPr>
          <w:rFonts w:ascii="Arial" w:hAnsi="Arial" w:cs="Arial"/>
          <w:sz w:val="18"/>
          <w:szCs w:val="18"/>
        </w:rPr>
        <w:t xml:space="preserve"> Fullarton, ‘Sarah Everard: SNP MP </w:t>
      </w:r>
      <w:r w:rsidR="00895EF8">
        <w:rPr>
          <w:rFonts w:ascii="Arial" w:hAnsi="Arial" w:cs="Arial"/>
          <w:sz w:val="18"/>
          <w:szCs w:val="18"/>
        </w:rPr>
        <w:t>C</w:t>
      </w:r>
      <w:r w:rsidRPr="001E3C88">
        <w:rPr>
          <w:rFonts w:ascii="Arial" w:hAnsi="Arial" w:cs="Arial"/>
          <w:sz w:val="18"/>
          <w:szCs w:val="18"/>
        </w:rPr>
        <w:t xml:space="preserve">alls for </w:t>
      </w:r>
      <w:r w:rsidR="00895EF8">
        <w:rPr>
          <w:rFonts w:ascii="Arial" w:hAnsi="Arial" w:cs="Arial"/>
          <w:sz w:val="18"/>
          <w:szCs w:val="18"/>
        </w:rPr>
        <w:t>M</w:t>
      </w:r>
      <w:r w:rsidRPr="001E3C88">
        <w:rPr>
          <w:rFonts w:ascii="Arial" w:hAnsi="Arial" w:cs="Arial"/>
          <w:sz w:val="18"/>
          <w:szCs w:val="18"/>
        </w:rPr>
        <w:t xml:space="preserve">ale </w:t>
      </w:r>
      <w:r w:rsidR="00895EF8">
        <w:rPr>
          <w:rFonts w:ascii="Arial" w:hAnsi="Arial" w:cs="Arial"/>
          <w:sz w:val="18"/>
          <w:szCs w:val="18"/>
        </w:rPr>
        <w:t>C</w:t>
      </w:r>
      <w:r w:rsidRPr="001E3C88">
        <w:rPr>
          <w:rFonts w:ascii="Arial" w:hAnsi="Arial" w:cs="Arial"/>
          <w:sz w:val="18"/>
          <w:szCs w:val="18"/>
        </w:rPr>
        <w:t xml:space="preserve">urfew in </w:t>
      </w:r>
      <w:r w:rsidR="00895EF8">
        <w:rPr>
          <w:rFonts w:ascii="Arial" w:hAnsi="Arial" w:cs="Arial"/>
          <w:sz w:val="18"/>
          <w:szCs w:val="18"/>
        </w:rPr>
        <w:t>A</w:t>
      </w:r>
      <w:r w:rsidRPr="001E3C88">
        <w:rPr>
          <w:rFonts w:ascii="Arial" w:hAnsi="Arial" w:cs="Arial"/>
          <w:sz w:val="18"/>
          <w:szCs w:val="18"/>
        </w:rPr>
        <w:t xml:space="preserve">reas </w:t>
      </w:r>
      <w:r w:rsidR="00895EF8">
        <w:rPr>
          <w:rFonts w:ascii="Arial" w:hAnsi="Arial" w:cs="Arial"/>
          <w:sz w:val="18"/>
          <w:szCs w:val="18"/>
        </w:rPr>
        <w:t>W</w:t>
      </w:r>
      <w:r w:rsidRPr="001E3C88">
        <w:rPr>
          <w:rFonts w:ascii="Arial" w:hAnsi="Arial" w:cs="Arial"/>
          <w:sz w:val="18"/>
          <w:szCs w:val="18"/>
        </w:rPr>
        <w:t xml:space="preserve">here </w:t>
      </w:r>
      <w:r w:rsidR="00895EF8">
        <w:rPr>
          <w:rFonts w:ascii="Arial" w:hAnsi="Arial" w:cs="Arial"/>
          <w:sz w:val="18"/>
          <w:szCs w:val="18"/>
        </w:rPr>
        <w:t>W</w:t>
      </w:r>
      <w:r w:rsidRPr="001E3C88">
        <w:rPr>
          <w:rFonts w:ascii="Arial" w:hAnsi="Arial" w:cs="Arial"/>
          <w:sz w:val="18"/>
          <w:szCs w:val="18"/>
        </w:rPr>
        <w:t xml:space="preserve">omen </w:t>
      </w:r>
      <w:r w:rsidR="00895EF8">
        <w:rPr>
          <w:rFonts w:ascii="Arial" w:hAnsi="Arial" w:cs="Arial"/>
          <w:sz w:val="18"/>
          <w:szCs w:val="18"/>
        </w:rPr>
        <w:t>M</w:t>
      </w:r>
      <w:r w:rsidRPr="001E3C88">
        <w:rPr>
          <w:rFonts w:ascii="Arial" w:hAnsi="Arial" w:cs="Arial"/>
          <w:sz w:val="18"/>
          <w:szCs w:val="18"/>
        </w:rPr>
        <w:t xml:space="preserve">urdered’ </w:t>
      </w:r>
      <w:r w:rsidRPr="001E3C88">
        <w:rPr>
          <w:rFonts w:ascii="Arial" w:hAnsi="Arial" w:cs="Arial"/>
          <w:i/>
          <w:iCs/>
          <w:sz w:val="18"/>
          <w:szCs w:val="18"/>
        </w:rPr>
        <w:t>The National</w:t>
      </w:r>
      <w:r w:rsidRPr="001E3C88">
        <w:rPr>
          <w:rFonts w:ascii="Arial" w:hAnsi="Arial" w:cs="Arial"/>
          <w:sz w:val="18"/>
          <w:szCs w:val="18"/>
        </w:rPr>
        <w:t>, 14th March 2021</w:t>
      </w:r>
      <w:r w:rsidR="00794A07">
        <w:rPr>
          <w:rFonts w:ascii="Arial" w:hAnsi="Arial" w:cs="Arial"/>
          <w:sz w:val="18"/>
          <w:szCs w:val="18"/>
        </w:rPr>
        <w:t xml:space="preserve"> </w:t>
      </w:r>
      <w:r w:rsidR="00794A07" w:rsidRPr="00794A07">
        <w:rPr>
          <w:rFonts w:ascii="Arial" w:hAnsi="Arial" w:cs="Arial"/>
          <w:sz w:val="18"/>
          <w:szCs w:val="18"/>
        </w:rPr>
        <w:t xml:space="preserve">https://www.thenational.scot/news/19159524.sarah-everard-snp-mp-calls-curfew-men-areas-women-murdered/ </w:t>
      </w:r>
      <w:r w:rsidR="00794A07">
        <w:rPr>
          <w:rFonts w:ascii="Arial" w:hAnsi="Arial" w:cs="Arial"/>
          <w:sz w:val="18"/>
          <w:szCs w:val="18"/>
        </w:rPr>
        <w:t>(last accessed 3 June 2024)</w:t>
      </w:r>
      <w:r w:rsidR="00CE568F">
        <w:rPr>
          <w:rFonts w:ascii="Arial" w:hAnsi="Arial" w:cs="Arial"/>
          <w:sz w:val="18"/>
          <w:szCs w:val="18"/>
        </w:rPr>
        <w:t>.</w:t>
      </w:r>
    </w:p>
  </w:footnote>
  <w:footnote w:id="69">
    <w:p w14:paraId="19AFF278" w14:textId="1D9BB40E" w:rsidR="001E3C88" w:rsidRPr="001E3C88" w:rsidRDefault="001E3C88" w:rsidP="001E3C88">
      <w:pPr>
        <w:tabs>
          <w:tab w:val="left" w:pos="775"/>
        </w:tabs>
        <w:autoSpaceDE w:val="0"/>
        <w:autoSpaceDN w:val="0"/>
        <w:adjustRightInd w:val="0"/>
        <w:snapToGrid w:val="0"/>
        <w:spacing w:after="0" w:line="240" w:lineRule="auto"/>
        <w:rPr>
          <w:rFonts w:ascii="Arial" w:eastAsia="Times New Roman" w:hAnsi="Arial" w:cs="Arial"/>
          <w:color w:val="000000"/>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Pr="001E3C88">
        <w:rPr>
          <w:rFonts w:ascii="Arial" w:eastAsia="Times New Roman" w:hAnsi="Arial" w:cs="Arial"/>
          <w:color w:val="000000"/>
          <w:sz w:val="18"/>
          <w:szCs w:val="18"/>
          <w:lang w:val="x-none"/>
        </w:rPr>
        <w:t>F</w:t>
      </w:r>
      <w:r w:rsidR="00794A07">
        <w:rPr>
          <w:rFonts w:ascii="Arial" w:eastAsia="Times New Roman" w:hAnsi="Arial" w:cs="Arial"/>
          <w:color w:val="000000"/>
          <w:sz w:val="18"/>
          <w:szCs w:val="18"/>
          <w:lang w:val="x-none"/>
        </w:rPr>
        <w:t>iona</w:t>
      </w:r>
      <w:r w:rsidRPr="001E3C88">
        <w:rPr>
          <w:rFonts w:ascii="Arial" w:eastAsia="Times New Roman" w:hAnsi="Arial" w:cs="Arial"/>
          <w:color w:val="000000"/>
          <w:sz w:val="18"/>
          <w:szCs w:val="18"/>
          <w:lang w:val="x-none"/>
        </w:rPr>
        <w:t xml:space="preserve"> Vera-Gray</w:t>
      </w:r>
      <w:r w:rsidRPr="001E3C88">
        <w:rPr>
          <w:rFonts w:ascii="Arial" w:eastAsia="Times New Roman" w:hAnsi="Arial" w:cs="Arial"/>
          <w:color w:val="000000"/>
          <w:sz w:val="18"/>
          <w:szCs w:val="18"/>
        </w:rPr>
        <w:t xml:space="preserve">, </w:t>
      </w:r>
      <w:r w:rsidR="000918C0">
        <w:rPr>
          <w:rFonts w:ascii="Arial" w:eastAsia="Times New Roman" w:hAnsi="Arial" w:cs="Arial"/>
          <w:color w:val="000000"/>
          <w:sz w:val="18"/>
          <w:szCs w:val="18"/>
        </w:rPr>
        <w:t>‘</w:t>
      </w:r>
      <w:r w:rsidRPr="001E3C88">
        <w:rPr>
          <w:rFonts w:ascii="Arial" w:eastAsia="Times New Roman" w:hAnsi="Arial" w:cs="Arial"/>
          <w:color w:val="000000"/>
          <w:sz w:val="18"/>
          <w:szCs w:val="18"/>
          <w:lang w:val="x-none"/>
        </w:rPr>
        <w:t xml:space="preserve">Men's </w:t>
      </w:r>
      <w:r w:rsidR="000918C0">
        <w:rPr>
          <w:rFonts w:ascii="Arial" w:eastAsia="Times New Roman" w:hAnsi="Arial" w:cs="Arial"/>
          <w:color w:val="000000"/>
          <w:sz w:val="18"/>
          <w:szCs w:val="18"/>
          <w:lang w:val="x-none"/>
        </w:rPr>
        <w:t>S</w:t>
      </w:r>
      <w:r w:rsidRPr="001E3C88">
        <w:rPr>
          <w:rFonts w:ascii="Arial" w:eastAsia="Times New Roman" w:hAnsi="Arial" w:cs="Arial"/>
          <w:color w:val="000000"/>
          <w:sz w:val="18"/>
          <w:szCs w:val="18"/>
          <w:lang w:val="x-none"/>
        </w:rPr>
        <w:t xml:space="preserve">tranger </w:t>
      </w:r>
      <w:r w:rsidR="000918C0">
        <w:rPr>
          <w:rFonts w:ascii="Arial" w:eastAsia="Times New Roman" w:hAnsi="Arial" w:cs="Arial"/>
          <w:color w:val="000000"/>
          <w:sz w:val="18"/>
          <w:szCs w:val="18"/>
          <w:lang w:val="x-none"/>
        </w:rPr>
        <w:t>I</w:t>
      </w:r>
      <w:r w:rsidRPr="001E3C88">
        <w:rPr>
          <w:rFonts w:ascii="Arial" w:eastAsia="Times New Roman" w:hAnsi="Arial" w:cs="Arial"/>
          <w:color w:val="000000"/>
          <w:sz w:val="18"/>
          <w:szCs w:val="18"/>
          <w:lang w:val="x-none"/>
        </w:rPr>
        <w:t xml:space="preserve">ntrusions: Rethinking </w:t>
      </w:r>
      <w:r w:rsidR="000918C0">
        <w:rPr>
          <w:rFonts w:ascii="Arial" w:eastAsia="Times New Roman" w:hAnsi="Arial" w:cs="Arial"/>
          <w:color w:val="000000"/>
          <w:sz w:val="18"/>
          <w:szCs w:val="18"/>
          <w:lang w:val="x-none"/>
        </w:rPr>
        <w:t>S</w:t>
      </w:r>
      <w:r w:rsidRPr="001E3C88">
        <w:rPr>
          <w:rFonts w:ascii="Arial" w:eastAsia="Times New Roman" w:hAnsi="Arial" w:cs="Arial"/>
          <w:color w:val="000000"/>
          <w:sz w:val="18"/>
          <w:szCs w:val="18"/>
          <w:lang w:val="x-none"/>
        </w:rPr>
        <w:t xml:space="preserve">treet </w:t>
      </w:r>
      <w:r w:rsidR="000918C0">
        <w:rPr>
          <w:rFonts w:ascii="Arial" w:eastAsia="Times New Roman" w:hAnsi="Arial" w:cs="Arial"/>
          <w:color w:val="000000"/>
          <w:sz w:val="18"/>
          <w:szCs w:val="18"/>
          <w:lang w:val="x-none"/>
        </w:rPr>
        <w:t>H</w:t>
      </w:r>
      <w:r w:rsidRPr="001E3C88">
        <w:rPr>
          <w:rFonts w:ascii="Arial" w:eastAsia="Times New Roman" w:hAnsi="Arial" w:cs="Arial"/>
          <w:color w:val="000000"/>
          <w:sz w:val="18"/>
          <w:szCs w:val="18"/>
          <w:lang w:val="x-none"/>
        </w:rPr>
        <w:t>arassment</w:t>
      </w:r>
      <w:r w:rsidRPr="001E3C88">
        <w:rPr>
          <w:rFonts w:ascii="Arial" w:eastAsia="Times New Roman" w:hAnsi="Arial" w:cs="Arial"/>
          <w:color w:val="000000"/>
          <w:sz w:val="18"/>
          <w:szCs w:val="18"/>
        </w:rPr>
        <w:t xml:space="preserve">’ (2016) 58 </w:t>
      </w:r>
      <w:r w:rsidRPr="001E3C88">
        <w:rPr>
          <w:rFonts w:ascii="Arial" w:eastAsia="Times New Roman" w:hAnsi="Arial" w:cs="Arial"/>
          <w:i/>
          <w:iCs/>
          <w:color w:val="000000"/>
          <w:sz w:val="18"/>
          <w:szCs w:val="18"/>
        </w:rPr>
        <w:t>Women’s Studies International Forum</w:t>
      </w:r>
      <w:r w:rsidRPr="001E3C88">
        <w:rPr>
          <w:rFonts w:ascii="Arial" w:eastAsia="Times New Roman" w:hAnsi="Arial" w:cs="Arial"/>
          <w:color w:val="000000"/>
          <w:sz w:val="18"/>
          <w:szCs w:val="18"/>
        </w:rPr>
        <w:t xml:space="preserve"> 9.</w:t>
      </w:r>
    </w:p>
  </w:footnote>
  <w:footnote w:id="70">
    <w:p w14:paraId="0DF59686" w14:textId="79572EFC" w:rsidR="001E3C88" w:rsidRPr="001E3C88" w:rsidRDefault="001E3C88" w:rsidP="001E3C88">
      <w:pPr>
        <w:spacing w:after="0" w:line="240" w:lineRule="auto"/>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M</w:t>
      </w:r>
      <w:r w:rsidR="00794A07">
        <w:rPr>
          <w:rFonts w:ascii="Arial" w:hAnsi="Arial" w:cs="Arial"/>
          <w:sz w:val="18"/>
          <w:szCs w:val="18"/>
        </w:rPr>
        <w:t>ichelle</w:t>
      </w:r>
      <w:r w:rsidRPr="001E3C88">
        <w:rPr>
          <w:rFonts w:ascii="Arial" w:hAnsi="Arial" w:cs="Arial"/>
          <w:sz w:val="18"/>
          <w:szCs w:val="18"/>
        </w:rPr>
        <w:t xml:space="preserve"> Madden Dempsey, </w:t>
      </w:r>
      <w:r w:rsidRPr="001E3C88">
        <w:rPr>
          <w:rFonts w:ascii="Arial" w:hAnsi="Arial" w:cs="Arial"/>
          <w:i/>
          <w:sz w:val="18"/>
          <w:szCs w:val="18"/>
        </w:rPr>
        <w:t>Prosecuting Domestic Violence,</w:t>
      </w:r>
      <w:r w:rsidRPr="001E3C88">
        <w:rPr>
          <w:rFonts w:ascii="Arial" w:hAnsi="Arial" w:cs="Arial"/>
          <w:sz w:val="18"/>
          <w:szCs w:val="18"/>
        </w:rPr>
        <w:t xml:space="preserve"> (Oxford University Press, 2009) describes how effective prosecution of domestic violence can exhibit the characteristics of a feminist state.</w:t>
      </w:r>
    </w:p>
  </w:footnote>
  <w:footnote w:id="71">
    <w:p w14:paraId="219C5D9C" w14:textId="20B278B4" w:rsidR="001E3C88" w:rsidRPr="001E3C88" w:rsidRDefault="001E3C88" w:rsidP="001E3C88">
      <w:pPr>
        <w:autoSpaceDE w:val="0"/>
        <w:autoSpaceDN w:val="0"/>
        <w:adjustRightInd w:val="0"/>
        <w:snapToGrid w:val="0"/>
        <w:spacing w:after="0" w:line="240" w:lineRule="auto"/>
        <w:rPr>
          <w:rFonts w:ascii="Arial" w:hAnsi="Arial" w:cs="Arial"/>
          <w:color w:val="000000"/>
          <w:sz w:val="18"/>
          <w:szCs w:val="18"/>
          <w:lang w:val="x-none"/>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Pr="001E3C88">
        <w:rPr>
          <w:rFonts w:ascii="Arial" w:hAnsi="Arial" w:cs="Arial"/>
          <w:color w:val="000000"/>
          <w:sz w:val="18"/>
          <w:szCs w:val="18"/>
          <w:lang w:val="x-none"/>
        </w:rPr>
        <w:t>C</w:t>
      </w:r>
      <w:r w:rsidR="00794A07">
        <w:rPr>
          <w:rFonts w:ascii="Arial" w:hAnsi="Arial" w:cs="Arial"/>
          <w:color w:val="000000"/>
          <w:sz w:val="18"/>
          <w:szCs w:val="18"/>
          <w:lang w:val="x-none"/>
        </w:rPr>
        <w:t>heryl</w:t>
      </w:r>
      <w:r w:rsidRPr="001E3C88">
        <w:rPr>
          <w:rFonts w:ascii="Arial" w:hAnsi="Arial" w:cs="Arial"/>
          <w:color w:val="000000"/>
          <w:sz w:val="18"/>
          <w:szCs w:val="18"/>
          <w:lang w:val="x-none"/>
        </w:rPr>
        <w:t xml:space="preserve"> Hanna, </w:t>
      </w:r>
      <w:r w:rsidRPr="001E3C88">
        <w:rPr>
          <w:rFonts w:ascii="Arial" w:hAnsi="Arial" w:cs="Arial"/>
          <w:color w:val="000000"/>
          <w:sz w:val="18"/>
          <w:szCs w:val="18"/>
        </w:rPr>
        <w:t>‘</w:t>
      </w:r>
      <w:r w:rsidRPr="001E3C88">
        <w:rPr>
          <w:rFonts w:ascii="Arial" w:hAnsi="Arial" w:cs="Arial"/>
          <w:color w:val="000000"/>
          <w:sz w:val="18"/>
          <w:szCs w:val="18"/>
          <w:lang w:val="x-none"/>
        </w:rPr>
        <w:t>Health, Human Rights, and Violence</w:t>
      </w:r>
      <w:r w:rsidRPr="001E3C88">
        <w:rPr>
          <w:rFonts w:ascii="Arial" w:hAnsi="Arial" w:cs="Arial"/>
          <w:color w:val="000000"/>
          <w:sz w:val="18"/>
          <w:szCs w:val="18"/>
        </w:rPr>
        <w:t xml:space="preserve"> </w:t>
      </w:r>
      <w:r w:rsidRPr="001E3C88">
        <w:rPr>
          <w:rFonts w:ascii="Arial" w:hAnsi="Arial" w:cs="Arial"/>
          <w:color w:val="000000"/>
          <w:sz w:val="18"/>
          <w:szCs w:val="18"/>
          <w:lang w:val="x-none"/>
        </w:rPr>
        <w:t>against Women and Girls: Broadly Redefining Affirmative</w:t>
      </w:r>
      <w:r w:rsidRPr="001E3C88">
        <w:rPr>
          <w:rFonts w:ascii="Arial" w:hAnsi="Arial" w:cs="Arial"/>
          <w:color w:val="000000"/>
          <w:sz w:val="18"/>
          <w:szCs w:val="18"/>
        </w:rPr>
        <w:t xml:space="preserve"> </w:t>
      </w:r>
      <w:r w:rsidRPr="001E3C88">
        <w:rPr>
          <w:rFonts w:ascii="Arial" w:hAnsi="Arial" w:cs="Arial"/>
          <w:color w:val="000000"/>
          <w:sz w:val="18"/>
          <w:szCs w:val="18"/>
          <w:lang w:val="x-none"/>
        </w:rPr>
        <w:t xml:space="preserve">State Duties after </w:t>
      </w:r>
      <w:r w:rsidRPr="001E3C88">
        <w:rPr>
          <w:rFonts w:ascii="Arial" w:hAnsi="Arial" w:cs="Arial"/>
          <w:i/>
          <w:iCs/>
          <w:color w:val="000000"/>
          <w:sz w:val="18"/>
          <w:szCs w:val="18"/>
          <w:lang w:val="x-none"/>
        </w:rPr>
        <w:t>Opuz v. Turkey</w:t>
      </w:r>
      <w:r w:rsidRPr="001E3C88">
        <w:rPr>
          <w:rFonts w:ascii="Arial" w:hAnsi="Arial" w:cs="Arial"/>
          <w:color w:val="000000"/>
          <w:sz w:val="18"/>
          <w:szCs w:val="18"/>
          <w:lang w:val="x-none"/>
        </w:rPr>
        <w:t>’</w:t>
      </w:r>
      <w:r w:rsidRPr="001E3C88">
        <w:rPr>
          <w:rFonts w:ascii="Arial" w:hAnsi="Arial" w:cs="Arial"/>
          <w:color w:val="000000"/>
          <w:sz w:val="18"/>
          <w:szCs w:val="18"/>
        </w:rPr>
        <w:t xml:space="preserve"> (2011)</w:t>
      </w:r>
      <w:r w:rsidRPr="001E3C88">
        <w:rPr>
          <w:rFonts w:ascii="Arial" w:hAnsi="Arial" w:cs="Arial"/>
          <w:color w:val="000000"/>
          <w:sz w:val="18"/>
          <w:szCs w:val="18"/>
          <w:lang w:val="x-none"/>
        </w:rPr>
        <w:t xml:space="preserve"> 34 </w:t>
      </w:r>
      <w:r w:rsidRPr="001E3C88">
        <w:rPr>
          <w:rFonts w:ascii="Arial" w:hAnsi="Arial" w:cs="Arial"/>
          <w:i/>
          <w:color w:val="000000"/>
          <w:sz w:val="18"/>
          <w:szCs w:val="18"/>
          <w:lang w:val="x-none"/>
        </w:rPr>
        <w:t>Hastings Int</w:t>
      </w:r>
      <w:r w:rsidRPr="001E3C88">
        <w:rPr>
          <w:rFonts w:ascii="Arial" w:hAnsi="Arial" w:cs="Arial"/>
          <w:i/>
          <w:color w:val="000000"/>
          <w:sz w:val="18"/>
          <w:szCs w:val="18"/>
        </w:rPr>
        <w:t xml:space="preserve">ernational and Comparative Law Review </w:t>
      </w:r>
      <w:r w:rsidRPr="001E3C88">
        <w:rPr>
          <w:rFonts w:ascii="Arial" w:hAnsi="Arial" w:cs="Arial"/>
          <w:color w:val="000000"/>
          <w:sz w:val="18"/>
          <w:szCs w:val="18"/>
          <w:lang w:val="x-none"/>
        </w:rPr>
        <w:t>127.</w:t>
      </w:r>
    </w:p>
  </w:footnote>
  <w:footnote w:id="72">
    <w:p w14:paraId="0D42A210" w14:textId="179DD4FC" w:rsidR="001E3C88" w:rsidRPr="000918C0" w:rsidRDefault="001E3C88" w:rsidP="001E3C88">
      <w:pPr>
        <w:autoSpaceDE w:val="0"/>
        <w:autoSpaceDN w:val="0"/>
        <w:adjustRightInd w:val="0"/>
        <w:snapToGrid w:val="0"/>
        <w:spacing w:after="0" w:line="240" w:lineRule="auto"/>
        <w:rPr>
          <w:rFonts w:ascii="Arial" w:eastAsia="Times New Roman" w:hAnsi="Arial" w:cs="Arial"/>
          <w:color w:val="000000"/>
          <w:sz w:val="18"/>
          <w:szCs w:val="18"/>
          <w:lang w:val="x-none"/>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008156CF">
        <w:rPr>
          <w:rFonts w:ascii="Arial" w:eastAsia="Times New Roman" w:hAnsi="Arial" w:cs="Arial"/>
          <w:color w:val="000000"/>
          <w:sz w:val="18"/>
          <w:szCs w:val="18"/>
        </w:rPr>
        <w:t>Michael</w:t>
      </w:r>
      <w:r w:rsidRPr="001E3C88">
        <w:rPr>
          <w:rFonts w:ascii="Arial" w:eastAsia="Times New Roman" w:hAnsi="Arial" w:cs="Arial"/>
          <w:color w:val="000000"/>
          <w:sz w:val="18"/>
          <w:szCs w:val="18"/>
        </w:rPr>
        <w:t xml:space="preserve"> Flood, ‘</w:t>
      </w:r>
      <w:r w:rsidRPr="001E3C88">
        <w:rPr>
          <w:rFonts w:ascii="Arial" w:eastAsia="Times New Roman" w:hAnsi="Arial" w:cs="Arial"/>
          <w:color w:val="000000"/>
          <w:sz w:val="18"/>
          <w:szCs w:val="18"/>
          <w:lang w:val="x-none"/>
        </w:rPr>
        <w:t xml:space="preserve">Involving </w:t>
      </w:r>
      <w:r w:rsidR="00895EF8">
        <w:rPr>
          <w:rFonts w:ascii="Arial" w:eastAsia="Times New Roman" w:hAnsi="Arial" w:cs="Arial"/>
          <w:color w:val="000000"/>
          <w:sz w:val="18"/>
          <w:szCs w:val="18"/>
          <w:lang w:val="x-none"/>
        </w:rPr>
        <w:t>M</w:t>
      </w:r>
      <w:r w:rsidRPr="001E3C88">
        <w:rPr>
          <w:rFonts w:ascii="Arial" w:eastAsia="Times New Roman" w:hAnsi="Arial" w:cs="Arial"/>
          <w:color w:val="000000"/>
          <w:sz w:val="18"/>
          <w:szCs w:val="18"/>
          <w:lang w:val="x-none"/>
        </w:rPr>
        <w:t xml:space="preserve">en in </w:t>
      </w:r>
      <w:r w:rsidR="00895EF8">
        <w:rPr>
          <w:rFonts w:ascii="Arial" w:eastAsia="Times New Roman" w:hAnsi="Arial" w:cs="Arial"/>
          <w:color w:val="000000"/>
          <w:sz w:val="18"/>
          <w:szCs w:val="18"/>
          <w:lang w:val="x-none"/>
        </w:rPr>
        <w:t>E</w:t>
      </w:r>
      <w:r w:rsidRPr="001E3C88">
        <w:rPr>
          <w:rFonts w:ascii="Arial" w:eastAsia="Times New Roman" w:hAnsi="Arial" w:cs="Arial"/>
          <w:color w:val="000000"/>
          <w:sz w:val="18"/>
          <w:szCs w:val="18"/>
          <w:lang w:val="x-none"/>
        </w:rPr>
        <w:t xml:space="preserve">nding </w:t>
      </w:r>
      <w:r w:rsidR="00895EF8">
        <w:rPr>
          <w:rFonts w:ascii="Arial" w:eastAsia="Times New Roman" w:hAnsi="Arial" w:cs="Arial"/>
          <w:color w:val="000000"/>
          <w:sz w:val="18"/>
          <w:szCs w:val="18"/>
          <w:lang w:val="x-none"/>
        </w:rPr>
        <w:t>V</w:t>
      </w:r>
      <w:r w:rsidRPr="001E3C88">
        <w:rPr>
          <w:rFonts w:ascii="Arial" w:eastAsia="Times New Roman" w:hAnsi="Arial" w:cs="Arial"/>
          <w:color w:val="000000"/>
          <w:sz w:val="18"/>
          <w:szCs w:val="18"/>
          <w:lang w:val="x-none"/>
        </w:rPr>
        <w:t xml:space="preserve">iolence against </w:t>
      </w:r>
      <w:r w:rsidR="00895EF8">
        <w:rPr>
          <w:rFonts w:ascii="Arial" w:eastAsia="Times New Roman" w:hAnsi="Arial" w:cs="Arial"/>
          <w:color w:val="000000"/>
          <w:sz w:val="18"/>
          <w:szCs w:val="18"/>
          <w:lang w:val="x-none"/>
        </w:rPr>
        <w:t>W</w:t>
      </w:r>
      <w:r w:rsidRPr="001E3C88">
        <w:rPr>
          <w:rFonts w:ascii="Arial" w:eastAsia="Times New Roman" w:hAnsi="Arial" w:cs="Arial"/>
          <w:color w:val="000000"/>
          <w:sz w:val="18"/>
          <w:szCs w:val="18"/>
          <w:lang w:val="x-none"/>
        </w:rPr>
        <w:t xml:space="preserve">omen: Facing </w:t>
      </w:r>
      <w:r w:rsidR="00895EF8">
        <w:rPr>
          <w:rFonts w:ascii="Arial" w:eastAsia="Times New Roman" w:hAnsi="Arial" w:cs="Arial"/>
          <w:color w:val="000000"/>
          <w:sz w:val="18"/>
          <w:szCs w:val="18"/>
          <w:lang w:val="x-none"/>
        </w:rPr>
        <w:t>C</w:t>
      </w:r>
      <w:r w:rsidRPr="001E3C88">
        <w:rPr>
          <w:rFonts w:ascii="Arial" w:eastAsia="Times New Roman" w:hAnsi="Arial" w:cs="Arial"/>
          <w:color w:val="000000"/>
          <w:sz w:val="18"/>
          <w:szCs w:val="18"/>
          <w:lang w:val="x-none"/>
        </w:rPr>
        <w:t>hallenges and</w:t>
      </w:r>
      <w:r w:rsidR="000918C0">
        <w:rPr>
          <w:rFonts w:ascii="Arial" w:eastAsia="Times New Roman" w:hAnsi="Arial" w:cs="Arial"/>
          <w:color w:val="000000"/>
          <w:sz w:val="18"/>
          <w:szCs w:val="18"/>
          <w:lang w:val="x-none"/>
        </w:rPr>
        <w:t xml:space="preserve"> </w:t>
      </w:r>
      <w:r w:rsidR="00895EF8">
        <w:rPr>
          <w:rFonts w:ascii="Arial" w:eastAsia="Times New Roman" w:hAnsi="Arial" w:cs="Arial"/>
          <w:color w:val="000000"/>
          <w:sz w:val="18"/>
          <w:szCs w:val="18"/>
          <w:lang w:val="x-none"/>
        </w:rPr>
        <w:t>M</w:t>
      </w:r>
      <w:r w:rsidRPr="001E3C88">
        <w:rPr>
          <w:rFonts w:ascii="Arial" w:eastAsia="Times New Roman" w:hAnsi="Arial" w:cs="Arial"/>
          <w:color w:val="000000"/>
          <w:sz w:val="18"/>
          <w:szCs w:val="18"/>
          <w:lang w:val="x-none"/>
        </w:rPr>
        <w:t xml:space="preserve">aking </w:t>
      </w:r>
      <w:r w:rsidR="00895EF8">
        <w:rPr>
          <w:rFonts w:ascii="Arial" w:eastAsia="Times New Roman" w:hAnsi="Arial" w:cs="Arial"/>
          <w:color w:val="000000"/>
          <w:sz w:val="18"/>
          <w:szCs w:val="18"/>
          <w:lang w:val="x-none"/>
        </w:rPr>
        <w:t>C</w:t>
      </w:r>
      <w:r w:rsidRPr="001E3C88">
        <w:rPr>
          <w:rFonts w:ascii="Arial" w:eastAsia="Times New Roman" w:hAnsi="Arial" w:cs="Arial"/>
          <w:color w:val="000000"/>
          <w:sz w:val="18"/>
          <w:szCs w:val="18"/>
          <w:lang w:val="x-none"/>
        </w:rPr>
        <w:t>hange</w:t>
      </w:r>
      <w:r w:rsidRPr="001E3C88">
        <w:rPr>
          <w:rFonts w:ascii="Arial" w:eastAsia="Times New Roman" w:hAnsi="Arial" w:cs="Arial"/>
          <w:color w:val="000000"/>
          <w:sz w:val="18"/>
          <w:szCs w:val="18"/>
        </w:rPr>
        <w:t xml:space="preserve">’ (2016) 12 </w:t>
      </w:r>
      <w:r w:rsidRPr="001E3C88">
        <w:rPr>
          <w:rFonts w:ascii="Arial" w:eastAsia="Times New Roman" w:hAnsi="Arial" w:cs="Arial"/>
          <w:i/>
          <w:iCs/>
          <w:color w:val="000000"/>
          <w:sz w:val="18"/>
          <w:szCs w:val="18"/>
          <w:lang w:val="x-none"/>
        </w:rPr>
        <w:t>Graduate Journal of Social Science</w:t>
      </w:r>
      <w:r w:rsidRPr="001E3C88">
        <w:rPr>
          <w:rFonts w:ascii="Arial" w:eastAsia="Times New Roman" w:hAnsi="Arial" w:cs="Arial"/>
          <w:color w:val="000000"/>
          <w:sz w:val="18"/>
          <w:szCs w:val="18"/>
        </w:rPr>
        <w:t xml:space="preserve"> 12</w:t>
      </w:r>
      <w:r w:rsidR="000918C0">
        <w:rPr>
          <w:rFonts w:ascii="Arial" w:eastAsia="Times New Roman" w:hAnsi="Arial" w:cs="Arial"/>
          <w:color w:val="000000"/>
          <w:sz w:val="18"/>
          <w:szCs w:val="18"/>
        </w:rPr>
        <w:t>.</w:t>
      </w:r>
    </w:p>
  </w:footnote>
  <w:footnote w:id="73">
    <w:p w14:paraId="504FE9D9" w14:textId="4ED0493A" w:rsidR="001E3C88" w:rsidRPr="001E3C88" w:rsidRDefault="001E3C88" w:rsidP="001E3C88">
      <w:pPr>
        <w:autoSpaceDE w:val="0"/>
        <w:autoSpaceDN w:val="0"/>
        <w:adjustRightInd w:val="0"/>
        <w:snapToGrid w:val="0"/>
        <w:spacing w:after="0" w:line="240" w:lineRule="auto"/>
        <w:rPr>
          <w:rFonts w:ascii="Arial" w:eastAsia="Times New Roman" w:hAnsi="Arial" w:cs="Arial"/>
          <w:color w:val="000000"/>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00895EF8">
        <w:rPr>
          <w:rFonts w:ascii="Arial" w:hAnsi="Arial" w:cs="Arial"/>
          <w:sz w:val="18"/>
          <w:szCs w:val="18"/>
        </w:rPr>
        <w:t>i</w:t>
      </w:r>
      <w:r w:rsidRPr="001E3C88">
        <w:rPr>
          <w:rFonts w:ascii="Arial" w:hAnsi="Arial" w:cs="Arial"/>
          <w:sz w:val="18"/>
          <w:szCs w:val="18"/>
        </w:rPr>
        <w:t>bid.</w:t>
      </w:r>
    </w:p>
  </w:footnote>
  <w:footnote w:id="74">
    <w:p w14:paraId="24CAFFDA" w14:textId="16DF8C4A" w:rsidR="001E3C88" w:rsidRPr="001E3C88" w:rsidRDefault="001E3C88" w:rsidP="001E3C88">
      <w:pPr>
        <w:autoSpaceDE w:val="0"/>
        <w:autoSpaceDN w:val="0"/>
        <w:adjustRightInd w:val="0"/>
        <w:snapToGrid w:val="0"/>
        <w:spacing w:after="0" w:line="240" w:lineRule="auto"/>
        <w:rPr>
          <w:rFonts w:ascii="Arial" w:eastAsia="Times New Roman" w:hAnsi="Arial" w:cs="Arial"/>
          <w:color w:val="000000"/>
          <w:sz w:val="18"/>
          <w:szCs w:val="18"/>
        </w:rPr>
      </w:pPr>
      <w:r w:rsidRPr="001E3C88">
        <w:rPr>
          <w:rStyle w:val="FootnoteReference"/>
          <w:rFonts w:ascii="Arial" w:hAnsi="Arial" w:cs="Arial"/>
          <w:sz w:val="18"/>
          <w:szCs w:val="18"/>
        </w:rPr>
        <w:footnoteRef/>
      </w:r>
      <w:r w:rsidR="009F3F37">
        <w:rPr>
          <w:rFonts w:ascii="Arial" w:hAnsi="Arial" w:cs="Arial"/>
          <w:sz w:val="18"/>
          <w:szCs w:val="18"/>
        </w:rPr>
        <w:t xml:space="preserve"> </w:t>
      </w:r>
      <w:r w:rsidRPr="001E3C88">
        <w:rPr>
          <w:rFonts w:ascii="Arial" w:eastAsia="Times New Roman" w:hAnsi="Arial" w:cs="Arial"/>
          <w:color w:val="000000"/>
          <w:sz w:val="18"/>
          <w:szCs w:val="18"/>
          <w:lang w:val="x-none"/>
        </w:rPr>
        <w:t>E</w:t>
      </w:r>
      <w:r w:rsidR="008156CF">
        <w:rPr>
          <w:rFonts w:ascii="Arial" w:eastAsia="Times New Roman" w:hAnsi="Arial" w:cs="Arial"/>
          <w:color w:val="000000"/>
          <w:sz w:val="18"/>
          <w:szCs w:val="18"/>
          <w:lang w:val="x-none"/>
        </w:rPr>
        <w:t>mily</w:t>
      </w:r>
      <w:r w:rsidRPr="001E3C88">
        <w:rPr>
          <w:rFonts w:ascii="Arial" w:eastAsia="Times New Roman" w:hAnsi="Arial" w:cs="Arial"/>
          <w:color w:val="000000"/>
          <w:sz w:val="18"/>
          <w:szCs w:val="18"/>
          <w:lang w:val="x-none"/>
        </w:rPr>
        <w:t xml:space="preserve"> Leslie</w:t>
      </w:r>
      <w:r w:rsidRPr="001E3C88">
        <w:rPr>
          <w:rFonts w:ascii="Arial" w:eastAsia="Times New Roman" w:hAnsi="Arial" w:cs="Arial"/>
          <w:color w:val="000000"/>
          <w:sz w:val="18"/>
          <w:szCs w:val="18"/>
        </w:rPr>
        <w:t xml:space="preserve"> and R</w:t>
      </w:r>
      <w:r w:rsidR="008156CF">
        <w:rPr>
          <w:rFonts w:ascii="Arial" w:eastAsia="Times New Roman" w:hAnsi="Arial" w:cs="Arial"/>
          <w:color w:val="000000"/>
          <w:sz w:val="18"/>
          <w:szCs w:val="18"/>
        </w:rPr>
        <w:t>iley</w:t>
      </w:r>
      <w:r w:rsidRPr="001E3C88">
        <w:rPr>
          <w:rFonts w:ascii="Arial" w:eastAsia="Times New Roman" w:hAnsi="Arial" w:cs="Arial"/>
          <w:color w:val="000000"/>
          <w:sz w:val="18"/>
          <w:szCs w:val="18"/>
          <w:lang w:val="x-none"/>
        </w:rPr>
        <w:t xml:space="preserve"> Wilson,</w:t>
      </w:r>
      <w:r w:rsidRPr="001E3C88">
        <w:rPr>
          <w:rFonts w:ascii="Arial" w:eastAsia="Times New Roman" w:hAnsi="Arial" w:cs="Arial"/>
          <w:color w:val="000000"/>
          <w:sz w:val="18"/>
          <w:szCs w:val="18"/>
        </w:rPr>
        <w:t xml:space="preserve"> ‘</w:t>
      </w:r>
      <w:r w:rsidRPr="001E3C88">
        <w:rPr>
          <w:rFonts w:ascii="Arial" w:eastAsia="Times New Roman" w:hAnsi="Arial" w:cs="Arial"/>
          <w:color w:val="000000"/>
          <w:sz w:val="18"/>
          <w:szCs w:val="18"/>
          <w:lang w:val="x-none"/>
        </w:rPr>
        <w:t xml:space="preserve">Sheltering in </w:t>
      </w:r>
      <w:r w:rsidR="00895EF8">
        <w:rPr>
          <w:rFonts w:ascii="Arial" w:eastAsia="Times New Roman" w:hAnsi="Arial" w:cs="Arial"/>
          <w:color w:val="000000"/>
          <w:sz w:val="18"/>
          <w:szCs w:val="18"/>
          <w:lang w:val="x-none"/>
        </w:rPr>
        <w:t>P</w:t>
      </w:r>
      <w:r w:rsidRPr="001E3C88">
        <w:rPr>
          <w:rFonts w:ascii="Arial" w:eastAsia="Times New Roman" w:hAnsi="Arial" w:cs="Arial"/>
          <w:color w:val="000000"/>
          <w:sz w:val="18"/>
          <w:szCs w:val="18"/>
          <w:lang w:val="x-none"/>
        </w:rPr>
        <w:t xml:space="preserve">lace and </w:t>
      </w:r>
      <w:r w:rsidR="00895EF8">
        <w:rPr>
          <w:rFonts w:ascii="Arial" w:eastAsia="Times New Roman" w:hAnsi="Arial" w:cs="Arial"/>
          <w:color w:val="000000"/>
          <w:sz w:val="18"/>
          <w:szCs w:val="18"/>
          <w:lang w:val="x-none"/>
        </w:rPr>
        <w:t>D</w:t>
      </w:r>
      <w:r w:rsidRPr="001E3C88">
        <w:rPr>
          <w:rFonts w:ascii="Arial" w:eastAsia="Times New Roman" w:hAnsi="Arial" w:cs="Arial"/>
          <w:color w:val="000000"/>
          <w:sz w:val="18"/>
          <w:szCs w:val="18"/>
          <w:lang w:val="x-none"/>
        </w:rPr>
        <w:t xml:space="preserve">omestic </w:t>
      </w:r>
      <w:r w:rsidR="00895EF8">
        <w:rPr>
          <w:rFonts w:ascii="Arial" w:eastAsia="Times New Roman" w:hAnsi="Arial" w:cs="Arial"/>
          <w:color w:val="000000"/>
          <w:sz w:val="18"/>
          <w:szCs w:val="18"/>
          <w:lang w:val="x-none"/>
        </w:rPr>
        <w:t>V</w:t>
      </w:r>
      <w:r w:rsidRPr="001E3C88">
        <w:rPr>
          <w:rFonts w:ascii="Arial" w:eastAsia="Times New Roman" w:hAnsi="Arial" w:cs="Arial"/>
          <w:color w:val="000000"/>
          <w:sz w:val="18"/>
          <w:szCs w:val="18"/>
          <w:lang w:val="x-none"/>
        </w:rPr>
        <w:t xml:space="preserve">iolence: Evidence from </w:t>
      </w:r>
      <w:r w:rsidR="00895EF8">
        <w:rPr>
          <w:rFonts w:ascii="Arial" w:eastAsia="Times New Roman" w:hAnsi="Arial" w:cs="Arial"/>
          <w:color w:val="000000"/>
          <w:sz w:val="18"/>
          <w:szCs w:val="18"/>
          <w:lang w:val="x-none"/>
        </w:rPr>
        <w:t>C</w:t>
      </w:r>
      <w:r w:rsidRPr="001E3C88">
        <w:rPr>
          <w:rFonts w:ascii="Arial" w:eastAsia="Times New Roman" w:hAnsi="Arial" w:cs="Arial"/>
          <w:color w:val="000000"/>
          <w:sz w:val="18"/>
          <w:szCs w:val="18"/>
          <w:lang w:val="x-none"/>
        </w:rPr>
        <w:t xml:space="preserve">alls for </w:t>
      </w:r>
      <w:r w:rsidR="00895EF8">
        <w:rPr>
          <w:rFonts w:ascii="Arial" w:eastAsia="Times New Roman" w:hAnsi="Arial" w:cs="Arial"/>
          <w:color w:val="000000"/>
          <w:sz w:val="18"/>
          <w:szCs w:val="18"/>
          <w:lang w:val="x-none"/>
        </w:rPr>
        <w:t>S</w:t>
      </w:r>
      <w:r w:rsidRPr="001E3C88">
        <w:rPr>
          <w:rFonts w:ascii="Arial" w:eastAsia="Times New Roman" w:hAnsi="Arial" w:cs="Arial"/>
          <w:color w:val="000000"/>
          <w:sz w:val="18"/>
          <w:szCs w:val="18"/>
          <w:lang w:val="x-none"/>
        </w:rPr>
        <w:t>ervice during COVID-19</w:t>
      </w:r>
      <w:r w:rsidRPr="001E3C88">
        <w:rPr>
          <w:rFonts w:ascii="Arial" w:eastAsia="Times New Roman" w:hAnsi="Arial" w:cs="Arial"/>
          <w:color w:val="000000"/>
          <w:sz w:val="18"/>
          <w:szCs w:val="18"/>
        </w:rPr>
        <w:t xml:space="preserve">’ (2020) 190 </w:t>
      </w:r>
      <w:r w:rsidRPr="001E3C88">
        <w:rPr>
          <w:rFonts w:ascii="Arial" w:eastAsia="Times New Roman" w:hAnsi="Arial" w:cs="Arial"/>
          <w:i/>
          <w:iCs/>
          <w:color w:val="000000"/>
          <w:sz w:val="18"/>
          <w:szCs w:val="18"/>
          <w:lang w:val="x-none"/>
        </w:rPr>
        <w:t>Journal of Public Economics</w:t>
      </w:r>
      <w:r w:rsidRPr="001E3C88">
        <w:rPr>
          <w:rFonts w:ascii="Arial" w:eastAsia="Times New Roman" w:hAnsi="Arial" w:cs="Arial"/>
          <w:color w:val="000000"/>
          <w:sz w:val="18"/>
          <w:szCs w:val="18"/>
        </w:rPr>
        <w:t xml:space="preserve"> 104241.</w:t>
      </w:r>
    </w:p>
  </w:footnote>
  <w:footnote w:id="75">
    <w:p w14:paraId="1AC615C1" w14:textId="1EA1E913" w:rsidR="001E3C88" w:rsidRPr="001E3C88" w:rsidRDefault="001E3C88" w:rsidP="001E3C88">
      <w:pPr>
        <w:autoSpaceDE w:val="0"/>
        <w:autoSpaceDN w:val="0"/>
        <w:adjustRightInd w:val="0"/>
        <w:snapToGrid w:val="0"/>
        <w:spacing w:after="0" w:line="240" w:lineRule="auto"/>
        <w:rPr>
          <w:rFonts w:ascii="Arial" w:eastAsia="Times New Roman" w:hAnsi="Arial" w:cs="Arial"/>
          <w:color w:val="000000"/>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G</w:t>
      </w:r>
      <w:r w:rsidR="008156CF">
        <w:rPr>
          <w:rFonts w:ascii="Arial" w:hAnsi="Arial" w:cs="Arial"/>
          <w:sz w:val="18"/>
          <w:szCs w:val="18"/>
        </w:rPr>
        <w:t>unes</w:t>
      </w:r>
      <w:r w:rsidRPr="001E3C88">
        <w:rPr>
          <w:rFonts w:ascii="Arial" w:hAnsi="Arial" w:cs="Arial"/>
          <w:sz w:val="18"/>
          <w:szCs w:val="18"/>
        </w:rPr>
        <w:t xml:space="preserve"> Asik and E</w:t>
      </w:r>
      <w:r w:rsidR="008156CF">
        <w:rPr>
          <w:rFonts w:ascii="Arial" w:hAnsi="Arial" w:cs="Arial"/>
          <w:sz w:val="18"/>
          <w:szCs w:val="18"/>
        </w:rPr>
        <w:t>fsan</w:t>
      </w:r>
      <w:r w:rsidRPr="001E3C88">
        <w:rPr>
          <w:rFonts w:ascii="Arial" w:hAnsi="Arial" w:cs="Arial"/>
          <w:sz w:val="18"/>
          <w:szCs w:val="18"/>
        </w:rPr>
        <w:t xml:space="preserve"> Nas Ozen, ‘I</w:t>
      </w:r>
      <w:r w:rsidRPr="001E3C88">
        <w:rPr>
          <w:rFonts w:ascii="Arial" w:eastAsia="Times New Roman" w:hAnsi="Arial" w:cs="Arial"/>
          <w:color w:val="000000"/>
          <w:sz w:val="18"/>
          <w:szCs w:val="18"/>
          <w:lang w:val="x-none"/>
        </w:rPr>
        <w:t xml:space="preserve">t </w:t>
      </w:r>
      <w:r w:rsidR="00895EF8">
        <w:rPr>
          <w:rFonts w:ascii="Arial" w:eastAsia="Times New Roman" w:hAnsi="Arial" w:cs="Arial"/>
          <w:color w:val="000000"/>
          <w:sz w:val="18"/>
          <w:szCs w:val="18"/>
          <w:lang w:val="x-none"/>
        </w:rPr>
        <w:t>T</w:t>
      </w:r>
      <w:r w:rsidRPr="001E3C88">
        <w:rPr>
          <w:rFonts w:ascii="Arial" w:eastAsia="Times New Roman" w:hAnsi="Arial" w:cs="Arial"/>
          <w:color w:val="000000"/>
          <w:sz w:val="18"/>
          <w:szCs w:val="18"/>
          <w:lang w:val="x-none"/>
        </w:rPr>
        <w:t xml:space="preserve">akes a </w:t>
      </w:r>
      <w:r w:rsidR="00895EF8">
        <w:rPr>
          <w:rFonts w:ascii="Arial" w:eastAsia="Times New Roman" w:hAnsi="Arial" w:cs="Arial"/>
          <w:color w:val="000000"/>
          <w:sz w:val="18"/>
          <w:szCs w:val="18"/>
          <w:lang w:val="x-none"/>
        </w:rPr>
        <w:t>C</w:t>
      </w:r>
      <w:r w:rsidRPr="001E3C88">
        <w:rPr>
          <w:rFonts w:ascii="Arial" w:eastAsia="Times New Roman" w:hAnsi="Arial" w:cs="Arial"/>
          <w:color w:val="000000"/>
          <w:sz w:val="18"/>
          <w:szCs w:val="18"/>
          <w:lang w:val="x-none"/>
        </w:rPr>
        <w:t xml:space="preserve">urfew: The </w:t>
      </w:r>
      <w:r w:rsidR="00895EF8">
        <w:rPr>
          <w:rFonts w:ascii="Arial" w:eastAsia="Times New Roman" w:hAnsi="Arial" w:cs="Arial"/>
          <w:color w:val="000000"/>
          <w:sz w:val="18"/>
          <w:szCs w:val="18"/>
          <w:lang w:val="x-none"/>
        </w:rPr>
        <w:t>E</w:t>
      </w:r>
      <w:r w:rsidRPr="001E3C88">
        <w:rPr>
          <w:rFonts w:ascii="Arial" w:eastAsia="Times New Roman" w:hAnsi="Arial" w:cs="Arial"/>
          <w:color w:val="000000"/>
          <w:sz w:val="18"/>
          <w:szCs w:val="18"/>
          <w:lang w:val="x-none"/>
        </w:rPr>
        <w:t xml:space="preserve">ffect of Covid-19 on </w:t>
      </w:r>
      <w:r w:rsidR="00895EF8">
        <w:rPr>
          <w:rFonts w:ascii="Arial" w:eastAsia="Times New Roman" w:hAnsi="Arial" w:cs="Arial"/>
          <w:color w:val="000000"/>
          <w:sz w:val="18"/>
          <w:szCs w:val="18"/>
          <w:lang w:val="x-none"/>
        </w:rPr>
        <w:t>F</w:t>
      </w:r>
      <w:r w:rsidRPr="001E3C88">
        <w:rPr>
          <w:rFonts w:ascii="Arial" w:eastAsia="Times New Roman" w:hAnsi="Arial" w:cs="Arial"/>
          <w:color w:val="000000"/>
          <w:sz w:val="18"/>
          <w:szCs w:val="18"/>
          <w:lang w:val="x-none"/>
        </w:rPr>
        <w:t xml:space="preserve">emale </w:t>
      </w:r>
      <w:r w:rsidR="00895EF8">
        <w:rPr>
          <w:rFonts w:ascii="Arial" w:eastAsia="Times New Roman" w:hAnsi="Arial" w:cs="Arial"/>
          <w:color w:val="000000"/>
          <w:sz w:val="18"/>
          <w:szCs w:val="18"/>
          <w:lang w:val="x-none"/>
        </w:rPr>
        <w:t>H</w:t>
      </w:r>
      <w:r w:rsidRPr="001E3C88">
        <w:rPr>
          <w:rFonts w:ascii="Arial" w:eastAsia="Times New Roman" w:hAnsi="Arial" w:cs="Arial"/>
          <w:color w:val="000000"/>
          <w:sz w:val="18"/>
          <w:szCs w:val="18"/>
          <w:lang w:val="x-none"/>
        </w:rPr>
        <w:t>omicides</w:t>
      </w:r>
      <w:r w:rsidRPr="001E3C88">
        <w:rPr>
          <w:rFonts w:ascii="Arial" w:eastAsia="Times New Roman" w:hAnsi="Arial" w:cs="Arial"/>
          <w:color w:val="000000"/>
          <w:sz w:val="18"/>
          <w:szCs w:val="18"/>
        </w:rPr>
        <w:t xml:space="preserve">’ (2021) </w:t>
      </w:r>
      <w:r w:rsidRPr="001E3C88">
        <w:rPr>
          <w:rFonts w:ascii="Arial" w:eastAsia="Times New Roman" w:hAnsi="Arial" w:cs="Arial"/>
          <w:i/>
          <w:iCs/>
          <w:color w:val="000000"/>
          <w:sz w:val="18"/>
          <w:szCs w:val="18"/>
        </w:rPr>
        <w:t>Economics Letter</w:t>
      </w:r>
      <w:r w:rsidRPr="001E3C88">
        <w:rPr>
          <w:rFonts w:ascii="Arial" w:eastAsia="Times New Roman" w:hAnsi="Arial" w:cs="Arial"/>
          <w:color w:val="000000"/>
          <w:sz w:val="18"/>
          <w:szCs w:val="18"/>
        </w:rPr>
        <w:t xml:space="preserve"> 200. Contrast J</w:t>
      </w:r>
      <w:r w:rsidR="00794A07">
        <w:rPr>
          <w:rFonts w:ascii="Arial" w:eastAsia="Times New Roman" w:hAnsi="Arial" w:cs="Arial"/>
          <w:color w:val="000000"/>
          <w:sz w:val="18"/>
          <w:szCs w:val="18"/>
        </w:rPr>
        <w:t>osé</w:t>
      </w:r>
      <w:r w:rsidRPr="001E3C88">
        <w:rPr>
          <w:rFonts w:ascii="Arial" w:eastAsia="Times New Roman" w:hAnsi="Arial" w:cs="Arial"/>
          <w:color w:val="000000"/>
          <w:sz w:val="18"/>
          <w:szCs w:val="18"/>
        </w:rPr>
        <w:t>. Castillo and B</w:t>
      </w:r>
      <w:r w:rsidR="00794A07">
        <w:rPr>
          <w:rFonts w:ascii="Arial" w:eastAsia="Times New Roman" w:hAnsi="Arial" w:cs="Arial"/>
          <w:color w:val="000000"/>
          <w:sz w:val="18"/>
          <w:szCs w:val="18"/>
        </w:rPr>
        <w:t>ernard</w:t>
      </w:r>
      <w:r w:rsidRPr="001E3C88">
        <w:rPr>
          <w:rFonts w:ascii="Arial" w:eastAsia="Times New Roman" w:hAnsi="Arial" w:cs="Arial"/>
          <w:color w:val="000000"/>
          <w:sz w:val="18"/>
          <w:szCs w:val="18"/>
        </w:rPr>
        <w:t>. Moscoso, ‘</w:t>
      </w:r>
      <w:r w:rsidRPr="001E3C88">
        <w:rPr>
          <w:rFonts w:ascii="Arial" w:eastAsia="Times New Roman" w:hAnsi="Arial" w:cs="Arial"/>
          <w:color w:val="000000"/>
          <w:sz w:val="18"/>
          <w:szCs w:val="18"/>
          <w:lang w:val="x-none"/>
        </w:rPr>
        <w:t>COVID-19 Pandemic and Violence:</w:t>
      </w:r>
      <w:r w:rsidRPr="001E3C88">
        <w:rPr>
          <w:rFonts w:ascii="Arial" w:eastAsia="Times New Roman" w:hAnsi="Arial" w:cs="Arial"/>
          <w:color w:val="000000"/>
          <w:sz w:val="18"/>
          <w:szCs w:val="18"/>
        </w:rPr>
        <w:t xml:space="preserve"> </w:t>
      </w:r>
      <w:r w:rsidRPr="001E3C88">
        <w:rPr>
          <w:rFonts w:ascii="Arial" w:eastAsia="Times New Roman" w:hAnsi="Arial" w:cs="Arial"/>
          <w:color w:val="000000"/>
          <w:sz w:val="18"/>
          <w:szCs w:val="18"/>
          <w:lang w:val="x-none"/>
        </w:rPr>
        <w:t>Contagions and Curfew Policy on Female Homicides</w:t>
      </w:r>
      <w:r w:rsidRPr="001E3C88">
        <w:rPr>
          <w:rFonts w:ascii="Arial" w:eastAsia="Times New Roman" w:hAnsi="Arial" w:cs="Arial"/>
          <w:color w:val="000000"/>
          <w:sz w:val="18"/>
          <w:szCs w:val="18"/>
        </w:rPr>
        <w:t xml:space="preserve">’ (2022) 9 </w:t>
      </w:r>
      <w:r w:rsidRPr="001E3C88">
        <w:rPr>
          <w:rFonts w:ascii="Arial" w:eastAsia="Times New Roman" w:hAnsi="Arial" w:cs="Arial"/>
          <w:i/>
          <w:iCs/>
          <w:color w:val="000000"/>
          <w:sz w:val="18"/>
          <w:szCs w:val="18"/>
        </w:rPr>
        <w:t>Violence and Gender</w:t>
      </w:r>
      <w:r w:rsidRPr="001E3C88">
        <w:rPr>
          <w:rFonts w:ascii="Arial" w:eastAsia="Times New Roman" w:hAnsi="Arial" w:cs="Arial"/>
          <w:color w:val="000000"/>
          <w:sz w:val="18"/>
          <w:szCs w:val="18"/>
        </w:rPr>
        <w:t xml:space="preserve"> 170.</w:t>
      </w:r>
    </w:p>
  </w:footnote>
  <w:footnote w:id="76">
    <w:p w14:paraId="3C3D527F" w14:textId="1FD22DB0" w:rsidR="001E3C88" w:rsidRPr="001E3C88" w:rsidRDefault="001E3C88" w:rsidP="001E3C88">
      <w:pPr>
        <w:pStyle w:val="FootnoteText"/>
        <w:rPr>
          <w:rFonts w:ascii="Arial" w:eastAsia="Times New Roman" w:hAnsi="Arial" w:cs="Arial"/>
          <w:color w:val="000000"/>
          <w:sz w:val="18"/>
          <w:szCs w:val="18"/>
        </w:rPr>
      </w:pPr>
      <w:r w:rsidRPr="001E3C88">
        <w:rPr>
          <w:rStyle w:val="FootnoteReference"/>
          <w:rFonts w:ascii="Arial" w:hAnsi="Arial" w:cs="Arial"/>
          <w:sz w:val="18"/>
          <w:szCs w:val="18"/>
        </w:rPr>
        <w:footnoteRef/>
      </w:r>
      <w:r w:rsidR="009F3F37">
        <w:rPr>
          <w:rFonts w:ascii="Arial" w:hAnsi="Arial" w:cs="Arial"/>
          <w:sz w:val="18"/>
          <w:szCs w:val="18"/>
        </w:rPr>
        <w:t xml:space="preserve"> </w:t>
      </w:r>
      <w:r w:rsidRPr="001E3C88">
        <w:rPr>
          <w:rFonts w:ascii="Arial" w:eastAsia="Times New Roman" w:hAnsi="Arial" w:cs="Arial"/>
          <w:color w:val="000000"/>
          <w:sz w:val="18"/>
          <w:szCs w:val="18"/>
        </w:rPr>
        <w:t>R</w:t>
      </w:r>
      <w:r w:rsidR="00794A07">
        <w:rPr>
          <w:rFonts w:ascii="Arial" w:eastAsia="Times New Roman" w:hAnsi="Arial" w:cs="Arial"/>
          <w:color w:val="000000"/>
          <w:sz w:val="18"/>
          <w:szCs w:val="18"/>
        </w:rPr>
        <w:t>ia</w:t>
      </w:r>
      <w:r w:rsidRPr="001E3C88">
        <w:rPr>
          <w:rFonts w:ascii="Arial" w:eastAsia="Times New Roman" w:hAnsi="Arial" w:cs="Arial"/>
          <w:color w:val="000000"/>
          <w:sz w:val="18"/>
          <w:szCs w:val="18"/>
        </w:rPr>
        <w:t xml:space="preserve"> Ivandi</w:t>
      </w:r>
      <w:r w:rsidRPr="001E3C88">
        <w:rPr>
          <w:rFonts w:ascii="Arial" w:eastAsia="Times New Roman" w:hAnsi="Arial" w:cs="Arial"/>
          <w:sz w:val="18"/>
          <w:szCs w:val="18"/>
          <w:lang w:val="x-none"/>
        </w:rPr>
        <w:t>ć</w:t>
      </w:r>
      <w:r w:rsidRPr="001E3C88">
        <w:rPr>
          <w:rFonts w:ascii="Arial" w:eastAsia="Times New Roman" w:hAnsi="Arial" w:cs="Arial"/>
          <w:sz w:val="18"/>
          <w:szCs w:val="18"/>
        </w:rPr>
        <w:t>, T</w:t>
      </w:r>
      <w:r w:rsidR="00794A07">
        <w:rPr>
          <w:rFonts w:ascii="Arial" w:eastAsia="Times New Roman" w:hAnsi="Arial" w:cs="Arial"/>
          <w:sz w:val="18"/>
          <w:szCs w:val="18"/>
        </w:rPr>
        <w:t>om</w:t>
      </w:r>
      <w:r w:rsidRPr="001E3C88">
        <w:rPr>
          <w:rFonts w:ascii="Arial" w:eastAsia="Times New Roman" w:hAnsi="Arial" w:cs="Arial"/>
          <w:sz w:val="18"/>
          <w:szCs w:val="18"/>
        </w:rPr>
        <w:t xml:space="preserve"> Kirchmaier and B</w:t>
      </w:r>
      <w:r w:rsidR="00794A07">
        <w:rPr>
          <w:rFonts w:ascii="Arial" w:eastAsia="Times New Roman" w:hAnsi="Arial" w:cs="Arial"/>
          <w:sz w:val="18"/>
          <w:szCs w:val="18"/>
        </w:rPr>
        <w:t>en</w:t>
      </w:r>
      <w:r w:rsidRPr="001E3C88">
        <w:rPr>
          <w:rFonts w:ascii="Arial" w:eastAsia="Times New Roman" w:hAnsi="Arial" w:cs="Arial"/>
          <w:sz w:val="18"/>
          <w:szCs w:val="18"/>
        </w:rPr>
        <w:t xml:space="preserve"> Linton, </w:t>
      </w:r>
      <w:r w:rsidRPr="001E3C88">
        <w:rPr>
          <w:rFonts w:ascii="Arial" w:eastAsia="Times New Roman" w:hAnsi="Arial" w:cs="Arial"/>
          <w:i/>
          <w:iCs/>
          <w:sz w:val="18"/>
          <w:szCs w:val="18"/>
        </w:rPr>
        <w:t xml:space="preserve">Changing Patterns of Domestic Abuse during Covid-19 Lockdown </w:t>
      </w:r>
      <w:r w:rsidRPr="001E3C88">
        <w:rPr>
          <w:rFonts w:ascii="Arial" w:eastAsia="Times New Roman" w:hAnsi="Arial" w:cs="Arial"/>
          <w:sz w:val="18"/>
          <w:szCs w:val="18"/>
        </w:rPr>
        <w:t>(Centre for Economic Performance, 2021).</w:t>
      </w:r>
      <w:r w:rsidR="009F3F37">
        <w:rPr>
          <w:rFonts w:ascii="Arial" w:eastAsia="Times New Roman" w:hAnsi="Arial" w:cs="Arial"/>
          <w:sz w:val="18"/>
          <w:szCs w:val="18"/>
        </w:rPr>
        <w:t xml:space="preserve"> </w:t>
      </w:r>
    </w:p>
  </w:footnote>
  <w:footnote w:id="77">
    <w:p w14:paraId="1792B39F" w14:textId="5D2F6E5C"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J</w:t>
      </w:r>
      <w:r w:rsidR="00794A07">
        <w:rPr>
          <w:rFonts w:ascii="Arial" w:hAnsi="Arial" w:cs="Arial"/>
          <w:sz w:val="18"/>
          <w:szCs w:val="18"/>
        </w:rPr>
        <w:t>onathan</w:t>
      </w:r>
      <w:r w:rsidRPr="001E3C88">
        <w:rPr>
          <w:rFonts w:ascii="Arial" w:hAnsi="Arial" w:cs="Arial"/>
          <w:sz w:val="18"/>
          <w:szCs w:val="18"/>
        </w:rPr>
        <w:t xml:space="preserve"> Herring, </w:t>
      </w:r>
      <w:r w:rsidRPr="001E3C88">
        <w:rPr>
          <w:rFonts w:ascii="Arial" w:hAnsi="Arial" w:cs="Arial"/>
          <w:i/>
          <w:iCs/>
          <w:sz w:val="18"/>
          <w:szCs w:val="18"/>
        </w:rPr>
        <w:t>Domestic Abuse and Human Rights</w:t>
      </w:r>
      <w:r w:rsidR="0062230A">
        <w:rPr>
          <w:rFonts w:ascii="Arial" w:hAnsi="Arial" w:cs="Arial"/>
          <w:sz w:val="18"/>
          <w:szCs w:val="18"/>
        </w:rPr>
        <w:t>, n 11 above.</w:t>
      </w:r>
    </w:p>
  </w:footnote>
  <w:footnote w:id="78">
    <w:p w14:paraId="72019A4C" w14:textId="7FA9ACD0"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J</w:t>
      </w:r>
      <w:r w:rsidR="00794A07">
        <w:rPr>
          <w:rFonts w:ascii="Arial" w:hAnsi="Arial" w:cs="Arial"/>
          <w:sz w:val="18"/>
          <w:szCs w:val="18"/>
        </w:rPr>
        <w:t>ayne</w:t>
      </w:r>
      <w:r w:rsidRPr="001E3C88">
        <w:rPr>
          <w:rFonts w:ascii="Arial" w:hAnsi="Arial" w:cs="Arial"/>
          <w:sz w:val="18"/>
          <w:szCs w:val="18"/>
        </w:rPr>
        <w:t xml:space="preserve"> Cowie, </w:t>
      </w:r>
      <w:r w:rsidRPr="001E3C88">
        <w:rPr>
          <w:rFonts w:ascii="Arial" w:hAnsi="Arial" w:cs="Arial"/>
          <w:i/>
          <w:iCs/>
          <w:sz w:val="18"/>
          <w:szCs w:val="18"/>
        </w:rPr>
        <w:t>After Dark</w:t>
      </w:r>
      <w:r w:rsidRPr="001E3C88">
        <w:rPr>
          <w:rFonts w:ascii="Arial" w:hAnsi="Arial" w:cs="Arial"/>
          <w:sz w:val="18"/>
          <w:szCs w:val="18"/>
        </w:rPr>
        <w:t xml:space="preserve"> (Penguin, 2022).</w:t>
      </w:r>
    </w:p>
  </w:footnote>
  <w:footnote w:id="79">
    <w:p w14:paraId="42895703" w14:textId="22ED6A5E" w:rsidR="001E3C88" w:rsidRPr="001E3C88" w:rsidRDefault="001E3C88" w:rsidP="001E3C88">
      <w:pPr>
        <w:spacing w:after="0" w:line="240" w:lineRule="auto"/>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L</w:t>
      </w:r>
      <w:r w:rsidR="00794A07">
        <w:rPr>
          <w:rFonts w:ascii="Arial" w:hAnsi="Arial" w:cs="Arial"/>
          <w:sz w:val="18"/>
          <w:szCs w:val="18"/>
        </w:rPr>
        <w:t>esley</w:t>
      </w:r>
      <w:r w:rsidRPr="001E3C88">
        <w:rPr>
          <w:rFonts w:ascii="Arial" w:hAnsi="Arial" w:cs="Arial"/>
          <w:sz w:val="18"/>
          <w:szCs w:val="18"/>
        </w:rPr>
        <w:t xml:space="preserve"> Yarranton, ‘The </w:t>
      </w:r>
      <w:r w:rsidR="00CE568F">
        <w:rPr>
          <w:rFonts w:ascii="Arial" w:hAnsi="Arial" w:cs="Arial"/>
          <w:sz w:val="18"/>
          <w:szCs w:val="18"/>
        </w:rPr>
        <w:t>C</w:t>
      </w:r>
      <w:r w:rsidRPr="001E3C88">
        <w:rPr>
          <w:rFonts w:ascii="Arial" w:hAnsi="Arial" w:cs="Arial"/>
          <w:sz w:val="18"/>
          <w:szCs w:val="18"/>
        </w:rPr>
        <w:t xml:space="preserve">ity that </w:t>
      </w:r>
      <w:r w:rsidR="00CE568F">
        <w:rPr>
          <w:rFonts w:ascii="Arial" w:hAnsi="Arial" w:cs="Arial"/>
          <w:sz w:val="18"/>
          <w:szCs w:val="18"/>
        </w:rPr>
        <w:t>B</w:t>
      </w:r>
      <w:r w:rsidRPr="001E3C88">
        <w:rPr>
          <w:rFonts w:ascii="Arial" w:hAnsi="Arial" w:cs="Arial"/>
          <w:sz w:val="18"/>
          <w:szCs w:val="18"/>
        </w:rPr>
        <w:t xml:space="preserve">anned Men’ Daily Mail </w:t>
      </w:r>
      <w:hyperlink r:id="rId6" w:history="1">
        <w:r w:rsidRPr="001E3C88">
          <w:rPr>
            <w:rStyle w:val="Hyperlink"/>
            <w:rFonts w:ascii="Arial" w:hAnsi="Arial" w:cs="Arial"/>
            <w:sz w:val="18"/>
            <w:szCs w:val="18"/>
          </w:rPr>
          <w:t>https://www.dailymail.co.uk/news/article-29619/The-city-banned-men.html</w:t>
        </w:r>
      </w:hyperlink>
      <w:r w:rsidR="00794A07">
        <w:rPr>
          <w:rStyle w:val="Hyperlink"/>
          <w:rFonts w:ascii="Arial" w:hAnsi="Arial" w:cs="Arial"/>
          <w:sz w:val="18"/>
          <w:szCs w:val="18"/>
        </w:rPr>
        <w:t xml:space="preserve"> (last accessed 3 June 2024)</w:t>
      </w:r>
      <w:r w:rsidRPr="001E3C88">
        <w:rPr>
          <w:rFonts w:ascii="Arial" w:hAnsi="Arial" w:cs="Arial"/>
          <w:sz w:val="18"/>
          <w:szCs w:val="18"/>
        </w:rPr>
        <w:t>; D</w:t>
      </w:r>
      <w:r w:rsidR="00794A07">
        <w:rPr>
          <w:rFonts w:ascii="Arial" w:hAnsi="Arial" w:cs="Arial"/>
          <w:sz w:val="18"/>
          <w:szCs w:val="18"/>
        </w:rPr>
        <w:t>allas</w:t>
      </w:r>
      <w:r w:rsidRPr="001E3C88">
        <w:rPr>
          <w:rFonts w:ascii="Arial" w:hAnsi="Arial" w:cs="Arial"/>
          <w:sz w:val="18"/>
          <w:szCs w:val="18"/>
        </w:rPr>
        <w:t xml:space="preserve"> Scholes, ‘Curfew for Men Aims to Curb Attacks on Women’ Deseret News</w:t>
      </w:r>
      <w:r w:rsidR="009F3F37">
        <w:rPr>
          <w:rFonts w:ascii="Arial" w:hAnsi="Arial" w:cs="Arial"/>
          <w:sz w:val="18"/>
          <w:szCs w:val="18"/>
        </w:rPr>
        <w:t xml:space="preserve"> </w:t>
      </w:r>
      <w:r w:rsidRPr="001E3C88">
        <w:rPr>
          <w:rFonts w:ascii="Arial" w:hAnsi="Arial" w:cs="Arial"/>
          <w:sz w:val="18"/>
          <w:szCs w:val="18"/>
        </w:rPr>
        <w:t xml:space="preserve">at </w:t>
      </w:r>
      <w:hyperlink r:id="rId7" w:history="1">
        <w:r w:rsidR="00794A07" w:rsidRPr="00824E8B">
          <w:rPr>
            <w:rStyle w:val="Hyperlink"/>
            <w:rFonts w:ascii="Arial" w:hAnsi="Arial" w:cs="Arial"/>
            <w:sz w:val="18"/>
            <w:szCs w:val="18"/>
          </w:rPr>
          <w:t>https://www.deseret.com/1991/11/20/18952766/y-curfew-for-men-aims-to-curb-attacks-on-women</w:t>
        </w:r>
      </w:hyperlink>
      <w:r w:rsidR="00794A07">
        <w:rPr>
          <w:rFonts w:ascii="Arial" w:hAnsi="Arial" w:cs="Arial"/>
          <w:sz w:val="18"/>
          <w:szCs w:val="18"/>
        </w:rPr>
        <w:t xml:space="preserve"> (last accessed 3 June 2024).</w:t>
      </w:r>
    </w:p>
  </w:footnote>
  <w:footnote w:id="80">
    <w:p w14:paraId="29DBDC3E" w14:textId="77777777"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E.g. Criminal Justice Act 2003, s. 246.</w:t>
      </w:r>
    </w:p>
  </w:footnote>
  <w:footnote w:id="81">
    <w:p w14:paraId="729CFB4E" w14:textId="58966098" w:rsidR="001E3C88" w:rsidRPr="001E3C88" w:rsidRDefault="001E3C88" w:rsidP="001E3C88">
      <w:pPr>
        <w:autoSpaceDE w:val="0"/>
        <w:autoSpaceDN w:val="0"/>
        <w:adjustRightInd w:val="0"/>
        <w:snapToGrid w:val="0"/>
        <w:spacing w:after="0" w:line="240" w:lineRule="auto"/>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D</w:t>
      </w:r>
      <w:r w:rsidR="00794A07">
        <w:rPr>
          <w:rFonts w:ascii="Arial" w:hAnsi="Arial" w:cs="Arial"/>
          <w:sz w:val="18"/>
          <w:szCs w:val="18"/>
        </w:rPr>
        <w:t>arshini</w:t>
      </w:r>
      <w:r w:rsidRPr="001E3C88">
        <w:rPr>
          <w:rFonts w:ascii="Arial" w:hAnsi="Arial" w:cs="Arial"/>
          <w:sz w:val="18"/>
          <w:szCs w:val="18"/>
        </w:rPr>
        <w:t xml:space="preserve"> </w:t>
      </w:r>
      <w:r w:rsidRPr="001E3C88">
        <w:rPr>
          <w:rFonts w:ascii="Arial" w:eastAsia="Times New Roman" w:hAnsi="Arial" w:cs="Arial"/>
          <w:color w:val="000000"/>
          <w:sz w:val="18"/>
          <w:szCs w:val="18"/>
          <w:lang w:val="x-none"/>
        </w:rPr>
        <w:t>Mahadevia</w:t>
      </w:r>
      <w:r w:rsidR="009F3F37">
        <w:rPr>
          <w:rFonts w:ascii="Arial" w:eastAsia="Times New Roman" w:hAnsi="Arial" w:cs="Arial"/>
          <w:color w:val="000000"/>
          <w:sz w:val="18"/>
          <w:szCs w:val="18"/>
        </w:rPr>
        <w:t xml:space="preserve"> </w:t>
      </w:r>
      <w:r w:rsidRPr="001E3C88">
        <w:rPr>
          <w:rFonts w:ascii="Arial" w:eastAsia="Times New Roman" w:hAnsi="Arial" w:cs="Arial"/>
          <w:color w:val="000000"/>
          <w:sz w:val="18"/>
          <w:szCs w:val="18"/>
        </w:rPr>
        <w:t>and S</w:t>
      </w:r>
      <w:r w:rsidR="00794A07">
        <w:rPr>
          <w:rFonts w:ascii="Arial" w:eastAsia="Times New Roman" w:hAnsi="Arial" w:cs="Arial"/>
          <w:color w:val="000000"/>
          <w:sz w:val="18"/>
          <w:szCs w:val="18"/>
        </w:rPr>
        <w:t>aumya</w:t>
      </w:r>
      <w:r w:rsidRPr="001E3C88">
        <w:rPr>
          <w:rFonts w:ascii="Arial" w:eastAsia="Times New Roman" w:hAnsi="Arial" w:cs="Arial"/>
          <w:color w:val="000000"/>
          <w:sz w:val="18"/>
          <w:szCs w:val="18"/>
        </w:rPr>
        <w:t xml:space="preserve"> </w:t>
      </w:r>
      <w:r w:rsidRPr="001E3C88">
        <w:rPr>
          <w:rFonts w:ascii="Arial" w:eastAsia="Times New Roman" w:hAnsi="Arial" w:cs="Arial"/>
          <w:color w:val="000000"/>
          <w:sz w:val="18"/>
          <w:szCs w:val="18"/>
          <w:lang w:val="x-none"/>
        </w:rPr>
        <w:t xml:space="preserve">Lathia, </w:t>
      </w:r>
      <w:r w:rsidRPr="001E3C88">
        <w:rPr>
          <w:rFonts w:ascii="Arial" w:eastAsia="Times New Roman" w:hAnsi="Arial" w:cs="Arial"/>
          <w:color w:val="000000"/>
          <w:sz w:val="18"/>
          <w:szCs w:val="18"/>
        </w:rPr>
        <w:t>‘</w:t>
      </w:r>
      <w:r w:rsidRPr="001E3C88">
        <w:rPr>
          <w:rFonts w:ascii="Arial" w:eastAsia="Times New Roman" w:hAnsi="Arial" w:cs="Arial"/>
          <w:color w:val="000000"/>
          <w:sz w:val="18"/>
          <w:szCs w:val="18"/>
          <w:lang w:val="x-none"/>
        </w:rPr>
        <w:t>Women's Safety and Public Spaces: Lessons from the Sabarmati Riverfront, India</w:t>
      </w:r>
      <w:r w:rsidRPr="001E3C88">
        <w:rPr>
          <w:rFonts w:ascii="Arial" w:eastAsia="Times New Roman" w:hAnsi="Arial" w:cs="Arial"/>
          <w:color w:val="000000"/>
          <w:sz w:val="18"/>
          <w:szCs w:val="18"/>
        </w:rPr>
        <w:t xml:space="preserve">’ (2019) 4 </w:t>
      </w:r>
      <w:r w:rsidRPr="001E3C88">
        <w:rPr>
          <w:rFonts w:ascii="Arial" w:eastAsia="Times New Roman" w:hAnsi="Arial" w:cs="Arial"/>
          <w:i/>
          <w:color w:val="000000"/>
          <w:sz w:val="18"/>
          <w:szCs w:val="18"/>
          <w:lang w:val="x-none"/>
        </w:rPr>
        <w:t>Urban Planning</w:t>
      </w:r>
      <w:r w:rsidRPr="001E3C88">
        <w:rPr>
          <w:rFonts w:ascii="Arial" w:eastAsia="Times New Roman" w:hAnsi="Arial" w:cs="Arial"/>
          <w:i/>
          <w:color w:val="000000"/>
          <w:sz w:val="18"/>
          <w:szCs w:val="18"/>
        </w:rPr>
        <w:t xml:space="preserve"> </w:t>
      </w:r>
      <w:r w:rsidRPr="001E3C88">
        <w:rPr>
          <w:rFonts w:ascii="Arial" w:eastAsia="Times New Roman" w:hAnsi="Arial" w:cs="Arial"/>
          <w:iCs/>
          <w:color w:val="000000"/>
          <w:sz w:val="18"/>
          <w:szCs w:val="18"/>
        </w:rPr>
        <w:t>154</w:t>
      </w:r>
      <w:r w:rsidRPr="001E3C88">
        <w:rPr>
          <w:rFonts w:ascii="Arial" w:eastAsia="Times New Roman" w:hAnsi="Arial" w:cs="Arial"/>
          <w:color w:val="000000"/>
          <w:sz w:val="18"/>
          <w:szCs w:val="18"/>
          <w:lang w:val="x-none"/>
        </w:rPr>
        <w:t>.</w:t>
      </w:r>
    </w:p>
  </w:footnote>
  <w:footnote w:id="82">
    <w:p w14:paraId="0B61D5CD" w14:textId="0AA60C81" w:rsidR="001E3C88" w:rsidRPr="001E3C88" w:rsidRDefault="001E3C88" w:rsidP="001E3C88">
      <w:pPr>
        <w:pStyle w:val="FootnoteText"/>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Number 11.</w:t>
      </w:r>
      <w:r w:rsidR="009F3F37">
        <w:rPr>
          <w:rFonts w:ascii="Arial" w:hAnsi="Arial" w:cs="Arial"/>
          <w:sz w:val="18"/>
          <w:szCs w:val="18"/>
        </w:rPr>
        <w:t xml:space="preserve"> </w:t>
      </w:r>
      <w:r w:rsidRPr="001E3C88">
        <w:rPr>
          <w:rFonts w:ascii="Arial" w:hAnsi="Arial" w:cs="Arial"/>
          <w:sz w:val="18"/>
          <w:szCs w:val="18"/>
        </w:rPr>
        <w:t xml:space="preserve">United Nations, </w:t>
      </w:r>
      <w:r w:rsidRPr="001E3C88">
        <w:rPr>
          <w:rFonts w:ascii="Arial" w:hAnsi="Arial" w:cs="Arial"/>
          <w:i/>
          <w:iCs/>
          <w:sz w:val="18"/>
          <w:szCs w:val="18"/>
        </w:rPr>
        <w:t>The Seventeen Goals: Sustainable Development</w:t>
      </w:r>
      <w:r w:rsidRPr="001E3C88">
        <w:rPr>
          <w:rFonts w:ascii="Arial" w:hAnsi="Arial" w:cs="Arial"/>
          <w:sz w:val="18"/>
          <w:szCs w:val="18"/>
        </w:rPr>
        <w:t xml:space="preserve"> (United Nations, 2022). </w:t>
      </w:r>
    </w:p>
  </w:footnote>
  <w:footnote w:id="83">
    <w:p w14:paraId="4353D3B1" w14:textId="33AB4123" w:rsidR="001E3C88" w:rsidRPr="001E3C88" w:rsidRDefault="001E3C88" w:rsidP="001E3C88">
      <w:pPr>
        <w:autoSpaceDE w:val="0"/>
        <w:autoSpaceDN w:val="0"/>
        <w:adjustRightInd w:val="0"/>
        <w:snapToGrid w:val="0"/>
        <w:spacing w:after="0" w:line="240" w:lineRule="auto"/>
        <w:rPr>
          <w:rFonts w:ascii="Arial" w:hAnsi="Arial" w:cs="Arial"/>
          <w:sz w:val="18"/>
          <w:szCs w:val="18"/>
        </w:rPr>
      </w:pPr>
      <w:r w:rsidRPr="001E3C88">
        <w:rPr>
          <w:rStyle w:val="FootnoteReference"/>
          <w:rFonts w:ascii="Arial" w:hAnsi="Arial" w:cs="Arial"/>
          <w:sz w:val="18"/>
          <w:szCs w:val="18"/>
        </w:rPr>
        <w:footnoteRef/>
      </w:r>
      <w:r w:rsidRPr="001E3C88">
        <w:rPr>
          <w:rFonts w:ascii="Arial" w:hAnsi="Arial" w:cs="Arial"/>
          <w:sz w:val="18"/>
          <w:szCs w:val="18"/>
        </w:rPr>
        <w:t xml:space="preserve"> </w:t>
      </w:r>
      <w:r w:rsidR="00BA3813">
        <w:rPr>
          <w:rFonts w:ascii="Arial" w:eastAsia="Times New Roman" w:hAnsi="Arial" w:cs="Arial"/>
          <w:color w:val="000000"/>
          <w:sz w:val="18"/>
          <w:szCs w:val="18"/>
        </w:rPr>
        <w:t>i</w:t>
      </w:r>
      <w:r w:rsidRPr="001E3C88">
        <w:rPr>
          <w:rFonts w:ascii="Arial" w:eastAsia="Times New Roman" w:hAnsi="Arial" w:cs="Arial"/>
          <w:color w:val="000000"/>
          <w:sz w:val="18"/>
          <w:szCs w:val="18"/>
        </w:rPr>
        <w:t>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D7FFD" w14:textId="44CD8C42" w:rsidR="00D64846" w:rsidRPr="00C84785" w:rsidRDefault="00D64846">
    <w:pPr>
      <w:pStyle w:val="Header"/>
      <w:rPr>
        <w:rFonts w:ascii="Arial" w:hAnsi="Arial" w:cs="Arial"/>
        <w:i/>
        <w:iCs/>
      </w:rPr>
    </w:pPr>
    <w:r>
      <w:rPr>
        <w:rFonts w:ascii="Arial" w:hAnsi="Arial" w:cs="Arial"/>
        <w:i/>
        <w:iCs/>
      </w:rPr>
      <w:t>Peer-</w:t>
    </w:r>
    <w:r w:rsidRPr="00C84785">
      <w:rPr>
        <w:rFonts w:ascii="Arial" w:hAnsi="Arial" w:cs="Arial"/>
        <w:i/>
        <w:iCs/>
      </w:rPr>
      <w:t>Review</w:t>
    </w:r>
    <w:r>
      <w:rPr>
        <w:rFonts w:ascii="Arial" w:hAnsi="Arial" w:cs="Arial"/>
        <w:i/>
        <w:iCs/>
      </w:rPr>
      <w:t>ed</w:t>
    </w:r>
    <w:r w:rsidRPr="00C84785">
      <w:rPr>
        <w:rFonts w:ascii="Arial" w:hAnsi="Arial" w:cs="Arial"/>
        <w:i/>
        <w:iCs/>
      </w:rPr>
      <w:t xml:space="preserve"> Article</w:t>
    </w:r>
    <w:r w:rsidRPr="00C84785">
      <w:rPr>
        <w:rFonts w:ascii="Arial" w:hAnsi="Arial" w:cs="Arial"/>
        <w:i/>
        <w:iCs/>
      </w:rPr>
      <w:ptab w:relativeTo="margin" w:alignment="center" w:leader="none"/>
    </w:r>
    <w:r w:rsidR="009F3F37">
      <w:rPr>
        <w:rFonts w:ascii="Arial" w:hAnsi="Arial" w:cs="Arial"/>
        <w:i/>
        <w:iCs/>
      </w:rPr>
      <w:t xml:space="preserve">               </w:t>
    </w:r>
    <w:r w:rsidRPr="00C84785">
      <w:rPr>
        <w:rFonts w:ascii="Arial" w:hAnsi="Arial" w:cs="Arial"/>
        <w:i/>
        <w:iCs/>
      </w:rPr>
      <w:t xml:space="preserve"> International Journal of Gender, Sexuality and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58D7"/>
    <w:multiLevelType w:val="hybridMultilevel"/>
    <w:tmpl w:val="D5084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F3C6D"/>
    <w:multiLevelType w:val="hybridMultilevel"/>
    <w:tmpl w:val="C296896A"/>
    <w:lvl w:ilvl="0" w:tplc="2ECA7EB2">
      <w:start w:val="1"/>
      <w:numFmt w:val="decimal"/>
      <w:lvlText w:val="%1."/>
      <w:lvlJc w:val="left"/>
      <w:pPr>
        <w:ind w:left="840" w:hanging="293"/>
      </w:pPr>
      <w:rPr>
        <w:rFonts w:ascii="Times New Roman" w:eastAsia="Times New Roman" w:hAnsi="Times New Roman" w:hint="default"/>
        <w:b/>
        <w:bCs/>
        <w:sz w:val="22"/>
        <w:szCs w:val="22"/>
      </w:rPr>
    </w:lvl>
    <w:lvl w:ilvl="1" w:tplc="E6CA82C2">
      <w:start w:val="1"/>
      <w:numFmt w:val="bullet"/>
      <w:lvlText w:val="•"/>
      <w:lvlJc w:val="left"/>
      <w:pPr>
        <w:ind w:left="1682" w:hanging="293"/>
      </w:pPr>
      <w:rPr>
        <w:rFonts w:hint="default"/>
      </w:rPr>
    </w:lvl>
    <w:lvl w:ilvl="2" w:tplc="B8E23098">
      <w:start w:val="1"/>
      <w:numFmt w:val="bullet"/>
      <w:lvlText w:val="•"/>
      <w:lvlJc w:val="left"/>
      <w:pPr>
        <w:ind w:left="2524" w:hanging="293"/>
      </w:pPr>
      <w:rPr>
        <w:rFonts w:hint="default"/>
      </w:rPr>
    </w:lvl>
    <w:lvl w:ilvl="3" w:tplc="A18E305E">
      <w:start w:val="1"/>
      <w:numFmt w:val="bullet"/>
      <w:lvlText w:val="•"/>
      <w:lvlJc w:val="left"/>
      <w:pPr>
        <w:ind w:left="3366" w:hanging="293"/>
      </w:pPr>
      <w:rPr>
        <w:rFonts w:hint="default"/>
      </w:rPr>
    </w:lvl>
    <w:lvl w:ilvl="4" w:tplc="148476DE">
      <w:start w:val="1"/>
      <w:numFmt w:val="bullet"/>
      <w:lvlText w:val="•"/>
      <w:lvlJc w:val="left"/>
      <w:pPr>
        <w:ind w:left="4208" w:hanging="293"/>
      </w:pPr>
      <w:rPr>
        <w:rFonts w:hint="default"/>
      </w:rPr>
    </w:lvl>
    <w:lvl w:ilvl="5" w:tplc="890E5AFC">
      <w:start w:val="1"/>
      <w:numFmt w:val="bullet"/>
      <w:lvlText w:val="•"/>
      <w:lvlJc w:val="left"/>
      <w:pPr>
        <w:ind w:left="5050" w:hanging="293"/>
      </w:pPr>
      <w:rPr>
        <w:rFonts w:hint="default"/>
      </w:rPr>
    </w:lvl>
    <w:lvl w:ilvl="6" w:tplc="CD7CCAF0">
      <w:start w:val="1"/>
      <w:numFmt w:val="bullet"/>
      <w:lvlText w:val="•"/>
      <w:lvlJc w:val="left"/>
      <w:pPr>
        <w:ind w:left="5892" w:hanging="293"/>
      </w:pPr>
      <w:rPr>
        <w:rFonts w:hint="default"/>
      </w:rPr>
    </w:lvl>
    <w:lvl w:ilvl="7" w:tplc="F2A08616">
      <w:start w:val="1"/>
      <w:numFmt w:val="bullet"/>
      <w:lvlText w:val="•"/>
      <w:lvlJc w:val="left"/>
      <w:pPr>
        <w:ind w:left="6734" w:hanging="293"/>
      </w:pPr>
      <w:rPr>
        <w:rFonts w:hint="default"/>
      </w:rPr>
    </w:lvl>
    <w:lvl w:ilvl="8" w:tplc="7598E494">
      <w:start w:val="1"/>
      <w:numFmt w:val="bullet"/>
      <w:lvlText w:val="•"/>
      <w:lvlJc w:val="left"/>
      <w:pPr>
        <w:ind w:left="7576" w:hanging="293"/>
      </w:pPr>
      <w:rPr>
        <w:rFonts w:hint="default"/>
      </w:rPr>
    </w:lvl>
  </w:abstractNum>
  <w:abstractNum w:abstractNumId="2" w15:restartNumberingAfterBreak="0">
    <w:nsid w:val="067F5E88"/>
    <w:multiLevelType w:val="hybridMultilevel"/>
    <w:tmpl w:val="5C28CD34"/>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B1658"/>
    <w:multiLevelType w:val="hybridMultilevel"/>
    <w:tmpl w:val="201E6B0A"/>
    <w:lvl w:ilvl="0" w:tplc="32AEBFA8">
      <w:start w:val="1"/>
      <w:numFmt w:val="decimal"/>
      <w:lvlText w:val="%1."/>
      <w:lvlJc w:val="left"/>
      <w:pPr>
        <w:ind w:left="1852" w:hanging="360"/>
      </w:pPr>
      <w:rPr>
        <w:rFonts w:eastAsia="Times New Roman" w:hint="default"/>
        <w:b w:val="0"/>
        <w:sz w:val="24"/>
      </w:rPr>
    </w:lvl>
    <w:lvl w:ilvl="1" w:tplc="04090019" w:tentative="1">
      <w:start w:val="1"/>
      <w:numFmt w:val="lowerLetter"/>
      <w:lvlText w:val="%2."/>
      <w:lvlJc w:val="left"/>
      <w:pPr>
        <w:ind w:left="2572" w:hanging="360"/>
      </w:pPr>
    </w:lvl>
    <w:lvl w:ilvl="2" w:tplc="0409001B" w:tentative="1">
      <w:start w:val="1"/>
      <w:numFmt w:val="lowerRoman"/>
      <w:lvlText w:val="%3."/>
      <w:lvlJc w:val="right"/>
      <w:pPr>
        <w:ind w:left="3292" w:hanging="180"/>
      </w:pPr>
    </w:lvl>
    <w:lvl w:ilvl="3" w:tplc="0409000F" w:tentative="1">
      <w:start w:val="1"/>
      <w:numFmt w:val="decimal"/>
      <w:lvlText w:val="%4."/>
      <w:lvlJc w:val="left"/>
      <w:pPr>
        <w:ind w:left="4012" w:hanging="360"/>
      </w:pPr>
    </w:lvl>
    <w:lvl w:ilvl="4" w:tplc="04090019" w:tentative="1">
      <w:start w:val="1"/>
      <w:numFmt w:val="lowerLetter"/>
      <w:lvlText w:val="%5."/>
      <w:lvlJc w:val="left"/>
      <w:pPr>
        <w:ind w:left="4732" w:hanging="360"/>
      </w:pPr>
    </w:lvl>
    <w:lvl w:ilvl="5" w:tplc="0409001B" w:tentative="1">
      <w:start w:val="1"/>
      <w:numFmt w:val="lowerRoman"/>
      <w:lvlText w:val="%6."/>
      <w:lvlJc w:val="right"/>
      <w:pPr>
        <w:ind w:left="5452" w:hanging="180"/>
      </w:pPr>
    </w:lvl>
    <w:lvl w:ilvl="6" w:tplc="0409000F" w:tentative="1">
      <w:start w:val="1"/>
      <w:numFmt w:val="decimal"/>
      <w:lvlText w:val="%7."/>
      <w:lvlJc w:val="left"/>
      <w:pPr>
        <w:ind w:left="6172" w:hanging="360"/>
      </w:pPr>
    </w:lvl>
    <w:lvl w:ilvl="7" w:tplc="04090019" w:tentative="1">
      <w:start w:val="1"/>
      <w:numFmt w:val="lowerLetter"/>
      <w:lvlText w:val="%8."/>
      <w:lvlJc w:val="left"/>
      <w:pPr>
        <w:ind w:left="6892" w:hanging="360"/>
      </w:pPr>
    </w:lvl>
    <w:lvl w:ilvl="8" w:tplc="0409001B" w:tentative="1">
      <w:start w:val="1"/>
      <w:numFmt w:val="lowerRoman"/>
      <w:lvlText w:val="%9."/>
      <w:lvlJc w:val="right"/>
      <w:pPr>
        <w:ind w:left="7612" w:hanging="180"/>
      </w:pPr>
    </w:lvl>
  </w:abstractNum>
  <w:abstractNum w:abstractNumId="4" w15:restartNumberingAfterBreak="0">
    <w:nsid w:val="14C3426F"/>
    <w:multiLevelType w:val="hybridMultilevel"/>
    <w:tmpl w:val="BD365920"/>
    <w:lvl w:ilvl="0" w:tplc="AB5A240C">
      <w:start w:val="1"/>
      <w:numFmt w:val="upperRoman"/>
      <w:lvlText w:val="%1."/>
      <w:lvlJc w:val="left"/>
      <w:pPr>
        <w:ind w:left="1027" w:hanging="526"/>
        <w:jc w:val="right"/>
      </w:pPr>
      <w:rPr>
        <w:rFonts w:ascii="Times New Roman" w:eastAsia="Times New Roman" w:hAnsi="Times New Roman" w:hint="default"/>
        <w:b/>
        <w:bCs/>
        <w:spacing w:val="-1"/>
        <w:w w:val="99"/>
        <w:sz w:val="26"/>
        <w:szCs w:val="26"/>
      </w:rPr>
    </w:lvl>
    <w:lvl w:ilvl="1" w:tplc="35A2DB52">
      <w:start w:val="1"/>
      <w:numFmt w:val="decimal"/>
      <w:lvlText w:val="%2."/>
      <w:lvlJc w:val="left"/>
      <w:pPr>
        <w:ind w:left="840" w:hanging="293"/>
      </w:pPr>
      <w:rPr>
        <w:rFonts w:ascii="Times New Roman" w:eastAsia="Times New Roman" w:hAnsi="Times New Roman" w:hint="default"/>
        <w:sz w:val="24"/>
        <w:szCs w:val="24"/>
      </w:rPr>
    </w:lvl>
    <w:lvl w:ilvl="2" w:tplc="8A14BD08">
      <w:start w:val="1"/>
      <w:numFmt w:val="bullet"/>
      <w:lvlText w:val="•"/>
      <w:lvlJc w:val="left"/>
      <w:pPr>
        <w:ind w:left="1942" w:hanging="293"/>
      </w:pPr>
      <w:rPr>
        <w:rFonts w:hint="default"/>
      </w:rPr>
    </w:lvl>
    <w:lvl w:ilvl="3" w:tplc="5B72874C">
      <w:start w:val="1"/>
      <w:numFmt w:val="bullet"/>
      <w:lvlText w:val="•"/>
      <w:lvlJc w:val="left"/>
      <w:pPr>
        <w:ind w:left="2857" w:hanging="293"/>
      </w:pPr>
      <w:rPr>
        <w:rFonts w:hint="default"/>
      </w:rPr>
    </w:lvl>
    <w:lvl w:ilvl="4" w:tplc="E7CAD59E">
      <w:start w:val="1"/>
      <w:numFmt w:val="bullet"/>
      <w:lvlText w:val="•"/>
      <w:lvlJc w:val="left"/>
      <w:pPr>
        <w:ind w:left="3771" w:hanging="293"/>
      </w:pPr>
      <w:rPr>
        <w:rFonts w:hint="default"/>
      </w:rPr>
    </w:lvl>
    <w:lvl w:ilvl="5" w:tplc="9846340A">
      <w:start w:val="1"/>
      <w:numFmt w:val="bullet"/>
      <w:lvlText w:val="•"/>
      <w:lvlJc w:val="left"/>
      <w:pPr>
        <w:ind w:left="4686" w:hanging="293"/>
      </w:pPr>
      <w:rPr>
        <w:rFonts w:hint="default"/>
      </w:rPr>
    </w:lvl>
    <w:lvl w:ilvl="6" w:tplc="F0BE3AA6">
      <w:start w:val="1"/>
      <w:numFmt w:val="bullet"/>
      <w:lvlText w:val="•"/>
      <w:lvlJc w:val="left"/>
      <w:pPr>
        <w:ind w:left="5601" w:hanging="293"/>
      </w:pPr>
      <w:rPr>
        <w:rFonts w:hint="default"/>
      </w:rPr>
    </w:lvl>
    <w:lvl w:ilvl="7" w:tplc="3D0E9412">
      <w:start w:val="1"/>
      <w:numFmt w:val="bullet"/>
      <w:lvlText w:val="•"/>
      <w:lvlJc w:val="left"/>
      <w:pPr>
        <w:ind w:left="6515" w:hanging="293"/>
      </w:pPr>
      <w:rPr>
        <w:rFonts w:hint="default"/>
      </w:rPr>
    </w:lvl>
    <w:lvl w:ilvl="8" w:tplc="F3FA5818">
      <w:start w:val="1"/>
      <w:numFmt w:val="bullet"/>
      <w:lvlText w:val="•"/>
      <w:lvlJc w:val="left"/>
      <w:pPr>
        <w:ind w:left="7430" w:hanging="293"/>
      </w:pPr>
      <w:rPr>
        <w:rFonts w:hint="default"/>
      </w:rPr>
    </w:lvl>
  </w:abstractNum>
  <w:abstractNum w:abstractNumId="5" w15:restartNumberingAfterBreak="0">
    <w:nsid w:val="1748581B"/>
    <w:multiLevelType w:val="hybridMultilevel"/>
    <w:tmpl w:val="AAB0B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8974F7"/>
    <w:multiLevelType w:val="hybridMultilevel"/>
    <w:tmpl w:val="DECA709E"/>
    <w:lvl w:ilvl="0" w:tplc="DF7AF820">
      <w:start w:val="1"/>
      <w:numFmt w:val="bullet"/>
      <w:lvlText w:val=""/>
      <w:lvlJc w:val="left"/>
      <w:pPr>
        <w:ind w:left="120" w:hanging="116"/>
      </w:pPr>
      <w:rPr>
        <w:rFonts w:ascii="Symbol" w:eastAsia="Symbol" w:hAnsi="Symbol" w:hint="default"/>
        <w:w w:val="99"/>
        <w:position w:val="7"/>
        <w:sz w:val="13"/>
        <w:szCs w:val="13"/>
      </w:rPr>
    </w:lvl>
    <w:lvl w:ilvl="1" w:tplc="84368096">
      <w:start w:val="1"/>
      <w:numFmt w:val="bullet"/>
      <w:lvlText w:val="•"/>
      <w:lvlJc w:val="left"/>
      <w:pPr>
        <w:ind w:left="1034" w:hanging="116"/>
      </w:pPr>
      <w:rPr>
        <w:rFonts w:hint="default"/>
      </w:rPr>
    </w:lvl>
    <w:lvl w:ilvl="2" w:tplc="9AAAF97E">
      <w:start w:val="1"/>
      <w:numFmt w:val="bullet"/>
      <w:lvlText w:val="•"/>
      <w:lvlJc w:val="left"/>
      <w:pPr>
        <w:ind w:left="1948" w:hanging="116"/>
      </w:pPr>
      <w:rPr>
        <w:rFonts w:hint="default"/>
      </w:rPr>
    </w:lvl>
    <w:lvl w:ilvl="3" w:tplc="FA6CA36E">
      <w:start w:val="1"/>
      <w:numFmt w:val="bullet"/>
      <w:lvlText w:val="•"/>
      <w:lvlJc w:val="left"/>
      <w:pPr>
        <w:ind w:left="2862" w:hanging="116"/>
      </w:pPr>
      <w:rPr>
        <w:rFonts w:hint="default"/>
      </w:rPr>
    </w:lvl>
    <w:lvl w:ilvl="4" w:tplc="1AEC0F12">
      <w:start w:val="1"/>
      <w:numFmt w:val="bullet"/>
      <w:lvlText w:val="•"/>
      <w:lvlJc w:val="left"/>
      <w:pPr>
        <w:ind w:left="3776" w:hanging="116"/>
      </w:pPr>
      <w:rPr>
        <w:rFonts w:hint="default"/>
      </w:rPr>
    </w:lvl>
    <w:lvl w:ilvl="5" w:tplc="638A22DC">
      <w:start w:val="1"/>
      <w:numFmt w:val="bullet"/>
      <w:lvlText w:val="•"/>
      <w:lvlJc w:val="left"/>
      <w:pPr>
        <w:ind w:left="4690" w:hanging="116"/>
      </w:pPr>
      <w:rPr>
        <w:rFonts w:hint="default"/>
      </w:rPr>
    </w:lvl>
    <w:lvl w:ilvl="6" w:tplc="C31CC442">
      <w:start w:val="1"/>
      <w:numFmt w:val="bullet"/>
      <w:lvlText w:val="•"/>
      <w:lvlJc w:val="left"/>
      <w:pPr>
        <w:ind w:left="5604" w:hanging="116"/>
      </w:pPr>
      <w:rPr>
        <w:rFonts w:hint="default"/>
      </w:rPr>
    </w:lvl>
    <w:lvl w:ilvl="7" w:tplc="BAE8F794">
      <w:start w:val="1"/>
      <w:numFmt w:val="bullet"/>
      <w:lvlText w:val="•"/>
      <w:lvlJc w:val="left"/>
      <w:pPr>
        <w:ind w:left="6518" w:hanging="116"/>
      </w:pPr>
      <w:rPr>
        <w:rFonts w:hint="default"/>
      </w:rPr>
    </w:lvl>
    <w:lvl w:ilvl="8" w:tplc="85685A36">
      <w:start w:val="1"/>
      <w:numFmt w:val="bullet"/>
      <w:lvlText w:val="•"/>
      <w:lvlJc w:val="left"/>
      <w:pPr>
        <w:ind w:left="7432" w:hanging="116"/>
      </w:pPr>
      <w:rPr>
        <w:rFonts w:hint="default"/>
      </w:rPr>
    </w:lvl>
  </w:abstractNum>
  <w:abstractNum w:abstractNumId="7" w15:restartNumberingAfterBreak="0">
    <w:nsid w:val="3C6B0A8D"/>
    <w:multiLevelType w:val="hybridMultilevel"/>
    <w:tmpl w:val="72689DD4"/>
    <w:lvl w:ilvl="0" w:tplc="1B6ED3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305CE6"/>
    <w:multiLevelType w:val="hybridMultilevel"/>
    <w:tmpl w:val="A5B81592"/>
    <w:lvl w:ilvl="0" w:tplc="BA0A9F82">
      <w:start w:val="1"/>
      <w:numFmt w:val="upperRoman"/>
      <w:lvlText w:val="%1."/>
      <w:lvlJc w:val="left"/>
      <w:pPr>
        <w:ind w:left="1089" w:hanging="72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9" w15:restartNumberingAfterBreak="0">
    <w:nsid w:val="41232740"/>
    <w:multiLevelType w:val="hybridMultilevel"/>
    <w:tmpl w:val="A978DB6E"/>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0" w15:restartNumberingAfterBreak="0">
    <w:nsid w:val="44F11FE0"/>
    <w:multiLevelType w:val="hybridMultilevel"/>
    <w:tmpl w:val="A95813CE"/>
    <w:lvl w:ilvl="0" w:tplc="3D987FA0">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7856E43"/>
    <w:multiLevelType w:val="hybridMultilevel"/>
    <w:tmpl w:val="7CC4F8B6"/>
    <w:lvl w:ilvl="0" w:tplc="EFAC53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AD76D5D"/>
    <w:multiLevelType w:val="hybridMultilevel"/>
    <w:tmpl w:val="C8D2A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1A13A2"/>
    <w:multiLevelType w:val="hybridMultilevel"/>
    <w:tmpl w:val="C04CBD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00757DD"/>
    <w:multiLevelType w:val="hybridMultilevel"/>
    <w:tmpl w:val="1EA4C3C2"/>
    <w:lvl w:ilvl="0" w:tplc="6CD215E8">
      <w:start w:val="5"/>
      <w:numFmt w:val="upperRoman"/>
      <w:lvlText w:val="%1."/>
      <w:lvlJc w:val="left"/>
      <w:pPr>
        <w:ind w:left="2295" w:hanging="593"/>
        <w:jc w:val="right"/>
      </w:pPr>
      <w:rPr>
        <w:rFonts w:ascii="Times New Roman" w:eastAsia="Times New Roman" w:hAnsi="Times New Roman" w:hint="default"/>
        <w:b/>
        <w:bCs/>
        <w:spacing w:val="-1"/>
        <w:sz w:val="24"/>
        <w:szCs w:val="24"/>
      </w:rPr>
    </w:lvl>
    <w:lvl w:ilvl="1" w:tplc="DC1003BA">
      <w:start w:val="1"/>
      <w:numFmt w:val="bullet"/>
      <w:lvlText w:val="•"/>
      <w:lvlJc w:val="left"/>
      <w:pPr>
        <w:ind w:left="3122" w:hanging="593"/>
      </w:pPr>
      <w:rPr>
        <w:rFonts w:hint="default"/>
      </w:rPr>
    </w:lvl>
    <w:lvl w:ilvl="2" w:tplc="3B0CA862">
      <w:start w:val="1"/>
      <w:numFmt w:val="bullet"/>
      <w:lvlText w:val="•"/>
      <w:lvlJc w:val="left"/>
      <w:pPr>
        <w:ind w:left="3950" w:hanging="593"/>
      </w:pPr>
      <w:rPr>
        <w:rFonts w:hint="default"/>
      </w:rPr>
    </w:lvl>
    <w:lvl w:ilvl="3" w:tplc="3DF2B826">
      <w:start w:val="1"/>
      <w:numFmt w:val="bullet"/>
      <w:lvlText w:val="•"/>
      <w:lvlJc w:val="left"/>
      <w:pPr>
        <w:ind w:left="4778" w:hanging="593"/>
      </w:pPr>
      <w:rPr>
        <w:rFonts w:hint="default"/>
      </w:rPr>
    </w:lvl>
    <w:lvl w:ilvl="4" w:tplc="24C03846">
      <w:start w:val="1"/>
      <w:numFmt w:val="bullet"/>
      <w:lvlText w:val="•"/>
      <w:lvlJc w:val="left"/>
      <w:pPr>
        <w:ind w:left="5606" w:hanging="593"/>
      </w:pPr>
      <w:rPr>
        <w:rFonts w:hint="default"/>
      </w:rPr>
    </w:lvl>
    <w:lvl w:ilvl="5" w:tplc="66205E5E">
      <w:start w:val="1"/>
      <w:numFmt w:val="bullet"/>
      <w:lvlText w:val="•"/>
      <w:lvlJc w:val="left"/>
      <w:pPr>
        <w:ind w:left="6434" w:hanging="593"/>
      </w:pPr>
      <w:rPr>
        <w:rFonts w:hint="default"/>
      </w:rPr>
    </w:lvl>
    <w:lvl w:ilvl="6" w:tplc="9E84C3CE">
      <w:start w:val="1"/>
      <w:numFmt w:val="bullet"/>
      <w:lvlText w:val="•"/>
      <w:lvlJc w:val="left"/>
      <w:pPr>
        <w:ind w:left="7261" w:hanging="593"/>
      </w:pPr>
      <w:rPr>
        <w:rFonts w:hint="default"/>
      </w:rPr>
    </w:lvl>
    <w:lvl w:ilvl="7" w:tplc="3FE49E1E">
      <w:start w:val="1"/>
      <w:numFmt w:val="bullet"/>
      <w:lvlText w:val="•"/>
      <w:lvlJc w:val="left"/>
      <w:pPr>
        <w:ind w:left="8089" w:hanging="593"/>
      </w:pPr>
      <w:rPr>
        <w:rFonts w:hint="default"/>
      </w:rPr>
    </w:lvl>
    <w:lvl w:ilvl="8" w:tplc="611030E4">
      <w:start w:val="1"/>
      <w:numFmt w:val="bullet"/>
      <w:lvlText w:val="•"/>
      <w:lvlJc w:val="left"/>
      <w:pPr>
        <w:ind w:left="8917" w:hanging="593"/>
      </w:pPr>
      <w:rPr>
        <w:rFonts w:hint="default"/>
      </w:rPr>
    </w:lvl>
  </w:abstractNum>
  <w:abstractNum w:abstractNumId="15" w15:restartNumberingAfterBreak="0">
    <w:nsid w:val="67003155"/>
    <w:multiLevelType w:val="hybridMultilevel"/>
    <w:tmpl w:val="7E32B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250272"/>
    <w:multiLevelType w:val="multilevel"/>
    <w:tmpl w:val="751C10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295CC8"/>
    <w:multiLevelType w:val="hybridMultilevel"/>
    <w:tmpl w:val="50A2DEB8"/>
    <w:lvl w:ilvl="0" w:tplc="D4AC81A6">
      <w:start w:val="1"/>
      <w:numFmt w:val="upperLetter"/>
      <w:lvlText w:val="(%1)"/>
      <w:lvlJc w:val="left"/>
      <w:pPr>
        <w:ind w:left="490" w:hanging="324"/>
      </w:pPr>
      <w:rPr>
        <w:rFonts w:ascii="Times New Roman" w:eastAsia="Times New Roman" w:hAnsi="Times New Roman" w:hint="default"/>
        <w:b/>
        <w:bCs/>
        <w:sz w:val="22"/>
        <w:szCs w:val="22"/>
      </w:rPr>
    </w:lvl>
    <w:lvl w:ilvl="1" w:tplc="5532F2E2">
      <w:start w:val="1"/>
      <w:numFmt w:val="bullet"/>
      <w:lvlText w:val="•"/>
      <w:lvlJc w:val="left"/>
      <w:pPr>
        <w:ind w:left="1367" w:hanging="324"/>
      </w:pPr>
      <w:rPr>
        <w:rFonts w:hint="default"/>
      </w:rPr>
    </w:lvl>
    <w:lvl w:ilvl="2" w:tplc="52785142">
      <w:start w:val="1"/>
      <w:numFmt w:val="bullet"/>
      <w:lvlText w:val="•"/>
      <w:lvlJc w:val="left"/>
      <w:pPr>
        <w:ind w:left="2244" w:hanging="324"/>
      </w:pPr>
      <w:rPr>
        <w:rFonts w:hint="default"/>
      </w:rPr>
    </w:lvl>
    <w:lvl w:ilvl="3" w:tplc="BEF06D40">
      <w:start w:val="1"/>
      <w:numFmt w:val="bullet"/>
      <w:lvlText w:val="•"/>
      <w:lvlJc w:val="left"/>
      <w:pPr>
        <w:ind w:left="3121" w:hanging="324"/>
      </w:pPr>
      <w:rPr>
        <w:rFonts w:hint="default"/>
      </w:rPr>
    </w:lvl>
    <w:lvl w:ilvl="4" w:tplc="91E2F8C4">
      <w:start w:val="1"/>
      <w:numFmt w:val="bullet"/>
      <w:lvlText w:val="•"/>
      <w:lvlJc w:val="left"/>
      <w:pPr>
        <w:ind w:left="3998" w:hanging="324"/>
      </w:pPr>
      <w:rPr>
        <w:rFonts w:hint="default"/>
      </w:rPr>
    </w:lvl>
    <w:lvl w:ilvl="5" w:tplc="F966709C">
      <w:start w:val="1"/>
      <w:numFmt w:val="bullet"/>
      <w:lvlText w:val="•"/>
      <w:lvlJc w:val="left"/>
      <w:pPr>
        <w:ind w:left="4875" w:hanging="324"/>
      </w:pPr>
      <w:rPr>
        <w:rFonts w:hint="default"/>
      </w:rPr>
    </w:lvl>
    <w:lvl w:ilvl="6" w:tplc="A63CC3E4">
      <w:start w:val="1"/>
      <w:numFmt w:val="bullet"/>
      <w:lvlText w:val="•"/>
      <w:lvlJc w:val="left"/>
      <w:pPr>
        <w:ind w:left="5752" w:hanging="324"/>
      </w:pPr>
      <w:rPr>
        <w:rFonts w:hint="default"/>
      </w:rPr>
    </w:lvl>
    <w:lvl w:ilvl="7" w:tplc="9356B5FA">
      <w:start w:val="1"/>
      <w:numFmt w:val="bullet"/>
      <w:lvlText w:val="•"/>
      <w:lvlJc w:val="left"/>
      <w:pPr>
        <w:ind w:left="6629" w:hanging="324"/>
      </w:pPr>
      <w:rPr>
        <w:rFonts w:hint="default"/>
      </w:rPr>
    </w:lvl>
    <w:lvl w:ilvl="8" w:tplc="BB7C1CBE">
      <w:start w:val="1"/>
      <w:numFmt w:val="bullet"/>
      <w:lvlText w:val="•"/>
      <w:lvlJc w:val="left"/>
      <w:pPr>
        <w:ind w:left="7506" w:hanging="324"/>
      </w:pPr>
      <w:rPr>
        <w:rFonts w:hint="default"/>
      </w:rPr>
    </w:lvl>
  </w:abstractNum>
  <w:abstractNum w:abstractNumId="18" w15:restartNumberingAfterBreak="0">
    <w:nsid w:val="6EA164B7"/>
    <w:multiLevelType w:val="hybridMultilevel"/>
    <w:tmpl w:val="AB3246F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EE75CCB"/>
    <w:multiLevelType w:val="hybridMultilevel"/>
    <w:tmpl w:val="1DD85052"/>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0" w15:restartNumberingAfterBreak="0">
    <w:nsid w:val="75BF6DA2"/>
    <w:multiLevelType w:val="hybridMultilevel"/>
    <w:tmpl w:val="73F26FD8"/>
    <w:lvl w:ilvl="0" w:tplc="189EB9B0">
      <w:start w:val="12"/>
      <w:numFmt w:val="decimal"/>
      <w:lvlText w:val="%1"/>
      <w:lvlJc w:val="left"/>
      <w:pPr>
        <w:ind w:left="120" w:hanging="180"/>
      </w:pPr>
      <w:rPr>
        <w:rFonts w:ascii="Times New Roman" w:eastAsia="Times New Roman" w:hAnsi="Times New Roman" w:hint="default"/>
        <w:w w:val="99"/>
        <w:position w:val="7"/>
        <w:sz w:val="13"/>
        <w:szCs w:val="13"/>
      </w:rPr>
    </w:lvl>
    <w:lvl w:ilvl="1" w:tplc="2BB63D26">
      <w:start w:val="1"/>
      <w:numFmt w:val="bullet"/>
      <w:lvlText w:val="•"/>
      <w:lvlJc w:val="left"/>
      <w:pPr>
        <w:ind w:left="1034" w:hanging="180"/>
      </w:pPr>
      <w:rPr>
        <w:rFonts w:hint="default"/>
      </w:rPr>
    </w:lvl>
    <w:lvl w:ilvl="2" w:tplc="24BED014">
      <w:start w:val="1"/>
      <w:numFmt w:val="bullet"/>
      <w:lvlText w:val="•"/>
      <w:lvlJc w:val="left"/>
      <w:pPr>
        <w:ind w:left="1948" w:hanging="180"/>
      </w:pPr>
      <w:rPr>
        <w:rFonts w:hint="default"/>
      </w:rPr>
    </w:lvl>
    <w:lvl w:ilvl="3" w:tplc="4382479E">
      <w:start w:val="1"/>
      <w:numFmt w:val="bullet"/>
      <w:lvlText w:val="•"/>
      <w:lvlJc w:val="left"/>
      <w:pPr>
        <w:ind w:left="2862" w:hanging="180"/>
      </w:pPr>
      <w:rPr>
        <w:rFonts w:hint="default"/>
      </w:rPr>
    </w:lvl>
    <w:lvl w:ilvl="4" w:tplc="DFE04DF8">
      <w:start w:val="1"/>
      <w:numFmt w:val="bullet"/>
      <w:lvlText w:val="•"/>
      <w:lvlJc w:val="left"/>
      <w:pPr>
        <w:ind w:left="3776" w:hanging="180"/>
      </w:pPr>
      <w:rPr>
        <w:rFonts w:hint="default"/>
      </w:rPr>
    </w:lvl>
    <w:lvl w:ilvl="5" w:tplc="7EBEB1D4">
      <w:start w:val="1"/>
      <w:numFmt w:val="bullet"/>
      <w:lvlText w:val="•"/>
      <w:lvlJc w:val="left"/>
      <w:pPr>
        <w:ind w:left="4690" w:hanging="180"/>
      </w:pPr>
      <w:rPr>
        <w:rFonts w:hint="default"/>
      </w:rPr>
    </w:lvl>
    <w:lvl w:ilvl="6" w:tplc="8A602F1A">
      <w:start w:val="1"/>
      <w:numFmt w:val="bullet"/>
      <w:lvlText w:val="•"/>
      <w:lvlJc w:val="left"/>
      <w:pPr>
        <w:ind w:left="5604" w:hanging="180"/>
      </w:pPr>
      <w:rPr>
        <w:rFonts w:hint="default"/>
      </w:rPr>
    </w:lvl>
    <w:lvl w:ilvl="7" w:tplc="4830D9B0">
      <w:start w:val="1"/>
      <w:numFmt w:val="bullet"/>
      <w:lvlText w:val="•"/>
      <w:lvlJc w:val="left"/>
      <w:pPr>
        <w:ind w:left="6518" w:hanging="180"/>
      </w:pPr>
      <w:rPr>
        <w:rFonts w:hint="default"/>
      </w:rPr>
    </w:lvl>
    <w:lvl w:ilvl="8" w:tplc="DC6E1252">
      <w:start w:val="1"/>
      <w:numFmt w:val="bullet"/>
      <w:lvlText w:val="•"/>
      <w:lvlJc w:val="left"/>
      <w:pPr>
        <w:ind w:left="7432" w:hanging="180"/>
      </w:pPr>
      <w:rPr>
        <w:rFonts w:hint="default"/>
      </w:rPr>
    </w:lvl>
  </w:abstractNum>
  <w:abstractNum w:abstractNumId="21" w15:restartNumberingAfterBreak="0">
    <w:nsid w:val="788A0B68"/>
    <w:multiLevelType w:val="hybridMultilevel"/>
    <w:tmpl w:val="68061F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BA95E49"/>
    <w:multiLevelType w:val="multilevel"/>
    <w:tmpl w:val="E4B46858"/>
    <w:lvl w:ilvl="0">
      <w:start w:val="1"/>
      <w:numFmt w:val="decimal"/>
      <w:lvlText w:val="%1."/>
      <w:lvlJc w:val="left"/>
      <w:pPr>
        <w:ind w:left="720" w:hanging="360"/>
      </w:pPr>
      <w:rPr>
        <w:rFonts w:hint="default"/>
      </w:rPr>
    </w:lvl>
    <w:lvl w:ilvl="1">
      <w:start w:val="8"/>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CE6455B"/>
    <w:multiLevelType w:val="hybridMultilevel"/>
    <w:tmpl w:val="C966E570"/>
    <w:lvl w:ilvl="0" w:tplc="BD945618">
      <w:start w:val="2"/>
      <w:numFmt w:val="decimal"/>
      <w:lvlText w:val="%1."/>
      <w:lvlJc w:val="left"/>
      <w:pPr>
        <w:ind w:left="972" w:hanging="293"/>
      </w:pPr>
      <w:rPr>
        <w:rFonts w:ascii="Times New Roman" w:eastAsia="Times New Roman" w:hAnsi="Times New Roman" w:hint="default"/>
        <w:b/>
        <w:bCs/>
        <w:sz w:val="22"/>
        <w:szCs w:val="22"/>
      </w:rPr>
    </w:lvl>
    <w:lvl w:ilvl="1" w:tplc="3CE8152C">
      <w:start w:val="1"/>
      <w:numFmt w:val="bullet"/>
      <w:lvlText w:val="•"/>
      <w:lvlJc w:val="left"/>
      <w:pPr>
        <w:ind w:left="972" w:hanging="293"/>
      </w:pPr>
      <w:rPr>
        <w:rFonts w:hint="default"/>
      </w:rPr>
    </w:lvl>
    <w:lvl w:ilvl="2" w:tplc="7F869A4C">
      <w:start w:val="1"/>
      <w:numFmt w:val="bullet"/>
      <w:lvlText w:val="•"/>
      <w:lvlJc w:val="left"/>
      <w:pPr>
        <w:ind w:left="1893" w:hanging="293"/>
      </w:pPr>
      <w:rPr>
        <w:rFonts w:hint="default"/>
      </w:rPr>
    </w:lvl>
    <w:lvl w:ilvl="3" w:tplc="C4A6B2C8">
      <w:start w:val="1"/>
      <w:numFmt w:val="bullet"/>
      <w:lvlText w:val="•"/>
      <w:lvlJc w:val="left"/>
      <w:pPr>
        <w:ind w:left="2814" w:hanging="293"/>
      </w:pPr>
      <w:rPr>
        <w:rFonts w:hint="default"/>
      </w:rPr>
    </w:lvl>
    <w:lvl w:ilvl="4" w:tplc="526C8212">
      <w:start w:val="1"/>
      <w:numFmt w:val="bullet"/>
      <w:lvlText w:val="•"/>
      <w:lvlJc w:val="left"/>
      <w:pPr>
        <w:ind w:left="3734" w:hanging="293"/>
      </w:pPr>
      <w:rPr>
        <w:rFonts w:hint="default"/>
      </w:rPr>
    </w:lvl>
    <w:lvl w:ilvl="5" w:tplc="6BA4F00A">
      <w:start w:val="1"/>
      <w:numFmt w:val="bullet"/>
      <w:lvlText w:val="•"/>
      <w:lvlJc w:val="left"/>
      <w:pPr>
        <w:ind w:left="4655" w:hanging="293"/>
      </w:pPr>
      <w:rPr>
        <w:rFonts w:hint="default"/>
      </w:rPr>
    </w:lvl>
    <w:lvl w:ilvl="6" w:tplc="40705832">
      <w:start w:val="1"/>
      <w:numFmt w:val="bullet"/>
      <w:lvlText w:val="•"/>
      <w:lvlJc w:val="left"/>
      <w:pPr>
        <w:ind w:left="5576" w:hanging="293"/>
      </w:pPr>
      <w:rPr>
        <w:rFonts w:hint="default"/>
      </w:rPr>
    </w:lvl>
    <w:lvl w:ilvl="7" w:tplc="EE54C442">
      <w:start w:val="1"/>
      <w:numFmt w:val="bullet"/>
      <w:lvlText w:val="•"/>
      <w:lvlJc w:val="left"/>
      <w:pPr>
        <w:ind w:left="6497" w:hanging="293"/>
      </w:pPr>
      <w:rPr>
        <w:rFonts w:hint="default"/>
      </w:rPr>
    </w:lvl>
    <w:lvl w:ilvl="8" w:tplc="8BD62B26">
      <w:start w:val="1"/>
      <w:numFmt w:val="bullet"/>
      <w:lvlText w:val="•"/>
      <w:lvlJc w:val="left"/>
      <w:pPr>
        <w:ind w:left="7418" w:hanging="293"/>
      </w:pPr>
      <w:rPr>
        <w:rFonts w:hint="default"/>
      </w:rPr>
    </w:lvl>
  </w:abstractNum>
  <w:num w:numId="1" w16cid:durableId="1359351217">
    <w:abstractNumId w:val="1"/>
  </w:num>
  <w:num w:numId="2" w16cid:durableId="264775600">
    <w:abstractNumId w:val="14"/>
  </w:num>
  <w:num w:numId="3" w16cid:durableId="1816750312">
    <w:abstractNumId w:val="23"/>
  </w:num>
  <w:num w:numId="4" w16cid:durableId="1014499593">
    <w:abstractNumId w:val="17"/>
  </w:num>
  <w:num w:numId="5" w16cid:durableId="642393683">
    <w:abstractNumId w:val="20"/>
  </w:num>
  <w:num w:numId="6" w16cid:durableId="336076920">
    <w:abstractNumId w:val="6"/>
  </w:num>
  <w:num w:numId="7" w16cid:durableId="744030760">
    <w:abstractNumId w:val="4"/>
  </w:num>
  <w:num w:numId="8" w16cid:durableId="939603181">
    <w:abstractNumId w:val="3"/>
  </w:num>
  <w:num w:numId="9" w16cid:durableId="853154393">
    <w:abstractNumId w:val="0"/>
  </w:num>
  <w:num w:numId="10" w16cid:durableId="73629519">
    <w:abstractNumId w:val="12"/>
  </w:num>
  <w:num w:numId="11" w16cid:durableId="1245992837">
    <w:abstractNumId w:val="19"/>
  </w:num>
  <w:num w:numId="12" w16cid:durableId="150948078">
    <w:abstractNumId w:val="9"/>
  </w:num>
  <w:num w:numId="13" w16cid:durableId="267549086">
    <w:abstractNumId w:val="21"/>
  </w:num>
  <w:num w:numId="14" w16cid:durableId="1144471602">
    <w:abstractNumId w:val="15"/>
  </w:num>
  <w:num w:numId="15" w16cid:durableId="1009983931">
    <w:abstractNumId w:val="7"/>
  </w:num>
  <w:num w:numId="16" w16cid:durableId="1567186563">
    <w:abstractNumId w:val="13"/>
  </w:num>
  <w:num w:numId="17" w16cid:durableId="1714190457">
    <w:abstractNumId w:val="8"/>
  </w:num>
  <w:num w:numId="18" w16cid:durableId="1553813226">
    <w:abstractNumId w:val="5"/>
  </w:num>
  <w:num w:numId="19" w16cid:durableId="34739864">
    <w:abstractNumId w:val="18"/>
  </w:num>
  <w:num w:numId="20" w16cid:durableId="1771393419">
    <w:abstractNumId w:val="2"/>
  </w:num>
  <w:num w:numId="21" w16cid:durableId="396515500">
    <w:abstractNumId w:val="16"/>
  </w:num>
  <w:num w:numId="22" w16cid:durableId="510488736">
    <w:abstractNumId w:val="11"/>
  </w:num>
  <w:num w:numId="23" w16cid:durableId="892084819">
    <w:abstractNumId w:val="22"/>
  </w:num>
  <w:num w:numId="24" w16cid:durableId="46538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D24"/>
    <w:rsid w:val="00011BD2"/>
    <w:rsid w:val="00016B0B"/>
    <w:rsid w:val="000545B3"/>
    <w:rsid w:val="00055FDE"/>
    <w:rsid w:val="000918C0"/>
    <w:rsid w:val="000B2D20"/>
    <w:rsid w:val="000D20BC"/>
    <w:rsid w:val="000E4040"/>
    <w:rsid w:val="001003EE"/>
    <w:rsid w:val="00114CAD"/>
    <w:rsid w:val="00146D4A"/>
    <w:rsid w:val="00146EC0"/>
    <w:rsid w:val="00151BF6"/>
    <w:rsid w:val="0017268D"/>
    <w:rsid w:val="001A59B9"/>
    <w:rsid w:val="001E3C88"/>
    <w:rsid w:val="001E5058"/>
    <w:rsid w:val="0021370F"/>
    <w:rsid w:val="00232762"/>
    <w:rsid w:val="00244A47"/>
    <w:rsid w:val="00256F86"/>
    <w:rsid w:val="00264BA4"/>
    <w:rsid w:val="00267DCE"/>
    <w:rsid w:val="002835C4"/>
    <w:rsid w:val="0028657B"/>
    <w:rsid w:val="003003DC"/>
    <w:rsid w:val="00316264"/>
    <w:rsid w:val="00320F8F"/>
    <w:rsid w:val="00336FDF"/>
    <w:rsid w:val="003648C2"/>
    <w:rsid w:val="00371D25"/>
    <w:rsid w:val="00384B10"/>
    <w:rsid w:val="003A494C"/>
    <w:rsid w:val="003A4DAF"/>
    <w:rsid w:val="003C3D20"/>
    <w:rsid w:val="003E0E64"/>
    <w:rsid w:val="003E418E"/>
    <w:rsid w:val="00425BC1"/>
    <w:rsid w:val="004324AD"/>
    <w:rsid w:val="0046709E"/>
    <w:rsid w:val="0048769B"/>
    <w:rsid w:val="00492FC5"/>
    <w:rsid w:val="004D5ADD"/>
    <w:rsid w:val="004E3BB5"/>
    <w:rsid w:val="00500D24"/>
    <w:rsid w:val="00512458"/>
    <w:rsid w:val="00521899"/>
    <w:rsid w:val="005773A8"/>
    <w:rsid w:val="005948DE"/>
    <w:rsid w:val="005A2058"/>
    <w:rsid w:val="005D32BA"/>
    <w:rsid w:val="00605D59"/>
    <w:rsid w:val="0062230A"/>
    <w:rsid w:val="00655AC8"/>
    <w:rsid w:val="00665FE7"/>
    <w:rsid w:val="00671A22"/>
    <w:rsid w:val="00682137"/>
    <w:rsid w:val="006868AA"/>
    <w:rsid w:val="006B64C0"/>
    <w:rsid w:val="006E308F"/>
    <w:rsid w:val="0071747B"/>
    <w:rsid w:val="00733C87"/>
    <w:rsid w:val="007406F0"/>
    <w:rsid w:val="00742579"/>
    <w:rsid w:val="00751807"/>
    <w:rsid w:val="00764125"/>
    <w:rsid w:val="007803DF"/>
    <w:rsid w:val="0079283F"/>
    <w:rsid w:val="00794A07"/>
    <w:rsid w:val="007A2B8E"/>
    <w:rsid w:val="007E6D3E"/>
    <w:rsid w:val="007E7754"/>
    <w:rsid w:val="007F131C"/>
    <w:rsid w:val="00800FB2"/>
    <w:rsid w:val="00801906"/>
    <w:rsid w:val="0080272B"/>
    <w:rsid w:val="008156CF"/>
    <w:rsid w:val="00840665"/>
    <w:rsid w:val="00895EF8"/>
    <w:rsid w:val="008F67FC"/>
    <w:rsid w:val="00934B7B"/>
    <w:rsid w:val="00935EB2"/>
    <w:rsid w:val="0094182F"/>
    <w:rsid w:val="009467FD"/>
    <w:rsid w:val="00955C8D"/>
    <w:rsid w:val="00963B9C"/>
    <w:rsid w:val="00985110"/>
    <w:rsid w:val="009C1119"/>
    <w:rsid w:val="009E59D0"/>
    <w:rsid w:val="009F3F37"/>
    <w:rsid w:val="009F4834"/>
    <w:rsid w:val="00A236FA"/>
    <w:rsid w:val="00A23752"/>
    <w:rsid w:val="00A43D9D"/>
    <w:rsid w:val="00A50F47"/>
    <w:rsid w:val="00A5386D"/>
    <w:rsid w:val="00A737F7"/>
    <w:rsid w:val="00A924B6"/>
    <w:rsid w:val="00A966CC"/>
    <w:rsid w:val="00AE0960"/>
    <w:rsid w:val="00AE15A4"/>
    <w:rsid w:val="00AE61BF"/>
    <w:rsid w:val="00AF6B7D"/>
    <w:rsid w:val="00B03CDD"/>
    <w:rsid w:val="00B87992"/>
    <w:rsid w:val="00BA3813"/>
    <w:rsid w:val="00BB0EFC"/>
    <w:rsid w:val="00BC0A68"/>
    <w:rsid w:val="00BC2BBD"/>
    <w:rsid w:val="00BE41D2"/>
    <w:rsid w:val="00BF0112"/>
    <w:rsid w:val="00C441D9"/>
    <w:rsid w:val="00C67E89"/>
    <w:rsid w:val="00C72152"/>
    <w:rsid w:val="00C84785"/>
    <w:rsid w:val="00CC04F4"/>
    <w:rsid w:val="00CE568F"/>
    <w:rsid w:val="00D008F5"/>
    <w:rsid w:val="00D11A65"/>
    <w:rsid w:val="00D410C9"/>
    <w:rsid w:val="00D64846"/>
    <w:rsid w:val="00D93D7C"/>
    <w:rsid w:val="00DB0B3E"/>
    <w:rsid w:val="00DF4597"/>
    <w:rsid w:val="00E00889"/>
    <w:rsid w:val="00E217EF"/>
    <w:rsid w:val="00E25544"/>
    <w:rsid w:val="00E46613"/>
    <w:rsid w:val="00E631F5"/>
    <w:rsid w:val="00E85ABB"/>
    <w:rsid w:val="00E9177B"/>
    <w:rsid w:val="00EA455B"/>
    <w:rsid w:val="00EB3634"/>
    <w:rsid w:val="00EC3461"/>
    <w:rsid w:val="00ED3CA5"/>
    <w:rsid w:val="00F37A7E"/>
    <w:rsid w:val="00FA195A"/>
    <w:rsid w:val="00FD61A1"/>
    <w:rsid w:val="00FE5F3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D246F"/>
  <w15:chartTrackingRefBased/>
  <w15:docId w15:val="{DFC12D60-4B3E-4DEA-A269-4401B56F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48C2"/>
    <w:pPr>
      <w:widowControl w:val="0"/>
      <w:spacing w:after="0" w:line="240" w:lineRule="auto"/>
      <w:ind w:left="962" w:hanging="593"/>
      <w:outlineLvl w:val="0"/>
    </w:pPr>
    <w:rPr>
      <w:rFonts w:ascii="Times New Roman" w:eastAsia="Times New Roman" w:hAnsi="Times New Roman"/>
      <w:b/>
      <w:bCs/>
      <w:sz w:val="24"/>
      <w:szCs w:val="24"/>
      <w:lang w:val="en-US"/>
    </w:rPr>
  </w:style>
  <w:style w:type="paragraph" w:styleId="Heading2">
    <w:name w:val="heading 2"/>
    <w:basedOn w:val="Normal"/>
    <w:next w:val="Normal"/>
    <w:link w:val="Heading2Char"/>
    <w:uiPriority w:val="9"/>
    <w:unhideWhenUsed/>
    <w:qFormat/>
    <w:rsid w:val="003648C2"/>
    <w:pPr>
      <w:spacing w:after="0" w:line="240" w:lineRule="auto"/>
      <w:jc w:val="both"/>
      <w:outlineLvl w:val="1"/>
    </w:pPr>
    <w:rPr>
      <w:rFonts w:asciiTheme="majorBidi" w:eastAsia="Times New Roman" w:hAnsiTheme="majorBidi" w:cstheme="majorBidi"/>
      <w:b/>
      <w:bCs/>
      <w:i/>
      <w:iCs/>
      <w:sz w:val="24"/>
      <w:szCs w:val="24"/>
    </w:rPr>
  </w:style>
  <w:style w:type="paragraph" w:styleId="Heading3">
    <w:name w:val="heading 3"/>
    <w:basedOn w:val="Normal"/>
    <w:next w:val="Normal"/>
    <w:link w:val="Heading3Char"/>
    <w:uiPriority w:val="9"/>
    <w:unhideWhenUsed/>
    <w:qFormat/>
    <w:rsid w:val="003648C2"/>
    <w:pPr>
      <w:keepNext/>
      <w:keepLines/>
      <w:spacing w:before="40" w:after="0"/>
      <w:outlineLvl w:val="2"/>
    </w:pPr>
    <w:rPr>
      <w:rFonts w:asciiTheme="majorHAnsi" w:eastAsiaTheme="majorEastAsia" w:hAnsiTheme="majorHAnsi" w:cstheme="majorBidi"/>
      <w:color w:val="1F3763" w:themeColor="accent1" w:themeShade="7F"/>
      <w:sz w:val="24"/>
      <w:szCs w:val="24"/>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Footnote Text Char2,Footnote Text Char Char1,Footnote Text Char1 Char Char,Footnote Text Char Char Char Char,Footnote Text Char1 Char Char Char Char,Footnote Text Char Char Char Char Char Char,Footnote Text Char1 Char,Char Char,Ch"/>
    <w:basedOn w:val="Normal"/>
    <w:link w:val="FootnoteTextChar"/>
    <w:uiPriority w:val="99"/>
    <w:unhideWhenUsed/>
    <w:rsid w:val="00BC0A68"/>
    <w:pPr>
      <w:spacing w:after="0" w:line="240" w:lineRule="auto"/>
    </w:pPr>
    <w:rPr>
      <w:sz w:val="20"/>
      <w:szCs w:val="20"/>
    </w:rPr>
  </w:style>
  <w:style w:type="character" w:customStyle="1" w:styleId="FootnoteTextChar">
    <w:name w:val="Footnote Text Char"/>
    <w:aliases w:val=" Char Char,Footnote Text Char2 Char,Footnote Text Char Char1 Char,Footnote Text Char1 Char Char Char,Footnote Text Char Char Char Char Char,Footnote Text Char1 Char Char Char Char Char,Footnote Text Char Char Char Char Char Char Char"/>
    <w:basedOn w:val="DefaultParagraphFont"/>
    <w:link w:val="FootnoteText"/>
    <w:uiPriority w:val="99"/>
    <w:rsid w:val="00BC0A68"/>
    <w:rPr>
      <w:sz w:val="20"/>
      <w:szCs w:val="20"/>
    </w:rPr>
  </w:style>
  <w:style w:type="character" w:styleId="FootnoteReference">
    <w:name w:val="footnote reference"/>
    <w:aliases w:val="Ref,de nota al pie,Ref1,de nota al pie1,Ref2,de nota al pie2,Ref3,de nota al pie3,Ref4,de nota al pie4,Ref5,de nota al pie5,Ref6,de nota al pie6,Ref7,de nota al pie7,Ref8,de nota al pie8,Ref11,de nota al pie11,Ref21,de nota al pie21"/>
    <w:basedOn w:val="DefaultParagraphFont"/>
    <w:unhideWhenUsed/>
    <w:qFormat/>
    <w:rsid w:val="00BC0A68"/>
    <w:rPr>
      <w:vertAlign w:val="superscript"/>
    </w:rPr>
  </w:style>
  <w:style w:type="paragraph" w:styleId="Header">
    <w:name w:val="header"/>
    <w:basedOn w:val="Normal"/>
    <w:link w:val="HeaderChar"/>
    <w:uiPriority w:val="99"/>
    <w:unhideWhenUsed/>
    <w:rsid w:val="00BC0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A68"/>
  </w:style>
  <w:style w:type="paragraph" w:styleId="Footer">
    <w:name w:val="footer"/>
    <w:basedOn w:val="Normal"/>
    <w:link w:val="FooterChar"/>
    <w:uiPriority w:val="99"/>
    <w:unhideWhenUsed/>
    <w:rsid w:val="00BC0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A68"/>
  </w:style>
  <w:style w:type="paragraph" w:styleId="BalloonText">
    <w:name w:val="Balloon Text"/>
    <w:basedOn w:val="Normal"/>
    <w:link w:val="BalloonTextChar"/>
    <w:uiPriority w:val="99"/>
    <w:unhideWhenUsed/>
    <w:rsid w:val="003A4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A494C"/>
    <w:rPr>
      <w:rFonts w:ascii="Segoe UI" w:hAnsi="Segoe UI" w:cs="Segoe UI"/>
      <w:sz w:val="18"/>
      <w:szCs w:val="18"/>
    </w:rPr>
  </w:style>
  <w:style w:type="paragraph" w:customStyle="1" w:styleId="ArticleTitle">
    <w:name w:val="Article Title"/>
    <w:basedOn w:val="Normal"/>
    <w:link w:val="ArticleTitleChar"/>
    <w:qFormat/>
    <w:rsid w:val="003A494C"/>
    <w:pPr>
      <w:jc w:val="both"/>
    </w:pPr>
    <w:rPr>
      <w:rFonts w:ascii="Palatino Linotype" w:hAnsi="Palatino Linotype"/>
      <w:sz w:val="24"/>
      <w:szCs w:val="24"/>
    </w:rPr>
  </w:style>
  <w:style w:type="paragraph" w:customStyle="1" w:styleId="NameofAuthors">
    <w:name w:val="Name of Author(s)"/>
    <w:basedOn w:val="Normal"/>
    <w:link w:val="NameofAuthorsChar"/>
    <w:qFormat/>
    <w:rsid w:val="003A494C"/>
    <w:pPr>
      <w:spacing w:line="480" w:lineRule="auto"/>
      <w:jc w:val="both"/>
    </w:pPr>
    <w:rPr>
      <w:rFonts w:ascii="Palatino Linotype" w:hAnsi="Palatino Linotype"/>
      <w:i/>
      <w:iCs/>
      <w:sz w:val="24"/>
      <w:szCs w:val="24"/>
    </w:rPr>
  </w:style>
  <w:style w:type="character" w:customStyle="1" w:styleId="ArticleTitleChar">
    <w:name w:val="Article Title Char"/>
    <w:basedOn w:val="DefaultParagraphFont"/>
    <w:link w:val="ArticleTitle"/>
    <w:rsid w:val="003A494C"/>
    <w:rPr>
      <w:rFonts w:ascii="Palatino Linotype" w:hAnsi="Palatino Linotype"/>
      <w:sz w:val="24"/>
      <w:szCs w:val="24"/>
    </w:rPr>
  </w:style>
  <w:style w:type="paragraph" w:customStyle="1" w:styleId="Headermain">
    <w:name w:val="Header main"/>
    <w:basedOn w:val="Normal"/>
    <w:link w:val="HeadermainChar"/>
    <w:qFormat/>
    <w:rsid w:val="003A494C"/>
    <w:pPr>
      <w:spacing w:line="480" w:lineRule="auto"/>
      <w:jc w:val="both"/>
    </w:pPr>
    <w:rPr>
      <w:rFonts w:ascii="Palatino Linotype" w:hAnsi="Palatino Linotype"/>
      <w:b/>
      <w:bCs/>
      <w:i/>
      <w:iCs/>
      <w:sz w:val="24"/>
      <w:szCs w:val="24"/>
    </w:rPr>
  </w:style>
  <w:style w:type="character" w:customStyle="1" w:styleId="NameofAuthorsChar">
    <w:name w:val="Name of Author(s) Char"/>
    <w:basedOn w:val="DefaultParagraphFont"/>
    <w:link w:val="NameofAuthors"/>
    <w:rsid w:val="003A494C"/>
    <w:rPr>
      <w:rFonts w:ascii="Palatino Linotype" w:hAnsi="Palatino Linotype"/>
      <w:i/>
      <w:iCs/>
      <w:sz w:val="24"/>
      <w:szCs w:val="24"/>
    </w:rPr>
  </w:style>
  <w:style w:type="paragraph" w:customStyle="1" w:styleId="Headersub">
    <w:name w:val="Header sub"/>
    <w:basedOn w:val="Normal"/>
    <w:link w:val="HeadersubChar"/>
    <w:qFormat/>
    <w:rsid w:val="003A494C"/>
    <w:pPr>
      <w:spacing w:line="480" w:lineRule="auto"/>
      <w:jc w:val="both"/>
    </w:pPr>
    <w:rPr>
      <w:rFonts w:ascii="Palatino Linotype" w:hAnsi="Palatino Linotype"/>
      <w:i/>
      <w:iCs/>
      <w:sz w:val="24"/>
      <w:szCs w:val="24"/>
    </w:rPr>
  </w:style>
  <w:style w:type="character" w:customStyle="1" w:styleId="HeadermainChar">
    <w:name w:val="Header main Char"/>
    <w:basedOn w:val="DefaultParagraphFont"/>
    <w:link w:val="Headermain"/>
    <w:rsid w:val="003A494C"/>
    <w:rPr>
      <w:rFonts w:ascii="Palatino Linotype" w:hAnsi="Palatino Linotype"/>
      <w:b/>
      <w:bCs/>
      <w:i/>
      <w:iCs/>
      <w:sz w:val="24"/>
      <w:szCs w:val="24"/>
    </w:rPr>
  </w:style>
  <w:style w:type="paragraph" w:customStyle="1" w:styleId="Bodyoftext">
    <w:name w:val="Body of text"/>
    <w:basedOn w:val="Normal"/>
    <w:link w:val="BodyoftextChar"/>
    <w:qFormat/>
    <w:rsid w:val="003A494C"/>
    <w:pPr>
      <w:spacing w:line="480" w:lineRule="auto"/>
      <w:jc w:val="both"/>
    </w:pPr>
    <w:rPr>
      <w:rFonts w:ascii="Palatino Linotype" w:hAnsi="Palatino Linotype"/>
      <w:sz w:val="24"/>
      <w:szCs w:val="24"/>
    </w:rPr>
  </w:style>
  <w:style w:type="character" w:customStyle="1" w:styleId="HeadersubChar">
    <w:name w:val="Header sub Char"/>
    <w:basedOn w:val="DefaultParagraphFont"/>
    <w:link w:val="Headersub"/>
    <w:rsid w:val="003A494C"/>
    <w:rPr>
      <w:rFonts w:ascii="Palatino Linotype" w:hAnsi="Palatino Linotype"/>
      <w:i/>
      <w:iCs/>
      <w:sz w:val="24"/>
      <w:szCs w:val="24"/>
    </w:rPr>
  </w:style>
  <w:style w:type="paragraph" w:customStyle="1" w:styleId="Indentedparticipantquote">
    <w:name w:val="Indented participant quote"/>
    <w:basedOn w:val="Normal"/>
    <w:link w:val="IndentedparticipantquoteChar"/>
    <w:qFormat/>
    <w:rsid w:val="003A494C"/>
    <w:pPr>
      <w:spacing w:line="480" w:lineRule="auto"/>
      <w:ind w:left="720" w:firstLine="720"/>
    </w:pPr>
    <w:rPr>
      <w:rFonts w:ascii="Palatino Linotype" w:hAnsi="Palatino Linotype"/>
      <w:i/>
      <w:iCs/>
      <w:sz w:val="24"/>
      <w:szCs w:val="24"/>
    </w:rPr>
  </w:style>
  <w:style w:type="character" w:customStyle="1" w:styleId="BodyoftextChar">
    <w:name w:val="Body of text Char"/>
    <w:basedOn w:val="DefaultParagraphFont"/>
    <w:link w:val="Bodyoftext"/>
    <w:rsid w:val="003A494C"/>
    <w:rPr>
      <w:rFonts w:ascii="Palatino Linotype" w:hAnsi="Palatino Linotype"/>
      <w:sz w:val="24"/>
      <w:szCs w:val="24"/>
    </w:rPr>
  </w:style>
  <w:style w:type="character" w:customStyle="1" w:styleId="IndentedparticipantquoteChar">
    <w:name w:val="Indented participant quote Char"/>
    <w:basedOn w:val="DefaultParagraphFont"/>
    <w:link w:val="Indentedparticipantquote"/>
    <w:rsid w:val="003A494C"/>
    <w:rPr>
      <w:rFonts w:ascii="Palatino Linotype" w:hAnsi="Palatino Linotype"/>
      <w:i/>
      <w:iCs/>
      <w:sz w:val="24"/>
      <w:szCs w:val="24"/>
    </w:rPr>
  </w:style>
  <w:style w:type="character" w:styleId="Hyperlink">
    <w:name w:val="Hyperlink"/>
    <w:basedOn w:val="DefaultParagraphFont"/>
    <w:uiPriority w:val="99"/>
    <w:unhideWhenUsed/>
    <w:rsid w:val="00FE5F32"/>
    <w:rPr>
      <w:color w:val="0563C1" w:themeColor="hyperlink"/>
      <w:u w:val="single"/>
    </w:rPr>
  </w:style>
  <w:style w:type="character" w:customStyle="1" w:styleId="UnresolvedMention1">
    <w:name w:val="Unresolved Mention1"/>
    <w:basedOn w:val="DefaultParagraphFont"/>
    <w:uiPriority w:val="99"/>
    <w:semiHidden/>
    <w:unhideWhenUsed/>
    <w:rsid w:val="00FE5F32"/>
    <w:rPr>
      <w:color w:val="605E5C"/>
      <w:shd w:val="clear" w:color="auto" w:fill="E1DFDD"/>
    </w:rPr>
  </w:style>
  <w:style w:type="paragraph" w:customStyle="1" w:styleId="Document">
    <w:name w:val="_Document"/>
    <w:basedOn w:val="Normal"/>
    <w:link w:val="DocumentChar"/>
    <w:qFormat/>
    <w:rsid w:val="003648C2"/>
    <w:pPr>
      <w:widowControl w:val="0"/>
      <w:suppressLineNumbers/>
      <w:tabs>
        <w:tab w:val="left" w:pos="0"/>
        <w:tab w:val="left" w:pos="400"/>
        <w:tab w:val="left" w:pos="620"/>
      </w:tabs>
      <w:spacing w:before="20" w:after="0" w:line="240" w:lineRule="exact"/>
      <w:ind w:firstLine="400"/>
      <w:jc w:val="both"/>
    </w:pPr>
    <w:rPr>
      <w:rFonts w:ascii="Times New Roman" w:eastAsia="Times New Roman" w:hAnsi="Times New Roman" w:cs="Times New Roman"/>
      <w:sz w:val="21"/>
      <w:szCs w:val="21"/>
      <w:lang w:val="en-US"/>
    </w:rPr>
  </w:style>
  <w:style w:type="character" w:customStyle="1" w:styleId="DocumentChar">
    <w:name w:val="_Document Char"/>
    <w:basedOn w:val="DefaultParagraphFont"/>
    <w:link w:val="Document"/>
    <w:rsid w:val="003648C2"/>
    <w:rPr>
      <w:rFonts w:ascii="Times New Roman" w:eastAsia="Times New Roman" w:hAnsi="Times New Roman" w:cs="Times New Roman"/>
      <w:sz w:val="21"/>
      <w:szCs w:val="21"/>
      <w:lang w:val="en-US"/>
    </w:rPr>
  </w:style>
  <w:style w:type="character" w:customStyle="1" w:styleId="Heading1Char">
    <w:name w:val="Heading 1 Char"/>
    <w:basedOn w:val="DefaultParagraphFont"/>
    <w:link w:val="Heading1"/>
    <w:uiPriority w:val="1"/>
    <w:rsid w:val="003648C2"/>
    <w:rPr>
      <w:rFonts w:ascii="Times New Roman" w:eastAsia="Times New Roman" w:hAnsi="Times New Roman"/>
      <w:b/>
      <w:bCs/>
      <w:sz w:val="24"/>
      <w:szCs w:val="24"/>
      <w:lang w:val="en-US"/>
    </w:rPr>
  </w:style>
  <w:style w:type="character" w:customStyle="1" w:styleId="Heading2Char">
    <w:name w:val="Heading 2 Char"/>
    <w:basedOn w:val="DefaultParagraphFont"/>
    <w:link w:val="Heading2"/>
    <w:uiPriority w:val="9"/>
    <w:rsid w:val="003648C2"/>
    <w:rPr>
      <w:rFonts w:asciiTheme="majorBidi" w:eastAsia="Times New Roman" w:hAnsiTheme="majorBidi" w:cstheme="majorBidi"/>
      <w:b/>
      <w:bCs/>
      <w:i/>
      <w:iCs/>
      <w:sz w:val="24"/>
      <w:szCs w:val="24"/>
    </w:rPr>
  </w:style>
  <w:style w:type="character" w:customStyle="1" w:styleId="Heading3Char">
    <w:name w:val="Heading 3 Char"/>
    <w:basedOn w:val="DefaultParagraphFont"/>
    <w:link w:val="Heading3"/>
    <w:uiPriority w:val="9"/>
    <w:rsid w:val="003648C2"/>
    <w:rPr>
      <w:rFonts w:asciiTheme="majorHAnsi" w:eastAsiaTheme="majorEastAsia" w:hAnsiTheme="majorHAnsi" w:cstheme="majorBidi"/>
      <w:color w:val="1F3763" w:themeColor="accent1" w:themeShade="7F"/>
      <w:sz w:val="24"/>
      <w:szCs w:val="24"/>
      <w:lang w:val="en-US" w:bidi="he-IL"/>
    </w:rPr>
  </w:style>
  <w:style w:type="paragraph" w:customStyle="1" w:styleId="ResumeText">
    <w:name w:val="Resume Text"/>
    <w:basedOn w:val="Normal"/>
    <w:qFormat/>
    <w:rsid w:val="003648C2"/>
    <w:pPr>
      <w:spacing w:before="40" w:after="40" w:line="288" w:lineRule="auto"/>
      <w:ind w:right="1440"/>
    </w:pPr>
    <w:rPr>
      <w:rFonts w:ascii="Garamond" w:eastAsiaTheme="minorEastAsia" w:hAnsi="Garamond"/>
      <w:color w:val="595959" w:themeColor="text1" w:themeTint="A6"/>
      <w:kern w:val="20"/>
      <w:szCs w:val="24"/>
      <w:lang w:val="en-US" w:eastAsia="ja-JP"/>
    </w:rPr>
  </w:style>
  <w:style w:type="character" w:customStyle="1" w:styleId="hps">
    <w:name w:val="hps"/>
    <w:rsid w:val="003648C2"/>
  </w:style>
  <w:style w:type="character" w:customStyle="1" w:styleId="shorttext">
    <w:name w:val="short_text"/>
    <w:rsid w:val="003648C2"/>
  </w:style>
  <w:style w:type="paragraph" w:customStyle="1" w:styleId="Journalfont">
    <w:name w:val="_Journal font"/>
    <w:qFormat/>
    <w:rsid w:val="003648C2"/>
    <w:pPr>
      <w:widowControl w:val="0"/>
      <w:spacing w:after="0" w:line="240" w:lineRule="exact"/>
      <w:jc w:val="both"/>
    </w:pPr>
    <w:rPr>
      <w:rFonts w:ascii="Times New Roman" w:eastAsia="Times New Roman" w:hAnsi="Times New Roman" w:cs="Times New Roman"/>
      <w:sz w:val="21"/>
      <w:szCs w:val="21"/>
      <w:lang w:val="en-US"/>
    </w:rPr>
  </w:style>
  <w:style w:type="character" w:styleId="PageNumber">
    <w:name w:val="page number"/>
    <w:basedOn w:val="DefaultParagraphFont"/>
    <w:rsid w:val="003648C2"/>
  </w:style>
  <w:style w:type="paragraph" w:customStyle="1" w:styleId="FootNoteReference0">
    <w:name w:val="_FootNote Reference"/>
    <w:basedOn w:val="Document"/>
    <w:link w:val="FootNoteReferenceChar"/>
    <w:qFormat/>
    <w:rsid w:val="003648C2"/>
    <w:pPr>
      <w:tabs>
        <w:tab w:val="clear" w:pos="0"/>
        <w:tab w:val="clear" w:pos="400"/>
        <w:tab w:val="clear" w:pos="620"/>
        <w:tab w:val="right" w:pos="480"/>
        <w:tab w:val="left" w:pos="600"/>
      </w:tabs>
      <w:spacing w:line="190" w:lineRule="exact"/>
      <w:ind w:firstLine="0"/>
    </w:pPr>
    <w:rPr>
      <w:sz w:val="18"/>
    </w:rPr>
  </w:style>
  <w:style w:type="paragraph" w:customStyle="1" w:styleId="FootNotePara">
    <w:name w:val="_FootNotePara"/>
    <w:basedOn w:val="FootNoteReference0"/>
    <w:qFormat/>
    <w:rsid w:val="003648C2"/>
    <w:pPr>
      <w:ind w:firstLine="320"/>
    </w:pPr>
  </w:style>
  <w:style w:type="character" w:customStyle="1" w:styleId="NoterefInText">
    <w:name w:val="_NoterefInText"/>
    <w:basedOn w:val="DefaultParagraphFont"/>
    <w:qFormat/>
    <w:rsid w:val="003648C2"/>
    <w:rPr>
      <w:rFonts w:ascii="Times New Roman" w:hAnsi="Times New Roman"/>
      <w:sz w:val="20"/>
      <w:szCs w:val="20"/>
      <w:vertAlign w:val="superscript"/>
    </w:rPr>
  </w:style>
  <w:style w:type="character" w:customStyle="1" w:styleId="NoterefInNote">
    <w:name w:val="_NoterefInNote"/>
    <w:basedOn w:val="DefaultParagraphFont"/>
    <w:qFormat/>
    <w:rsid w:val="003648C2"/>
    <w:rPr>
      <w:rFonts w:ascii="Times New Roman" w:hAnsi="Times New Roman"/>
      <w:sz w:val="20"/>
      <w:szCs w:val="17"/>
      <w:vertAlign w:val="superscript"/>
    </w:rPr>
  </w:style>
  <w:style w:type="paragraph" w:customStyle="1" w:styleId="1StQuoteFN">
    <w:name w:val="_1StQuoteFN"/>
    <w:basedOn w:val="FootNoteReference0"/>
    <w:next w:val="FootNoteReference0"/>
    <w:link w:val="1StQuoteFNChar"/>
    <w:qFormat/>
    <w:rsid w:val="003648C2"/>
    <w:pPr>
      <w:tabs>
        <w:tab w:val="clear" w:pos="480"/>
        <w:tab w:val="clear" w:pos="600"/>
        <w:tab w:val="left" w:pos="680"/>
      </w:tabs>
      <w:ind w:left="320" w:right="320"/>
    </w:pPr>
    <w:rPr>
      <w:szCs w:val="18"/>
    </w:rPr>
  </w:style>
  <w:style w:type="paragraph" w:customStyle="1" w:styleId="2NdQuoteFN">
    <w:name w:val="_2NdQuoteFN"/>
    <w:basedOn w:val="FootNoteReference0"/>
    <w:next w:val="FootNoteReference0"/>
    <w:qFormat/>
    <w:rsid w:val="003648C2"/>
    <w:pPr>
      <w:tabs>
        <w:tab w:val="clear" w:pos="480"/>
        <w:tab w:val="clear" w:pos="600"/>
        <w:tab w:val="left" w:pos="1020"/>
      </w:tabs>
      <w:spacing w:before="0"/>
      <w:ind w:left="640" w:right="320"/>
    </w:pPr>
    <w:rPr>
      <w:szCs w:val="18"/>
    </w:rPr>
  </w:style>
  <w:style w:type="paragraph" w:customStyle="1" w:styleId="3RdQuoteFN">
    <w:name w:val="_3RdQuoteFN"/>
    <w:basedOn w:val="FootNoteReference0"/>
    <w:next w:val="FootNoteReference0"/>
    <w:qFormat/>
    <w:rsid w:val="003648C2"/>
    <w:pPr>
      <w:tabs>
        <w:tab w:val="clear" w:pos="480"/>
        <w:tab w:val="clear" w:pos="600"/>
        <w:tab w:val="left" w:pos="1360"/>
      </w:tabs>
      <w:spacing w:before="0"/>
      <w:ind w:left="960" w:right="320"/>
    </w:pPr>
    <w:rPr>
      <w:szCs w:val="18"/>
    </w:rPr>
  </w:style>
  <w:style w:type="paragraph" w:customStyle="1" w:styleId="4ThQuoteFN">
    <w:name w:val="_4ThQuoteFN"/>
    <w:basedOn w:val="FootNoteReference0"/>
    <w:next w:val="FootNoteReference0"/>
    <w:qFormat/>
    <w:rsid w:val="003648C2"/>
    <w:pPr>
      <w:tabs>
        <w:tab w:val="clear" w:pos="480"/>
        <w:tab w:val="clear" w:pos="600"/>
        <w:tab w:val="left" w:pos="1700"/>
      </w:tabs>
      <w:spacing w:before="0"/>
      <w:ind w:left="1280" w:right="320"/>
    </w:pPr>
    <w:rPr>
      <w:szCs w:val="18"/>
    </w:rPr>
  </w:style>
  <w:style w:type="paragraph" w:customStyle="1" w:styleId="1StQuoteTXT">
    <w:name w:val="_1StQuoteTXT"/>
    <w:basedOn w:val="Document"/>
    <w:next w:val="Document"/>
    <w:rsid w:val="003648C2"/>
    <w:pPr>
      <w:tabs>
        <w:tab w:val="clear" w:pos="400"/>
      </w:tabs>
      <w:spacing w:before="120" w:after="100" w:line="210" w:lineRule="exact"/>
      <w:ind w:left="240" w:right="240" w:firstLine="0"/>
    </w:pPr>
    <w:rPr>
      <w:sz w:val="18"/>
      <w:szCs w:val="18"/>
    </w:rPr>
  </w:style>
  <w:style w:type="paragraph" w:customStyle="1" w:styleId="2NdQuoteTXT">
    <w:name w:val="_2NdQuoteTXT"/>
    <w:basedOn w:val="Document"/>
    <w:next w:val="Document"/>
    <w:qFormat/>
    <w:rsid w:val="003648C2"/>
    <w:pPr>
      <w:tabs>
        <w:tab w:val="clear" w:pos="400"/>
        <w:tab w:val="clear" w:pos="620"/>
        <w:tab w:val="left" w:pos="780"/>
      </w:tabs>
      <w:spacing w:before="0" w:after="100" w:line="210" w:lineRule="exact"/>
      <w:ind w:left="640" w:right="320" w:firstLine="0"/>
    </w:pPr>
    <w:rPr>
      <w:sz w:val="18"/>
      <w:szCs w:val="18"/>
    </w:rPr>
  </w:style>
  <w:style w:type="paragraph" w:customStyle="1" w:styleId="3RdQuoteTXT">
    <w:name w:val="_3RdQuoteTXT"/>
    <w:basedOn w:val="Document"/>
    <w:next w:val="Document"/>
    <w:qFormat/>
    <w:rsid w:val="003648C2"/>
    <w:pPr>
      <w:tabs>
        <w:tab w:val="clear" w:pos="0"/>
        <w:tab w:val="clear" w:pos="400"/>
        <w:tab w:val="clear" w:pos="620"/>
        <w:tab w:val="left" w:pos="1040"/>
      </w:tabs>
      <w:spacing w:before="0" w:after="100" w:line="210" w:lineRule="exact"/>
      <w:ind w:left="720" w:right="240" w:firstLine="0"/>
    </w:pPr>
    <w:rPr>
      <w:sz w:val="18"/>
      <w:szCs w:val="18"/>
    </w:rPr>
  </w:style>
  <w:style w:type="paragraph" w:customStyle="1" w:styleId="4ThQuoteTXT">
    <w:name w:val="_4ThQuoteTXT"/>
    <w:basedOn w:val="Document"/>
    <w:next w:val="Document"/>
    <w:qFormat/>
    <w:rsid w:val="003648C2"/>
    <w:pPr>
      <w:tabs>
        <w:tab w:val="clear" w:pos="0"/>
        <w:tab w:val="clear" w:pos="400"/>
        <w:tab w:val="clear" w:pos="620"/>
        <w:tab w:val="left" w:pos="1300"/>
      </w:tabs>
      <w:spacing w:before="0" w:after="100" w:line="210" w:lineRule="exact"/>
      <w:ind w:left="960" w:right="240" w:firstLine="0"/>
    </w:pPr>
    <w:rPr>
      <w:sz w:val="18"/>
      <w:szCs w:val="18"/>
    </w:rPr>
  </w:style>
  <w:style w:type="paragraph" w:customStyle="1" w:styleId="Toc0">
    <w:name w:val="_Toc0"/>
    <w:basedOn w:val="Document"/>
    <w:next w:val="Document"/>
    <w:qFormat/>
    <w:rsid w:val="003648C2"/>
    <w:pPr>
      <w:tabs>
        <w:tab w:val="clear" w:pos="0"/>
        <w:tab w:val="clear" w:pos="400"/>
        <w:tab w:val="clear" w:pos="620"/>
        <w:tab w:val="right" w:leader="dot" w:pos="6480"/>
      </w:tabs>
      <w:spacing w:before="0"/>
      <w:ind w:right="440" w:firstLine="0"/>
    </w:pPr>
  </w:style>
  <w:style w:type="paragraph" w:customStyle="1" w:styleId="Toc1">
    <w:name w:val="_Toc1"/>
    <w:basedOn w:val="Document"/>
    <w:next w:val="Document"/>
    <w:qFormat/>
    <w:rsid w:val="003648C2"/>
    <w:pPr>
      <w:tabs>
        <w:tab w:val="clear" w:pos="0"/>
        <w:tab w:val="clear" w:pos="400"/>
        <w:tab w:val="clear" w:pos="620"/>
        <w:tab w:val="right" w:pos="440"/>
        <w:tab w:val="left" w:pos="600"/>
        <w:tab w:val="right" w:leader="dot" w:pos="6480"/>
      </w:tabs>
      <w:spacing w:before="0"/>
      <w:ind w:left="600" w:right="440" w:hanging="600"/>
    </w:pPr>
  </w:style>
  <w:style w:type="paragraph" w:customStyle="1" w:styleId="Toc2">
    <w:name w:val="_Toc2"/>
    <w:basedOn w:val="Document"/>
    <w:next w:val="Document"/>
    <w:rsid w:val="003648C2"/>
    <w:pPr>
      <w:tabs>
        <w:tab w:val="clear" w:pos="0"/>
        <w:tab w:val="clear" w:pos="620"/>
        <w:tab w:val="right" w:leader="dot" w:pos="6480"/>
      </w:tabs>
      <w:spacing w:before="0"/>
      <w:ind w:left="1000" w:right="440" w:hanging="400"/>
    </w:pPr>
  </w:style>
  <w:style w:type="paragraph" w:customStyle="1" w:styleId="Toc3">
    <w:name w:val="_Toc3"/>
    <w:basedOn w:val="Document"/>
    <w:next w:val="Document"/>
    <w:qFormat/>
    <w:rsid w:val="003648C2"/>
    <w:pPr>
      <w:tabs>
        <w:tab w:val="clear" w:pos="0"/>
        <w:tab w:val="clear" w:pos="400"/>
        <w:tab w:val="clear" w:pos="620"/>
        <w:tab w:val="left" w:pos="320"/>
        <w:tab w:val="right" w:leader="dot" w:pos="6480"/>
      </w:tabs>
      <w:spacing w:before="0"/>
      <w:ind w:left="1320" w:right="440" w:hanging="320"/>
    </w:pPr>
    <w:rPr>
      <w:i/>
    </w:rPr>
  </w:style>
  <w:style w:type="paragraph" w:customStyle="1" w:styleId="Toc4">
    <w:name w:val="_Toc4"/>
    <w:basedOn w:val="Document"/>
    <w:next w:val="Document"/>
    <w:qFormat/>
    <w:rsid w:val="003648C2"/>
    <w:pPr>
      <w:tabs>
        <w:tab w:val="clear" w:pos="0"/>
        <w:tab w:val="clear" w:pos="400"/>
        <w:tab w:val="clear" w:pos="620"/>
        <w:tab w:val="left" w:pos="360"/>
        <w:tab w:val="right" w:leader="dot" w:pos="6480"/>
      </w:tabs>
      <w:spacing w:before="0"/>
      <w:ind w:left="1680" w:right="440" w:hanging="360"/>
    </w:pPr>
  </w:style>
  <w:style w:type="paragraph" w:customStyle="1" w:styleId="Toc5">
    <w:name w:val="_Toc5"/>
    <w:basedOn w:val="Document"/>
    <w:next w:val="Document"/>
    <w:qFormat/>
    <w:rsid w:val="003648C2"/>
    <w:pPr>
      <w:tabs>
        <w:tab w:val="clear" w:pos="0"/>
        <w:tab w:val="clear" w:pos="400"/>
        <w:tab w:val="clear" w:pos="620"/>
        <w:tab w:val="right" w:pos="360"/>
        <w:tab w:val="right" w:leader="dot" w:pos="6480"/>
      </w:tabs>
      <w:spacing w:before="0"/>
      <w:ind w:left="2040" w:right="440" w:hanging="360"/>
    </w:pPr>
  </w:style>
  <w:style w:type="paragraph" w:customStyle="1" w:styleId="SectionHead">
    <w:name w:val="_SectionHead"/>
    <w:basedOn w:val="Journalfont"/>
    <w:next w:val="Document"/>
    <w:qFormat/>
    <w:rsid w:val="003648C2"/>
    <w:pPr>
      <w:keepNext/>
      <w:suppressLineNumbers/>
      <w:suppressAutoHyphens/>
      <w:spacing w:after="800" w:line="480" w:lineRule="exact"/>
      <w:jc w:val="center"/>
    </w:pPr>
    <w:rPr>
      <w:caps/>
      <w:sz w:val="38"/>
    </w:rPr>
  </w:style>
  <w:style w:type="paragraph" w:customStyle="1" w:styleId="Head1-Articles">
    <w:name w:val="_Head1-Articles"/>
    <w:basedOn w:val="Journalfont"/>
    <w:next w:val="Document"/>
    <w:qFormat/>
    <w:rsid w:val="003648C2"/>
    <w:pPr>
      <w:keepNext/>
      <w:suppressLineNumbers/>
      <w:suppressAutoHyphens/>
      <w:spacing w:after="240" w:line="480" w:lineRule="exact"/>
      <w:jc w:val="center"/>
    </w:pPr>
    <w:rPr>
      <w:sz w:val="38"/>
      <w:szCs w:val="38"/>
    </w:rPr>
  </w:style>
  <w:style w:type="paragraph" w:customStyle="1" w:styleId="Head2-Notes">
    <w:name w:val="_Head2-Notes"/>
    <w:aliases w:val="Comments"/>
    <w:basedOn w:val="Journalfont"/>
    <w:next w:val="Document"/>
    <w:qFormat/>
    <w:rsid w:val="003648C2"/>
    <w:pPr>
      <w:keepNext/>
      <w:suppressLineNumbers/>
      <w:suppressAutoHyphens/>
      <w:spacing w:after="800" w:line="480" w:lineRule="exact"/>
      <w:jc w:val="left"/>
    </w:pPr>
    <w:rPr>
      <w:sz w:val="36"/>
    </w:rPr>
  </w:style>
  <w:style w:type="paragraph" w:customStyle="1" w:styleId="Head3-BooksReceived">
    <w:name w:val="_Head3-BooksReceived"/>
    <w:basedOn w:val="Journalfont"/>
    <w:next w:val="Document"/>
    <w:qFormat/>
    <w:rsid w:val="003648C2"/>
    <w:pPr>
      <w:keepNext/>
      <w:suppressLineNumbers/>
      <w:suppressAutoHyphens/>
      <w:spacing w:before="720" w:line="320" w:lineRule="exact"/>
      <w:jc w:val="center"/>
    </w:pPr>
    <w:rPr>
      <w:i/>
      <w:sz w:val="28"/>
    </w:rPr>
  </w:style>
  <w:style w:type="paragraph" w:customStyle="1" w:styleId="Head4-BooksReceived">
    <w:name w:val="_Head4-BooksReceived"/>
    <w:basedOn w:val="Journalfont"/>
    <w:next w:val="Document"/>
    <w:qFormat/>
    <w:rsid w:val="003648C2"/>
    <w:pPr>
      <w:keepNext/>
      <w:suppressLineNumbers/>
      <w:suppressAutoHyphens/>
      <w:spacing w:before="480" w:after="120"/>
    </w:pPr>
    <w:rPr>
      <w:b/>
    </w:rPr>
  </w:style>
  <w:style w:type="paragraph" w:customStyle="1" w:styleId="Head5-BookReviews">
    <w:name w:val="_Head5-BookReviews"/>
    <w:basedOn w:val="Journalfont"/>
    <w:next w:val="Document"/>
    <w:qFormat/>
    <w:rsid w:val="003648C2"/>
    <w:pPr>
      <w:keepNext/>
      <w:suppressLineNumbers/>
      <w:suppressAutoHyphens/>
      <w:spacing w:after="120"/>
    </w:pPr>
    <w:rPr>
      <w:b/>
    </w:rPr>
  </w:style>
  <w:style w:type="paragraph" w:customStyle="1" w:styleId="AuthorName1-Articles">
    <w:name w:val="_AuthorName1-Articles"/>
    <w:basedOn w:val="Journalfont"/>
    <w:next w:val="Document"/>
    <w:qFormat/>
    <w:rsid w:val="003648C2"/>
    <w:pPr>
      <w:keepNext/>
      <w:suppressLineNumbers/>
      <w:suppressAutoHyphens/>
      <w:spacing w:after="240" w:line="320" w:lineRule="exact"/>
      <w:jc w:val="center"/>
    </w:pPr>
    <w:rPr>
      <w:sz w:val="28"/>
      <w:szCs w:val="28"/>
    </w:rPr>
  </w:style>
  <w:style w:type="paragraph" w:customStyle="1" w:styleId="AuthorName2-Students">
    <w:name w:val="_AuthorName2-Students"/>
    <w:basedOn w:val="Journalfont"/>
    <w:next w:val="Document"/>
    <w:qFormat/>
    <w:rsid w:val="003648C2"/>
    <w:pPr>
      <w:keepNext/>
      <w:suppressLineNumbers/>
      <w:suppressAutoHyphens/>
      <w:spacing w:before="240"/>
      <w:jc w:val="right"/>
    </w:pPr>
    <w:rPr>
      <w:i/>
    </w:rPr>
  </w:style>
  <w:style w:type="paragraph" w:customStyle="1" w:styleId="AuthorName3-Reviews">
    <w:name w:val="_AuthorName3-Reviews"/>
    <w:basedOn w:val="Journalfont"/>
    <w:next w:val="Document"/>
    <w:qFormat/>
    <w:rsid w:val="003648C2"/>
    <w:pPr>
      <w:keepNext/>
      <w:suppressLineNumbers/>
      <w:suppressAutoHyphens/>
      <w:spacing w:after="240" w:line="320" w:lineRule="exact"/>
      <w:jc w:val="center"/>
    </w:pPr>
    <w:rPr>
      <w:sz w:val="28"/>
      <w:szCs w:val="28"/>
    </w:rPr>
  </w:style>
  <w:style w:type="paragraph" w:customStyle="1" w:styleId="SubHead1">
    <w:name w:val="_SubHead1"/>
    <w:basedOn w:val="Journalfont"/>
    <w:next w:val="Document"/>
    <w:qFormat/>
    <w:rsid w:val="003648C2"/>
    <w:pPr>
      <w:keepNext/>
      <w:suppressLineNumbers/>
      <w:tabs>
        <w:tab w:val="left" w:pos="400"/>
      </w:tabs>
      <w:suppressAutoHyphens/>
      <w:spacing w:before="320" w:after="60"/>
      <w:jc w:val="left"/>
    </w:pPr>
    <w:rPr>
      <w:b/>
    </w:rPr>
  </w:style>
  <w:style w:type="paragraph" w:customStyle="1" w:styleId="SubHead2">
    <w:name w:val="_SubHead2"/>
    <w:basedOn w:val="Journalfont"/>
    <w:next w:val="Document"/>
    <w:qFormat/>
    <w:rsid w:val="003648C2"/>
    <w:pPr>
      <w:keepNext/>
      <w:suppressLineNumbers/>
      <w:tabs>
        <w:tab w:val="left" w:pos="400"/>
      </w:tabs>
      <w:suppressAutoHyphens/>
      <w:spacing w:before="220" w:after="60"/>
      <w:jc w:val="left"/>
    </w:pPr>
  </w:style>
  <w:style w:type="paragraph" w:customStyle="1" w:styleId="SubHead3">
    <w:name w:val="_SubHead3"/>
    <w:basedOn w:val="Journalfont"/>
    <w:next w:val="Document"/>
    <w:qFormat/>
    <w:rsid w:val="003648C2"/>
    <w:pPr>
      <w:keepNext/>
      <w:suppressLineNumbers/>
      <w:tabs>
        <w:tab w:val="left" w:pos="400"/>
      </w:tabs>
      <w:suppressAutoHyphens/>
      <w:spacing w:before="200" w:after="60"/>
      <w:jc w:val="left"/>
    </w:pPr>
    <w:rPr>
      <w:i/>
    </w:rPr>
  </w:style>
  <w:style w:type="paragraph" w:customStyle="1" w:styleId="SubHead4">
    <w:name w:val="_SubHead4"/>
    <w:basedOn w:val="Journalfont"/>
    <w:next w:val="Document"/>
    <w:qFormat/>
    <w:rsid w:val="003648C2"/>
    <w:pPr>
      <w:keepNext/>
      <w:suppressLineNumbers/>
      <w:tabs>
        <w:tab w:val="left" w:pos="400"/>
      </w:tabs>
      <w:suppressAutoHyphens/>
      <w:spacing w:before="200" w:after="60"/>
      <w:jc w:val="left"/>
    </w:pPr>
  </w:style>
  <w:style w:type="paragraph" w:customStyle="1" w:styleId="SubHead5">
    <w:name w:val="_SubHead5"/>
    <w:basedOn w:val="Journalfont"/>
    <w:next w:val="Document"/>
    <w:qFormat/>
    <w:rsid w:val="003648C2"/>
    <w:pPr>
      <w:keepNext/>
      <w:suppressLineNumbers/>
      <w:tabs>
        <w:tab w:val="left" w:pos="400"/>
      </w:tabs>
      <w:suppressAutoHyphens/>
      <w:spacing w:before="200" w:after="60"/>
      <w:jc w:val="left"/>
    </w:pPr>
  </w:style>
  <w:style w:type="paragraph" w:customStyle="1" w:styleId="END">
    <w:name w:val="_END"/>
    <w:basedOn w:val="Journalfont"/>
    <w:next w:val="Document"/>
    <w:rsid w:val="003648C2"/>
    <w:pPr>
      <w:keepNext/>
      <w:suppressLineNumbers/>
      <w:suppressAutoHyphens/>
      <w:spacing w:line="0" w:lineRule="atLeast"/>
      <w:jc w:val="left"/>
    </w:pPr>
  </w:style>
  <w:style w:type="paragraph" w:customStyle="1" w:styleId="1stLineQuoteFn-1Num">
    <w:name w:val="_1stLineQuoteFn-1Num"/>
    <w:basedOn w:val="1StQuoteFN"/>
    <w:next w:val="FootNoteReference0"/>
    <w:qFormat/>
    <w:rsid w:val="003648C2"/>
    <w:pPr>
      <w:tabs>
        <w:tab w:val="clear" w:pos="680"/>
        <w:tab w:val="left" w:pos="360"/>
        <w:tab w:val="left" w:pos="600"/>
      </w:tabs>
      <w:ind w:hanging="320"/>
    </w:pPr>
  </w:style>
  <w:style w:type="paragraph" w:customStyle="1" w:styleId="1stLineQuoteFn-2Num">
    <w:name w:val="_1stLineQuoteFn-2Num"/>
    <w:basedOn w:val="1StQuoteFN"/>
    <w:next w:val="FootNoteReference0"/>
    <w:link w:val="1stLineQuoteFn-2NumChar"/>
    <w:qFormat/>
    <w:rsid w:val="003648C2"/>
    <w:pPr>
      <w:widowControl/>
      <w:suppressLineNumbers w:val="0"/>
      <w:tabs>
        <w:tab w:val="left" w:pos="260"/>
      </w:tabs>
      <w:ind w:hanging="320"/>
    </w:pPr>
  </w:style>
  <w:style w:type="paragraph" w:customStyle="1" w:styleId="1stLineQuoteFn-3Num">
    <w:name w:val="_1stLineQuoteFn-3Num"/>
    <w:basedOn w:val="1StQuoteFN"/>
    <w:qFormat/>
    <w:rsid w:val="003648C2"/>
    <w:pPr>
      <w:widowControl/>
      <w:suppressLineNumbers w:val="0"/>
      <w:tabs>
        <w:tab w:val="left" w:pos="160"/>
      </w:tabs>
      <w:ind w:hanging="320"/>
    </w:pPr>
  </w:style>
  <w:style w:type="paragraph" w:styleId="TOC10">
    <w:name w:val="toc 1"/>
    <w:basedOn w:val="Toc1"/>
    <w:next w:val="Journalfont"/>
    <w:autoRedefine/>
    <w:uiPriority w:val="39"/>
    <w:rsid w:val="003648C2"/>
  </w:style>
  <w:style w:type="paragraph" w:styleId="TOC20">
    <w:name w:val="toc 2"/>
    <w:basedOn w:val="Toc2"/>
    <w:next w:val="Journalfont"/>
    <w:autoRedefine/>
    <w:uiPriority w:val="39"/>
    <w:rsid w:val="003648C2"/>
    <w:pPr>
      <w:tabs>
        <w:tab w:val="left" w:pos="1320"/>
      </w:tabs>
    </w:pPr>
  </w:style>
  <w:style w:type="paragraph" w:styleId="TOC30">
    <w:name w:val="toc 3"/>
    <w:basedOn w:val="Toc3"/>
    <w:next w:val="Journalfont"/>
    <w:autoRedefine/>
    <w:uiPriority w:val="39"/>
    <w:rsid w:val="003648C2"/>
  </w:style>
  <w:style w:type="paragraph" w:styleId="TOC40">
    <w:name w:val="toc 4"/>
    <w:basedOn w:val="Toc4"/>
    <w:next w:val="Journalfont"/>
    <w:autoRedefine/>
    <w:uiPriority w:val="39"/>
    <w:rsid w:val="003648C2"/>
  </w:style>
  <w:style w:type="paragraph" w:styleId="TOC50">
    <w:name w:val="toc 5"/>
    <w:basedOn w:val="Toc5"/>
    <w:next w:val="Journalfont"/>
    <w:autoRedefine/>
    <w:uiPriority w:val="39"/>
    <w:rsid w:val="003648C2"/>
  </w:style>
  <w:style w:type="character" w:customStyle="1" w:styleId="FootNoteReferenceChar">
    <w:name w:val="_FootNote Reference Char"/>
    <w:basedOn w:val="DocumentChar"/>
    <w:link w:val="FootNoteReference0"/>
    <w:rsid w:val="003648C2"/>
    <w:rPr>
      <w:rFonts w:ascii="Times New Roman" w:eastAsia="Times New Roman" w:hAnsi="Times New Roman" w:cs="Times New Roman"/>
      <w:sz w:val="18"/>
      <w:szCs w:val="21"/>
      <w:lang w:val="en-US"/>
    </w:rPr>
  </w:style>
  <w:style w:type="character" w:customStyle="1" w:styleId="1StQuoteFNChar">
    <w:name w:val="_1StQuoteFN Char"/>
    <w:basedOn w:val="FootNoteReferenceChar"/>
    <w:link w:val="1StQuoteFN"/>
    <w:rsid w:val="003648C2"/>
    <w:rPr>
      <w:rFonts w:ascii="Times New Roman" w:eastAsia="Times New Roman" w:hAnsi="Times New Roman" w:cs="Times New Roman"/>
      <w:sz w:val="18"/>
      <w:szCs w:val="18"/>
      <w:lang w:val="en-US"/>
    </w:rPr>
  </w:style>
  <w:style w:type="character" w:customStyle="1" w:styleId="1stLineQuoteFn-2NumChar">
    <w:name w:val="_1stLineQuoteFn-2Num Char"/>
    <w:basedOn w:val="1StQuoteFNChar"/>
    <w:link w:val="1stLineQuoteFn-2Num"/>
    <w:rsid w:val="003648C2"/>
    <w:rPr>
      <w:rFonts w:ascii="Times New Roman" w:eastAsia="Times New Roman" w:hAnsi="Times New Roman" w:cs="Times New Roman"/>
      <w:sz w:val="18"/>
      <w:szCs w:val="18"/>
      <w:lang w:val="en-US"/>
    </w:rPr>
  </w:style>
  <w:style w:type="paragraph" w:customStyle="1" w:styleId="header0">
    <w:name w:val="_header"/>
    <w:basedOn w:val="Header"/>
    <w:rsid w:val="003648C2"/>
    <w:pPr>
      <w:pBdr>
        <w:top w:val="single" w:sz="6" w:space="1" w:color="auto"/>
        <w:bottom w:val="single" w:sz="6" w:space="1" w:color="auto"/>
      </w:pBdr>
      <w:tabs>
        <w:tab w:val="clear" w:pos="4513"/>
        <w:tab w:val="clear" w:pos="9026"/>
        <w:tab w:val="right" w:pos="6480"/>
      </w:tabs>
    </w:pPr>
    <w:rPr>
      <w:rFonts w:ascii="Times New Roman" w:eastAsia="Times New Roman" w:hAnsi="Times New Roman" w:cs="Times New Roman"/>
      <w:smallCaps/>
      <w:sz w:val="14"/>
      <w:szCs w:val="20"/>
      <w:lang w:val="en-US"/>
    </w:rPr>
  </w:style>
  <w:style w:type="paragraph" w:styleId="Revision">
    <w:name w:val="Revision"/>
    <w:hidden/>
    <w:uiPriority w:val="99"/>
    <w:semiHidden/>
    <w:rsid w:val="003648C2"/>
    <w:pPr>
      <w:spacing w:after="0" w:line="240" w:lineRule="auto"/>
    </w:pPr>
    <w:rPr>
      <w:lang w:val="en-US"/>
    </w:rPr>
  </w:style>
  <w:style w:type="character" w:styleId="CommentReference">
    <w:name w:val="annotation reference"/>
    <w:basedOn w:val="DefaultParagraphFont"/>
    <w:uiPriority w:val="99"/>
    <w:unhideWhenUsed/>
    <w:rsid w:val="003648C2"/>
    <w:rPr>
      <w:sz w:val="16"/>
      <w:szCs w:val="16"/>
    </w:rPr>
  </w:style>
  <w:style w:type="paragraph" w:styleId="CommentText">
    <w:name w:val="annotation text"/>
    <w:basedOn w:val="Normal"/>
    <w:link w:val="CommentTextChar"/>
    <w:uiPriority w:val="99"/>
    <w:unhideWhenUsed/>
    <w:rsid w:val="003648C2"/>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3648C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648C2"/>
    <w:rPr>
      <w:b/>
      <w:bCs/>
    </w:rPr>
  </w:style>
  <w:style w:type="character" w:customStyle="1" w:styleId="CommentSubjectChar">
    <w:name w:val="Comment Subject Char"/>
    <w:basedOn w:val="CommentTextChar"/>
    <w:link w:val="CommentSubject"/>
    <w:uiPriority w:val="99"/>
    <w:semiHidden/>
    <w:rsid w:val="003648C2"/>
    <w:rPr>
      <w:rFonts w:ascii="Times New Roman" w:eastAsia="Times New Roman" w:hAnsi="Times New Roman" w:cs="Times New Roman"/>
      <w:b/>
      <w:bCs/>
      <w:sz w:val="20"/>
      <w:szCs w:val="20"/>
      <w:lang w:val="en-US"/>
    </w:rPr>
  </w:style>
  <w:style w:type="character" w:customStyle="1" w:styleId="UnresolvedMention10">
    <w:name w:val="Unresolved Mention1"/>
    <w:basedOn w:val="DefaultParagraphFont"/>
    <w:uiPriority w:val="99"/>
    <w:semiHidden/>
    <w:unhideWhenUsed/>
    <w:rsid w:val="003648C2"/>
    <w:rPr>
      <w:color w:val="605E5C"/>
      <w:shd w:val="clear" w:color="auto" w:fill="E1DFDD"/>
    </w:rPr>
  </w:style>
  <w:style w:type="character" w:styleId="FollowedHyperlink">
    <w:name w:val="FollowedHyperlink"/>
    <w:basedOn w:val="DefaultParagraphFont"/>
    <w:semiHidden/>
    <w:unhideWhenUsed/>
    <w:rsid w:val="003648C2"/>
    <w:rPr>
      <w:color w:val="954F72" w:themeColor="followedHyperlink"/>
      <w:u w:val="single"/>
    </w:rPr>
  </w:style>
  <w:style w:type="paragraph" w:styleId="BodyText">
    <w:name w:val="Body Text"/>
    <w:basedOn w:val="Normal"/>
    <w:link w:val="BodyTextChar"/>
    <w:uiPriority w:val="1"/>
    <w:qFormat/>
    <w:rsid w:val="003648C2"/>
    <w:pPr>
      <w:widowControl w:val="0"/>
      <w:spacing w:after="0" w:line="240" w:lineRule="auto"/>
      <w:ind w:left="120" w:firstLine="707"/>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3648C2"/>
    <w:rPr>
      <w:rFonts w:ascii="Times New Roman" w:eastAsia="Times New Roman" w:hAnsi="Times New Roman"/>
      <w:sz w:val="24"/>
      <w:szCs w:val="24"/>
      <w:lang w:val="en-US"/>
    </w:rPr>
  </w:style>
  <w:style w:type="paragraph" w:styleId="ListParagraph">
    <w:name w:val="List Paragraph"/>
    <w:basedOn w:val="Normal"/>
    <w:uiPriority w:val="34"/>
    <w:qFormat/>
    <w:rsid w:val="003648C2"/>
    <w:pPr>
      <w:widowControl w:val="0"/>
      <w:spacing w:after="0" w:line="240" w:lineRule="auto"/>
    </w:pPr>
    <w:rPr>
      <w:rFonts w:eastAsiaTheme="minorEastAsia"/>
      <w:lang w:val="en-US"/>
    </w:rPr>
  </w:style>
  <w:style w:type="paragraph" w:customStyle="1" w:styleId="TableParagraph">
    <w:name w:val="Table Paragraph"/>
    <w:basedOn w:val="Normal"/>
    <w:uiPriority w:val="1"/>
    <w:qFormat/>
    <w:rsid w:val="003648C2"/>
    <w:pPr>
      <w:widowControl w:val="0"/>
      <w:spacing w:after="0" w:line="240" w:lineRule="auto"/>
    </w:pPr>
    <w:rPr>
      <w:rFonts w:eastAsiaTheme="minorEastAsia"/>
      <w:lang w:val="en-US"/>
    </w:rPr>
  </w:style>
  <w:style w:type="character" w:styleId="Strong">
    <w:name w:val="Strong"/>
    <w:uiPriority w:val="22"/>
    <w:qFormat/>
    <w:rsid w:val="003648C2"/>
    <w:rPr>
      <w:b/>
      <w:bCs/>
    </w:rPr>
  </w:style>
  <w:style w:type="character" w:customStyle="1" w:styleId="UnresolvedMention2">
    <w:name w:val="Unresolved Mention2"/>
    <w:basedOn w:val="DefaultParagraphFont"/>
    <w:uiPriority w:val="99"/>
    <w:semiHidden/>
    <w:unhideWhenUsed/>
    <w:rsid w:val="003648C2"/>
    <w:rPr>
      <w:color w:val="605E5C"/>
      <w:shd w:val="clear" w:color="auto" w:fill="E1DFDD"/>
    </w:rPr>
  </w:style>
  <w:style w:type="character" w:customStyle="1" w:styleId="UnresolvedMention3">
    <w:name w:val="Unresolved Mention3"/>
    <w:basedOn w:val="DefaultParagraphFont"/>
    <w:uiPriority w:val="99"/>
    <w:semiHidden/>
    <w:unhideWhenUsed/>
    <w:rsid w:val="003648C2"/>
    <w:rPr>
      <w:color w:val="605E5C"/>
      <w:shd w:val="clear" w:color="auto" w:fill="E1DFDD"/>
    </w:rPr>
  </w:style>
  <w:style w:type="paragraph" w:customStyle="1" w:styleId="paragraph">
    <w:name w:val="paragraph"/>
    <w:basedOn w:val="Normal"/>
    <w:rsid w:val="003648C2"/>
    <w:pPr>
      <w:spacing w:before="100" w:beforeAutospacing="1" w:after="100" w:afterAutospacing="1" w:line="240" w:lineRule="auto"/>
    </w:pPr>
    <w:rPr>
      <w:rFonts w:ascii="Times New Roman" w:eastAsia="Times New Roman" w:hAnsi="Times New Roman" w:cs="Times New Roman"/>
      <w:sz w:val="24"/>
      <w:szCs w:val="24"/>
      <w:lang w:val="en-US" w:bidi="he-IL"/>
    </w:rPr>
  </w:style>
  <w:style w:type="character" w:customStyle="1" w:styleId="normaltextrun">
    <w:name w:val="normaltextrun"/>
    <w:basedOn w:val="DefaultParagraphFont"/>
    <w:rsid w:val="003648C2"/>
  </w:style>
  <w:style w:type="character" w:customStyle="1" w:styleId="eop">
    <w:name w:val="eop"/>
    <w:basedOn w:val="DefaultParagraphFont"/>
    <w:rsid w:val="003648C2"/>
  </w:style>
  <w:style w:type="paragraph" w:customStyle="1" w:styleId="BODYTEXT0">
    <w:name w:val="[ BODY TEXT ]"/>
    <w:rsid w:val="003648C2"/>
    <w:pPr>
      <w:spacing w:after="0" w:line="360" w:lineRule="auto"/>
      <w:ind w:firstLine="720"/>
    </w:pPr>
    <w:rPr>
      <w:rFonts w:ascii="Times New Roman" w:eastAsia="ヒラギノ角ゴ Pro W3" w:hAnsi="Times New Roman" w:cs="Times New Roman"/>
      <w:color w:val="000000"/>
      <w:kern w:val="24"/>
      <w:sz w:val="24"/>
      <w:szCs w:val="20"/>
      <w:lang w:val="en-US"/>
    </w:rPr>
  </w:style>
  <w:style w:type="paragraph" w:customStyle="1" w:styleId="QUOTATIONLONG">
    <w:name w:val="[ QUOTATION LONG ]"/>
    <w:rsid w:val="003648C2"/>
    <w:pPr>
      <w:spacing w:after="220" w:line="276" w:lineRule="auto"/>
      <w:ind w:left="720" w:right="720"/>
      <w:contextualSpacing/>
    </w:pPr>
    <w:rPr>
      <w:rFonts w:ascii="Times New Roman" w:eastAsia="ヒラギノ角ゴ Pro W3" w:hAnsi="Times New Roman" w:cs="Times New Roman"/>
      <w:color w:val="000000"/>
      <w:kern w:val="24"/>
      <w:sz w:val="24"/>
      <w:szCs w:val="20"/>
      <w:lang w:val="en-CA" w:bidi="he-IL"/>
    </w:rPr>
  </w:style>
  <w:style w:type="paragraph" w:customStyle="1" w:styleId="BODYFIRSTPARAGRAPH">
    <w:name w:val="[ BODY FIRST PARAGRAPH ]"/>
    <w:basedOn w:val="BODYTEXT0"/>
    <w:qFormat/>
    <w:rsid w:val="003648C2"/>
    <w:pPr>
      <w:ind w:firstLine="0"/>
    </w:pPr>
    <w:rPr>
      <w:lang w:bidi="he-IL"/>
    </w:rPr>
  </w:style>
  <w:style w:type="character" w:customStyle="1" w:styleId="tosptmuxyt">
    <w:name w:val="[ tospt muxyt ]"/>
    <w:uiPriority w:val="1"/>
    <w:qFormat/>
    <w:rsid w:val="003648C2"/>
    <w:rPr>
      <w:color w:val="00B050"/>
      <w:lang w:bidi="he-IL"/>
    </w:rPr>
  </w:style>
  <w:style w:type="paragraph" w:styleId="NormalWeb">
    <w:name w:val="Normal (Web)"/>
    <w:basedOn w:val="Normal"/>
    <w:uiPriority w:val="99"/>
    <w:unhideWhenUsed/>
    <w:rsid w:val="003648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3648C2"/>
  </w:style>
  <w:style w:type="paragraph" w:styleId="TOCHeading">
    <w:name w:val="TOC Heading"/>
    <w:basedOn w:val="Heading1"/>
    <w:next w:val="Normal"/>
    <w:uiPriority w:val="39"/>
    <w:unhideWhenUsed/>
    <w:qFormat/>
    <w:rsid w:val="003648C2"/>
    <w:pPr>
      <w:keepNext/>
      <w:keepLines/>
      <w:widowControl/>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rPr>
  </w:style>
  <w:style w:type="character" w:styleId="HTMLCite">
    <w:name w:val="HTML Cite"/>
    <w:basedOn w:val="DefaultParagraphFont"/>
    <w:uiPriority w:val="99"/>
    <w:semiHidden/>
    <w:unhideWhenUsed/>
    <w:rsid w:val="003648C2"/>
    <w:rPr>
      <w:i/>
      <w:iCs/>
    </w:rPr>
  </w:style>
  <w:style w:type="character" w:customStyle="1" w:styleId="apple-converted-space">
    <w:name w:val="apple-converted-space"/>
    <w:basedOn w:val="DefaultParagraphFont"/>
    <w:rsid w:val="003648C2"/>
  </w:style>
  <w:style w:type="character" w:customStyle="1" w:styleId="emphasistypeitalic">
    <w:name w:val="emphasistypeitalic"/>
    <w:basedOn w:val="DefaultParagraphFont"/>
    <w:rsid w:val="003648C2"/>
  </w:style>
  <w:style w:type="paragraph" w:customStyle="1" w:styleId="author">
    <w:name w:val="author"/>
    <w:basedOn w:val="Normal"/>
    <w:rsid w:val="003648C2"/>
    <w:pPr>
      <w:spacing w:before="100" w:beforeAutospacing="1" w:after="100" w:afterAutospacing="1" w:line="240" w:lineRule="auto"/>
    </w:pPr>
    <w:rPr>
      <w:rFonts w:ascii="Times New Roman" w:eastAsia="Times New Roman" w:hAnsi="Times New Roman" w:cs="Times New Roman"/>
      <w:sz w:val="24"/>
      <w:szCs w:val="24"/>
      <w:lang w:val="en-US" w:bidi="he-IL"/>
    </w:rPr>
  </w:style>
  <w:style w:type="character" w:customStyle="1" w:styleId="UnresolvedMention4">
    <w:name w:val="Unresolved Mention4"/>
    <w:basedOn w:val="DefaultParagraphFont"/>
    <w:uiPriority w:val="99"/>
    <w:semiHidden/>
    <w:unhideWhenUsed/>
    <w:rsid w:val="003648C2"/>
    <w:rPr>
      <w:color w:val="605E5C"/>
      <w:shd w:val="clear" w:color="auto" w:fill="E1DFDD"/>
    </w:rPr>
  </w:style>
  <w:style w:type="paragraph" w:customStyle="1" w:styleId="FootNote">
    <w:name w:val="_FootNote"/>
    <w:basedOn w:val="Normal"/>
    <w:link w:val="FootNoteChar"/>
    <w:qFormat/>
    <w:rsid w:val="003648C2"/>
    <w:pPr>
      <w:widowControl w:val="0"/>
      <w:suppressLineNumbers/>
      <w:tabs>
        <w:tab w:val="right" w:pos="480"/>
        <w:tab w:val="left" w:pos="600"/>
      </w:tabs>
      <w:spacing w:before="20" w:after="0" w:line="190" w:lineRule="exact"/>
      <w:jc w:val="both"/>
    </w:pPr>
    <w:rPr>
      <w:rFonts w:ascii="Times New Roman" w:eastAsia="Times New Roman" w:hAnsi="Times New Roman" w:cs="Times New Roman"/>
      <w:sz w:val="18"/>
      <w:szCs w:val="21"/>
      <w:lang w:val="en-US"/>
    </w:rPr>
  </w:style>
  <w:style w:type="character" w:customStyle="1" w:styleId="FootNoteChar">
    <w:name w:val="_FootNote Char"/>
    <w:basedOn w:val="DefaultParagraphFont"/>
    <w:link w:val="FootNote"/>
    <w:rsid w:val="003648C2"/>
    <w:rPr>
      <w:rFonts w:ascii="Times New Roman" w:eastAsia="Times New Roman" w:hAnsi="Times New Roman" w:cs="Times New Roman"/>
      <w:sz w:val="18"/>
      <w:szCs w:val="21"/>
      <w:lang w:val="en-US"/>
    </w:rPr>
  </w:style>
  <w:style w:type="character" w:customStyle="1" w:styleId="UnresolvedMention5">
    <w:name w:val="Unresolved Mention5"/>
    <w:basedOn w:val="DefaultParagraphFont"/>
    <w:uiPriority w:val="99"/>
    <w:semiHidden/>
    <w:unhideWhenUsed/>
    <w:rsid w:val="003648C2"/>
    <w:rPr>
      <w:color w:val="605E5C"/>
      <w:shd w:val="clear" w:color="auto" w:fill="E1DFDD"/>
    </w:rPr>
  </w:style>
  <w:style w:type="character" w:styleId="Emphasis">
    <w:name w:val="Emphasis"/>
    <w:basedOn w:val="DefaultParagraphFont"/>
    <w:uiPriority w:val="20"/>
    <w:qFormat/>
    <w:rsid w:val="001E3C88"/>
    <w:rPr>
      <w:i/>
      <w:iCs/>
    </w:rPr>
  </w:style>
  <w:style w:type="character" w:styleId="UnresolvedMention">
    <w:name w:val="Unresolved Mention"/>
    <w:basedOn w:val="DefaultParagraphFont"/>
    <w:uiPriority w:val="99"/>
    <w:semiHidden/>
    <w:unhideWhenUsed/>
    <w:rsid w:val="00512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6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rapecrisis.org.uk/get-informed/statistics-sexual-violence/" TargetMode="External"/><Relationship Id="rId7" Type="http://schemas.openxmlformats.org/officeDocument/2006/relationships/hyperlink" Target="https://www.deseret.com/1991/11/20/18952766/y-curfew-for-men-aims-to-curb-attacks-on-women" TargetMode="External"/><Relationship Id="rId2" Type="http://schemas.openxmlformats.org/officeDocument/2006/relationships/hyperlink" Target="https://www.unwomen.org/en/about-us" TargetMode="External"/><Relationship Id="rId1" Type="http://schemas.openxmlformats.org/officeDocument/2006/relationships/hyperlink" Target="https://www.theguardian.com/commentisfree/2021/mar/13/men-curfew-sarah-everard-women-adapt-violence" TargetMode="External"/><Relationship Id="rId6" Type="http://schemas.openxmlformats.org/officeDocument/2006/relationships/hyperlink" Target="https://www.dailymail.co.uk/news/article-29619/The-city-banned-men.html" TargetMode="External"/><Relationship Id="rId5" Type="http://schemas.openxmlformats.org/officeDocument/2006/relationships/hyperlink" Target="http://www.bailii.org/cgi-bin/redirect.cgi?path=/eu/cases/ECHR/2004/657.html" TargetMode="External"/><Relationship Id="rId4" Type="http://schemas.openxmlformats.org/officeDocument/2006/relationships/hyperlink" Target="http://www.bailii.org/cgi-bin/redirect.cgi?path=/eu/cases/ECHR/2009/87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ownloads\IJCLE%20formatting%20template%20-DESKTOP-G1R2S2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A86ED-6593-4251-97E4-8FEB389D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IJCLE formatting template -DESKTOP-G1R2S2K.dotx</Template>
  <TotalTime>5</TotalTime>
  <Pages>21</Pages>
  <Words>6341</Words>
  <Characters>36146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Graham</dc:creator>
  <cp:keywords/>
  <dc:description/>
  <cp:lastModifiedBy>Laura Graham</cp:lastModifiedBy>
  <cp:revision>4</cp:revision>
  <dcterms:created xsi:type="dcterms:W3CDTF">2024-07-18T16:42:00Z</dcterms:created>
  <dcterms:modified xsi:type="dcterms:W3CDTF">2024-07-18T17:36:00Z</dcterms:modified>
</cp:coreProperties>
</file>