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75" w:rsidRPr="003A0C75" w:rsidRDefault="003A0C75" w:rsidP="003A0C75">
      <w:pPr>
        <w:rPr>
          <w:sz w:val="56"/>
          <w:szCs w:val="56"/>
        </w:rPr>
      </w:pPr>
      <w:proofErr w:type="spellStart"/>
      <w:r w:rsidRPr="003A0C75">
        <w:rPr>
          <w:sz w:val="56"/>
          <w:szCs w:val="56"/>
        </w:rPr>
        <w:t>Casenotes</w:t>
      </w:r>
      <w:proofErr w:type="spellEnd"/>
    </w:p>
    <w:p w:rsidR="003A0C75" w:rsidRPr="003A0C75" w:rsidRDefault="003A0C75" w:rsidP="003A0C75">
      <w:pPr>
        <w:rPr>
          <w:i/>
          <w:iCs/>
          <w:sz w:val="40"/>
        </w:rPr>
      </w:pPr>
      <w:r w:rsidRPr="003A0C75">
        <w:rPr>
          <w:i/>
          <w:iCs/>
          <w:sz w:val="40"/>
        </w:rPr>
        <w:t>Capacity, Treatment and Human Rights</w:t>
      </w:r>
    </w:p>
    <w:p w:rsidR="003A0C75" w:rsidRDefault="00C428A2" w:rsidP="003A0C75">
      <w:pPr>
        <w:rPr>
          <w:i/>
          <w:iCs/>
          <w:sz w:val="28"/>
        </w:rPr>
      </w:pPr>
      <w:r>
        <w:rPr>
          <w:i/>
          <w:iCs/>
          <w:sz w:val="28"/>
        </w:rPr>
        <w:t>Peter Bartlett</w:t>
      </w:r>
      <w:r>
        <w:rPr>
          <w:rStyle w:val="FootnoteReference"/>
          <w:i/>
          <w:iCs/>
          <w:sz w:val="28"/>
        </w:rPr>
        <w:footnoteReference w:customMarkFollows="1" w:id="1"/>
        <w:t>*</w:t>
      </w:r>
    </w:p>
    <w:p w:rsidR="003A0C75" w:rsidRPr="003A0C75" w:rsidRDefault="003A0C75" w:rsidP="003A0C75">
      <w:pPr>
        <w:rPr>
          <w:i/>
          <w:iCs/>
          <w:sz w:val="28"/>
        </w:rPr>
      </w:pPr>
    </w:p>
    <w:p w:rsidR="003A0C75" w:rsidRPr="003A0C75" w:rsidRDefault="003A0C75" w:rsidP="003A0C75">
      <w:pPr>
        <w:rPr>
          <w:b/>
          <w:bCs/>
        </w:rPr>
      </w:pPr>
      <w:proofErr w:type="gramStart"/>
      <w:r w:rsidRPr="003A0C75">
        <w:rPr>
          <w:b/>
          <w:bCs/>
        </w:rPr>
        <w:t>R (on the application of PS) v. G (RMO) and W (SOAD) [2003] EWHC 2335 (Admin).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</w:r>
      <w:proofErr w:type="gramStart"/>
      <w:r w:rsidRPr="003A0C75">
        <w:rPr>
          <w:b/>
          <w:bCs/>
        </w:rPr>
        <w:t>Administrative Court (10th October 2003) Mr. Justice Silber.</w:t>
      </w:r>
      <w:proofErr w:type="gramEnd"/>
    </w:p>
    <w:p w:rsidR="003A0C75" w:rsidRDefault="003A0C75" w:rsidP="003A0C75">
      <w:r w:rsidRPr="003A0C75">
        <w:t>This is the most recent in a series of cases regarding the scope of the Human Rights Act and</w:t>
      </w:r>
      <w:r>
        <w:t xml:space="preserve"> </w:t>
      </w:r>
      <w:r w:rsidRPr="003A0C75">
        <w:t>compulsory treatment under the Mental Health Act 1983. In particular, this case concerns the</w:t>
      </w:r>
      <w:r>
        <w:t xml:space="preserve"> </w:t>
      </w:r>
      <w:r w:rsidRPr="003A0C75">
        <w:t>right of a competent patient detained under section 37 of the Mental Health Act 1983 (MHA) to</w:t>
      </w:r>
      <w:r>
        <w:t xml:space="preserve"> </w:t>
      </w:r>
      <w:r w:rsidRPr="003A0C75">
        <w:t>refuse anti-psychotic medication, and the scope of articles 3, 8 and 14 of the ECHR.</w:t>
      </w:r>
    </w:p>
    <w:p w:rsidR="003A0C75" w:rsidRPr="003A0C75" w:rsidRDefault="003A0C75" w:rsidP="003A0C75"/>
    <w:p w:rsidR="003A0C75" w:rsidRPr="007F76FA" w:rsidRDefault="003A0C75" w:rsidP="003A0C75">
      <w:pPr>
        <w:rPr>
          <w:b/>
          <w:bCs/>
          <w:sz w:val="24"/>
        </w:rPr>
      </w:pPr>
      <w:r w:rsidRPr="007F76FA">
        <w:rPr>
          <w:b/>
          <w:bCs/>
          <w:sz w:val="24"/>
        </w:rPr>
        <w:t>The Facts</w:t>
      </w:r>
    </w:p>
    <w:p w:rsidR="003A0C75" w:rsidRPr="003A0C75" w:rsidRDefault="003A0C75" w:rsidP="003A0C75">
      <w:r w:rsidRPr="003A0C75">
        <w:t>The applicant, PS, was detained under section 37 of the MHA in 1995, following conviction of</w:t>
      </w:r>
      <w:r w:rsidR="00C428A2">
        <w:t xml:space="preserve"> </w:t>
      </w:r>
      <w:r w:rsidRPr="003A0C75">
        <w:t>manslaughter on the grounds of diminished responsibility. It would appear that the homicide</w:t>
      </w:r>
      <w:r w:rsidR="00C428A2">
        <w:t xml:space="preserve"> </w:t>
      </w:r>
      <w:r w:rsidRPr="003A0C75">
        <w:t>occurred during a psychotic episode. He was conditionally discharged in April 1998, and</w:t>
      </w:r>
      <w:r w:rsidR="00C428A2">
        <w:t xml:space="preserve"> </w:t>
      </w:r>
      <w:r w:rsidRPr="003A0C75">
        <w:t>re-admitted in December 1999. He was again conditionally discharged in January 2002, but recalled</w:t>
      </w:r>
      <w:r w:rsidR="00C428A2">
        <w:t xml:space="preserve"> </w:t>
      </w:r>
      <w:r w:rsidRPr="003A0C75">
        <w:t>the following month. Both the readmissions were occasioned by apparent psychotic episodes.</w:t>
      </w:r>
      <w:r w:rsidR="00C428A2">
        <w:t xml:space="preserve"> </w:t>
      </w:r>
      <w:r w:rsidRPr="003A0C75">
        <w:t>All of these psychotic episodes abated without resort to medication. With the consent of PS,</w:t>
      </w:r>
      <w:r w:rsidR="00C428A2">
        <w:t xml:space="preserve"> </w:t>
      </w:r>
      <w:r w:rsidRPr="003A0C75">
        <w:t>Quetiapine, an anti-psychotic medication, was administered from September to November 2002.</w:t>
      </w:r>
      <w:r w:rsidR="00C428A2">
        <w:t xml:space="preserve"> </w:t>
      </w:r>
      <w:r w:rsidRPr="003A0C75">
        <w:t>In the view of the then RMO, G, this trial was a success, and faced with PS’s competent refusal to</w:t>
      </w:r>
      <w:r w:rsidR="00C428A2">
        <w:t xml:space="preserve"> </w:t>
      </w:r>
      <w:r w:rsidRPr="003A0C75">
        <w:t>consent to further administration of the drug, he pursued the processes for compulsory treatment</w:t>
      </w:r>
      <w:r w:rsidR="00C428A2">
        <w:t xml:space="preserve"> </w:t>
      </w:r>
      <w:r w:rsidRPr="003A0C75">
        <w:t>under the MHA. W, a SOAD, provided the required second opinion, but before treatment could</w:t>
      </w:r>
      <w:r w:rsidR="00C428A2">
        <w:t xml:space="preserve"> </w:t>
      </w:r>
      <w:r w:rsidRPr="003A0C75">
        <w:t>recommence, PS obtained an injunction precluding treatment until his rights under the Human</w:t>
      </w:r>
      <w:r w:rsidR="00C428A2">
        <w:t xml:space="preserve"> </w:t>
      </w:r>
      <w:r w:rsidRPr="003A0C75">
        <w:t>Rights Act 1998 could be determined.</w:t>
      </w:r>
    </w:p>
    <w:p w:rsidR="00C428A2" w:rsidRDefault="003A0C75" w:rsidP="00C428A2">
      <w:r w:rsidRPr="003A0C75">
        <w:t>Behind this legal question lay a factual question of diagnosis. PS had been given a variety of</w:t>
      </w:r>
      <w:r w:rsidR="00C428A2">
        <w:t xml:space="preserve"> </w:t>
      </w:r>
      <w:r w:rsidRPr="003A0C75">
        <w:t>diagnoses during his time in the psychiatric system. Schizophrenia was first suggested in 2001, but</w:t>
      </w:r>
      <w:r w:rsidR="00C428A2">
        <w:t xml:space="preserve"> </w:t>
      </w:r>
      <w:r w:rsidRPr="003A0C75">
        <w:t>by the time of the court application, it had become the consensus view of the treating physicians.</w:t>
      </w:r>
      <w:r w:rsidR="00C428A2">
        <w:t xml:space="preserve"> </w:t>
      </w:r>
      <w:r w:rsidRPr="003A0C75">
        <w:t xml:space="preserve">PS’s expert, however, instead diagnosed </w:t>
      </w:r>
      <w:proofErr w:type="spellStart"/>
      <w:r w:rsidRPr="003A0C75">
        <w:t>schizophreniform</w:t>
      </w:r>
      <w:proofErr w:type="spellEnd"/>
      <w:r w:rsidRPr="003A0C75">
        <w:t xml:space="preserve"> disorder, a condition with substantially</w:t>
      </w:r>
      <w:r w:rsidR="00C428A2">
        <w:t xml:space="preserve"> </w:t>
      </w:r>
      <w:r w:rsidRPr="003A0C75">
        <w:t>similar symptoms to schizophrenia, but where the duration of the symptoms was instead less than</w:t>
      </w:r>
      <w:r w:rsidR="00C428A2">
        <w:t xml:space="preserve"> </w:t>
      </w:r>
      <w:r w:rsidRPr="003A0C75">
        <w:t>six months. It was argued for PS that if the psychotic episodes he experienced were viewed</w:t>
      </w:r>
      <w:r w:rsidR="00C428A2">
        <w:t xml:space="preserve"> </w:t>
      </w:r>
      <w:r w:rsidRPr="003A0C75">
        <w:t xml:space="preserve">discretely, </w:t>
      </w:r>
      <w:proofErr w:type="spellStart"/>
      <w:r w:rsidRPr="003A0C75">
        <w:t>schizophreniform</w:t>
      </w:r>
      <w:proofErr w:type="spellEnd"/>
      <w:r w:rsidRPr="003A0C75">
        <w:t xml:space="preserve"> disorder was a credible diagnosis. If they were instead viewed as</w:t>
      </w:r>
      <w:r w:rsidR="00C428A2">
        <w:t xml:space="preserve"> </w:t>
      </w:r>
      <w:r w:rsidR="00C428A2" w:rsidRPr="00C428A2">
        <w:t>manifestations of an ongoing disorder, schizophrenia was more likely. The distinction in diagnosis</w:t>
      </w:r>
      <w:r w:rsidR="00C428A2">
        <w:t xml:space="preserve"> </w:t>
      </w:r>
      <w:r w:rsidR="00C428A2" w:rsidRPr="00C428A2">
        <w:t xml:space="preserve">was important, as the manifestations of </w:t>
      </w:r>
      <w:proofErr w:type="spellStart"/>
      <w:r w:rsidR="00C428A2" w:rsidRPr="00C428A2">
        <w:t>schizophreniform</w:t>
      </w:r>
      <w:proofErr w:type="spellEnd"/>
      <w:r w:rsidR="00C428A2" w:rsidRPr="00C428A2">
        <w:t xml:space="preserve"> disorder would be likely to abate of</w:t>
      </w:r>
      <w:r w:rsidR="00C428A2">
        <w:t xml:space="preserve"> </w:t>
      </w:r>
      <w:r w:rsidR="00C428A2" w:rsidRPr="00C428A2">
        <w:t xml:space="preserve">their </w:t>
      </w:r>
      <w:r w:rsidR="00C428A2" w:rsidRPr="00C428A2">
        <w:lastRenderedPageBreak/>
        <w:t>own accord, while schizophrenia was appropriately treated with medication such as that</w:t>
      </w:r>
      <w:r w:rsidR="00C428A2">
        <w:t xml:space="preserve"> </w:t>
      </w:r>
      <w:r w:rsidR="00C428A2" w:rsidRPr="00C428A2">
        <w:t>proposed in this case.</w:t>
      </w:r>
    </w:p>
    <w:p w:rsidR="00C428A2" w:rsidRPr="00C428A2" w:rsidRDefault="00C428A2" w:rsidP="00C428A2"/>
    <w:p w:rsidR="00C428A2" w:rsidRPr="007F76FA" w:rsidRDefault="00C428A2" w:rsidP="00C428A2">
      <w:pPr>
        <w:rPr>
          <w:b/>
          <w:bCs/>
          <w:sz w:val="24"/>
        </w:rPr>
      </w:pPr>
      <w:r w:rsidRPr="007F76FA">
        <w:rPr>
          <w:b/>
          <w:bCs/>
          <w:sz w:val="24"/>
        </w:rPr>
        <w:t>The Decision</w:t>
      </w:r>
    </w:p>
    <w:p w:rsidR="00C428A2" w:rsidRPr="00C428A2" w:rsidRDefault="00C428A2" w:rsidP="00C428A2">
      <w:pPr>
        <w:rPr>
          <w:i/>
          <w:iCs/>
        </w:rPr>
      </w:pPr>
      <w:r w:rsidRPr="00C428A2">
        <w:rPr>
          <w:i/>
          <w:iCs/>
        </w:rPr>
        <w:t>The Factual Question of Diagnosis</w:t>
      </w:r>
    </w:p>
    <w:p w:rsidR="00C428A2" w:rsidRDefault="00C428A2" w:rsidP="00C428A2">
      <w:r w:rsidRPr="00C428A2">
        <w:t xml:space="preserve">Following the procedure established in </w:t>
      </w:r>
      <w:r w:rsidRPr="00C428A2">
        <w:rPr>
          <w:i/>
          <w:iCs/>
        </w:rPr>
        <w:t>R (Wilkinson) v. RMO Broadmoor and MHAC SOAD</w:t>
      </w:r>
      <w:r w:rsidR="004C6FAC">
        <w:rPr>
          <w:rStyle w:val="FootnoteReference"/>
          <w:i/>
          <w:iCs/>
        </w:rPr>
        <w:footnoteReference w:id="2"/>
      </w:r>
      <w:r w:rsidRPr="00C428A2">
        <w:t>, Silber</w:t>
      </w:r>
      <w:r>
        <w:t xml:space="preserve"> </w:t>
      </w:r>
      <w:r w:rsidRPr="00C428A2">
        <w:t>J heard oral evidence on the question of diagnosis. In considering that evidence, he made it clear</w:t>
      </w:r>
      <w:r>
        <w:t xml:space="preserve"> </w:t>
      </w:r>
      <w:r w:rsidRPr="00C428A2">
        <w:t xml:space="preserve">that he was guided by the decision in </w:t>
      </w:r>
      <w:r w:rsidRPr="00C428A2">
        <w:rPr>
          <w:i/>
          <w:iCs/>
        </w:rPr>
        <w:t>R (N) v. Dr M</w:t>
      </w:r>
      <w:r w:rsidR="004C6FAC">
        <w:rPr>
          <w:rStyle w:val="FootnoteReference"/>
          <w:i/>
          <w:iCs/>
        </w:rPr>
        <w:footnoteReference w:id="3"/>
      </w:r>
      <w:r w:rsidRPr="00C428A2">
        <w:t>, that the role of the court remained essentially</w:t>
      </w:r>
      <w:r>
        <w:t xml:space="preserve"> </w:t>
      </w:r>
      <w:r w:rsidRPr="00C428A2">
        <w:t xml:space="preserve">one of review [para 5, quoting </w:t>
      </w:r>
      <w:r w:rsidRPr="00C428A2">
        <w:rPr>
          <w:i/>
          <w:iCs/>
        </w:rPr>
        <w:t xml:space="preserve">N </w:t>
      </w:r>
      <w:r w:rsidRPr="00C428A2">
        <w:t>at para 39], and that the court should ‘pay a very particular regard</w:t>
      </w:r>
      <w:r>
        <w:t xml:space="preserve"> </w:t>
      </w:r>
      <w:r w:rsidRPr="00C428A2">
        <w:t xml:space="preserve">to the views held by those specifically charged with a patient’s care’ [para 82, quoting </w:t>
      </w:r>
      <w:r w:rsidRPr="00C428A2">
        <w:rPr>
          <w:i/>
          <w:iCs/>
        </w:rPr>
        <w:t xml:space="preserve">N </w:t>
      </w:r>
      <w:r w:rsidRPr="00C428A2">
        <w:t>at para 39].</w:t>
      </w:r>
      <w:r>
        <w:t xml:space="preserve"> </w:t>
      </w:r>
    </w:p>
    <w:p w:rsidR="00C428A2" w:rsidRPr="00C428A2" w:rsidRDefault="00C428A2" w:rsidP="00C428A2">
      <w:r w:rsidRPr="00C428A2">
        <w:t>Consistent with this orientation, the factual question of the appropriate diagnosis was determined</w:t>
      </w:r>
      <w:r>
        <w:t xml:space="preserve"> </w:t>
      </w:r>
      <w:r w:rsidRPr="00C428A2">
        <w:t>primarily by findings of credibility of the various witnesses. The treatment team and those doctors</w:t>
      </w:r>
      <w:r>
        <w:t xml:space="preserve"> </w:t>
      </w:r>
      <w:r w:rsidRPr="00C428A2">
        <w:t>who testified in their support were found to be credible, while the views of the patient’s expert</w:t>
      </w:r>
      <w:r>
        <w:t xml:space="preserve"> </w:t>
      </w:r>
      <w:r w:rsidRPr="00C428A2">
        <w:t>were given less weight. The only other factor considered by the Court in its determination of</w:t>
      </w:r>
      <w:r>
        <w:t xml:space="preserve"> </w:t>
      </w:r>
      <w:r w:rsidRPr="00C428A2">
        <w:t>diagnosis was the most recent review tribunal decision, which had, consistent with the treatment</w:t>
      </w:r>
      <w:r>
        <w:t xml:space="preserve"> </w:t>
      </w:r>
      <w:r w:rsidRPr="00C428A2">
        <w:t>team, held that PS would not improve without medication. The Court also accepted this view, and</w:t>
      </w:r>
      <w:r>
        <w:t xml:space="preserve"> </w:t>
      </w:r>
      <w:r w:rsidRPr="00C428A2">
        <w:t>held that the appropriate diagnosis was schizophrenia.</w:t>
      </w:r>
    </w:p>
    <w:p w:rsidR="00C428A2" w:rsidRPr="00C428A2" w:rsidRDefault="00C428A2" w:rsidP="00C428A2">
      <w:pPr>
        <w:rPr>
          <w:b/>
          <w:i/>
          <w:iCs/>
        </w:rPr>
      </w:pPr>
      <w:r w:rsidRPr="00C428A2">
        <w:rPr>
          <w:b/>
          <w:i/>
          <w:iCs/>
        </w:rPr>
        <w:t>Article 3: The Right to be Free from Inhuman or Degrading Treatment</w:t>
      </w:r>
    </w:p>
    <w:p w:rsidR="00C428A2" w:rsidRPr="00C428A2" w:rsidRDefault="00C428A2" w:rsidP="00C428A2">
      <w:r w:rsidRPr="00C428A2">
        <w:t>The Court applied a two-pronged test to determine an article 3 violation:</w:t>
      </w:r>
    </w:p>
    <w:p w:rsidR="00C428A2" w:rsidRPr="00C428A2" w:rsidRDefault="00C428A2" w:rsidP="00C428A2">
      <w:pPr>
        <w:ind w:left="567" w:right="521"/>
      </w:pPr>
      <w:r w:rsidRPr="00C428A2">
        <w:t>‘[W]here medical treatment is administered on a patient against his or her will, Article 3 will</w:t>
      </w:r>
      <w:r>
        <w:t xml:space="preserve"> </w:t>
      </w:r>
      <w:r w:rsidRPr="00C428A2">
        <w:t>only be contravened if:–</w:t>
      </w:r>
    </w:p>
    <w:p w:rsidR="00C428A2" w:rsidRDefault="00C428A2" w:rsidP="00C428A2">
      <w:pPr>
        <w:pStyle w:val="ListParagraph"/>
        <w:numPr>
          <w:ilvl w:val="0"/>
          <w:numId w:val="1"/>
        </w:numPr>
      </w:pPr>
      <w:r w:rsidRPr="00C428A2">
        <w:t>the proposed treatment on the patient reaches the minimum level of severity of ill</w:t>
      </w:r>
      <w:r w:rsidR="004C6FAC">
        <w:t>-</w:t>
      </w:r>
      <w:r w:rsidRPr="00C428A2">
        <w:t>treatment,</w:t>
      </w:r>
      <w:r w:rsidR="004C6FAC">
        <w:t xml:space="preserve"> </w:t>
      </w:r>
      <w:r w:rsidRPr="00C428A2">
        <w:t>taking into account all the circumstances, including the positive and adverse</w:t>
      </w:r>
      <w:r w:rsidR="004C6FAC">
        <w:t xml:space="preserve"> </w:t>
      </w:r>
      <w:r w:rsidRPr="00C428A2">
        <w:t>mental and physical consequences of the treatment, the nature and context of the</w:t>
      </w:r>
      <w:r w:rsidR="004C6FAC">
        <w:t xml:space="preserve"> </w:t>
      </w:r>
      <w:r w:rsidRPr="00C428A2">
        <w:t>treatment, the manner and method of its execution, its duration and if relevant, the sex, age</w:t>
      </w:r>
      <w:r w:rsidR="004C6FAC">
        <w:t xml:space="preserve"> </w:t>
      </w:r>
      <w:r w:rsidRPr="00C428A2">
        <w:t>and health of the patient (“the Minimum Level of Severity Sub-Issue”) and</w:t>
      </w:r>
    </w:p>
    <w:p w:rsidR="00C428A2" w:rsidRPr="00C428A2" w:rsidRDefault="00C428A2" w:rsidP="00C428A2">
      <w:pPr>
        <w:pStyle w:val="ListParagraph"/>
        <w:numPr>
          <w:ilvl w:val="0"/>
          <w:numId w:val="1"/>
        </w:numPr>
      </w:pPr>
      <w:proofErr w:type="gramStart"/>
      <w:r w:rsidRPr="00C428A2">
        <w:t>the</w:t>
      </w:r>
      <w:proofErr w:type="gramEnd"/>
      <w:r w:rsidRPr="00C428A2">
        <w:t xml:space="preserve"> medical or therapeutic necessity for the treatment has not been convincingly shown to</w:t>
      </w:r>
      <w:r w:rsidR="004C6FAC">
        <w:t xml:space="preserve"> </w:t>
      </w:r>
      <w:r w:rsidRPr="00C428A2">
        <w:t>exist (“the Convincing Medical or Therapeutic Evidence Sub-Issue”).’ [para 107]</w:t>
      </w:r>
    </w:p>
    <w:p w:rsidR="00C428A2" w:rsidRPr="00C428A2" w:rsidRDefault="00C428A2" w:rsidP="00C428A2">
      <w:r w:rsidRPr="00C428A2">
        <w:t>The standard of proof to be met was the criminal standard of beyond reasonable doubt. [</w:t>
      </w:r>
      <w:proofErr w:type="gramStart"/>
      <w:r w:rsidRPr="00C428A2">
        <w:t>para</w:t>
      </w:r>
      <w:proofErr w:type="gramEnd"/>
      <w:r w:rsidRPr="00C428A2">
        <w:t xml:space="preserve"> 106]</w:t>
      </w:r>
    </w:p>
    <w:p w:rsidR="004C6FAC" w:rsidRPr="004C6FAC" w:rsidRDefault="00C428A2" w:rsidP="004C6FAC">
      <w:r w:rsidRPr="00C428A2">
        <w:t>The Court held that neither aspect of the test had been met. Regarding the first branch of the test,</w:t>
      </w:r>
      <w:r w:rsidR="004C6FAC">
        <w:t xml:space="preserve"> </w:t>
      </w:r>
      <w:r w:rsidRPr="00C428A2">
        <w:t>the Court noted that the medication proposed had already been used for a three-month trial period</w:t>
      </w:r>
      <w:r w:rsidR="004C6FAC">
        <w:t xml:space="preserve"> </w:t>
      </w:r>
      <w:r w:rsidRPr="00C428A2">
        <w:t>on PS, without any suggestion that the result met the minimum level of severity to engage Article</w:t>
      </w:r>
      <w:r w:rsidR="004C6FAC">
        <w:t xml:space="preserve"> </w:t>
      </w:r>
      <w:r w:rsidRPr="00C428A2">
        <w:t xml:space="preserve">3. </w:t>
      </w:r>
      <w:r w:rsidR="004C6FAC">
        <w:t xml:space="preserve"> </w:t>
      </w:r>
      <w:r w:rsidRPr="00C428A2">
        <w:t>That medication had been given with PS’s consent, and the withdrawal of that consent was</w:t>
      </w:r>
      <w:r w:rsidR="004C6FAC">
        <w:t xml:space="preserve"> </w:t>
      </w:r>
      <w:r w:rsidRPr="00C428A2">
        <w:t>relevant to but not determinative of the determination of the severity issue. The primary adverse</w:t>
      </w:r>
      <w:r w:rsidR="004C6FAC">
        <w:t xml:space="preserve"> </w:t>
      </w:r>
      <w:r w:rsidRPr="00C428A2">
        <w:t>effects of the proposed medication, tiredness and weight gain, could be easily controlled.</w:t>
      </w:r>
      <w:r w:rsidR="004C6FAC">
        <w:t xml:space="preserve"> </w:t>
      </w:r>
      <w:r w:rsidRPr="00C428A2">
        <w:t xml:space="preserve">While adverse </w:t>
      </w:r>
      <w:r w:rsidRPr="00C428A2">
        <w:lastRenderedPageBreak/>
        <w:t>effects would be more extensive if the medication were administered by depot</w:t>
      </w:r>
      <w:r w:rsidR="004C6FAC">
        <w:t xml:space="preserve"> </w:t>
      </w:r>
      <w:r w:rsidRPr="00C428A2">
        <w:t>medication rather than by mouth, the indications were that if the non-voluntary administration</w:t>
      </w:r>
      <w:r w:rsidR="004C6FAC">
        <w:t xml:space="preserve"> </w:t>
      </w:r>
      <w:r w:rsidR="004C6FAC" w:rsidRPr="004C6FAC">
        <w:t>were authorised by the Court, PS would in fact consent to the oral administration.</w:t>
      </w:r>
    </w:p>
    <w:p w:rsidR="004C6FAC" w:rsidRPr="004C6FAC" w:rsidRDefault="004C6FAC" w:rsidP="004C6FAC">
      <w:r w:rsidRPr="004C6FAC">
        <w:t xml:space="preserve">PS also relied on the judgment of Simon Brown LJ in </w:t>
      </w:r>
      <w:r w:rsidRPr="004C6FAC">
        <w:rPr>
          <w:i/>
          <w:iCs/>
        </w:rPr>
        <w:t>Wilkinson</w:t>
      </w:r>
      <w:r w:rsidRPr="004C6FAC">
        <w:t>, which on his counsel’s reading</w:t>
      </w:r>
      <w:r>
        <w:t xml:space="preserve"> </w:t>
      </w:r>
      <w:r w:rsidRPr="004C6FAC">
        <w:t>appeared sceptical of the consistency of overriding competent treatment refusals with article 3.</w:t>
      </w:r>
      <w:r>
        <w:t xml:space="preserve"> </w:t>
      </w:r>
      <w:r w:rsidRPr="004C6FAC">
        <w:t>Silber J instead held that those remarks were confined to their facts, rather than purporting to</w:t>
      </w:r>
      <w:r>
        <w:t xml:space="preserve"> </w:t>
      </w:r>
      <w:r w:rsidRPr="004C6FAC">
        <w:t>impose a uniform prohibition on mandatory psychiatric treatment of competent and refusing</w:t>
      </w:r>
      <w:r>
        <w:t xml:space="preserve"> </w:t>
      </w:r>
      <w:r w:rsidRPr="004C6FAC">
        <w:t xml:space="preserve">patients. He instead preferred the approach of Hale LJ (as she then was) in </w:t>
      </w:r>
      <w:r w:rsidRPr="004C6FAC">
        <w:rPr>
          <w:i/>
          <w:iCs/>
        </w:rPr>
        <w:t xml:space="preserve">Wilkinson </w:t>
      </w:r>
      <w:r w:rsidRPr="004C6FAC">
        <w:t>to the effect</w:t>
      </w:r>
      <w:r>
        <w:t xml:space="preserve"> </w:t>
      </w:r>
      <w:r w:rsidRPr="004C6FAC">
        <w:t>that precluding treatment without consent of persons with capacity would have the undesirable</w:t>
      </w:r>
      <w:r>
        <w:t xml:space="preserve"> </w:t>
      </w:r>
      <w:r w:rsidRPr="004C6FAC">
        <w:t>result of driving up the standard of capacity, and that the preferred approach was to maintain a</w:t>
      </w:r>
      <w:r>
        <w:t xml:space="preserve"> </w:t>
      </w:r>
      <w:r w:rsidRPr="004C6FAC">
        <w:t>lower standard of capacity but to allow occasional treatment of those with capacity. Hale LJ did</w:t>
      </w:r>
      <w:r>
        <w:t xml:space="preserve"> </w:t>
      </w:r>
      <w:proofErr w:type="gramStart"/>
      <w:r w:rsidRPr="004C6FAC">
        <w:t xml:space="preserve">not </w:t>
      </w:r>
      <w:r>
        <w:t xml:space="preserve"> s</w:t>
      </w:r>
      <w:r w:rsidRPr="004C6FAC">
        <w:t>ay</w:t>
      </w:r>
      <w:proofErr w:type="gramEnd"/>
      <w:r w:rsidRPr="004C6FAC">
        <w:t xml:space="preserve"> what threshold would be required to treat a competent patient without consent, but did</w:t>
      </w:r>
      <w:r>
        <w:t xml:space="preserve"> </w:t>
      </w:r>
      <w:r w:rsidRPr="004C6FAC">
        <w:t>hold that a requirement that the treatment be necessary to protect the patient or others was more</w:t>
      </w:r>
      <w:r>
        <w:t xml:space="preserve"> </w:t>
      </w:r>
      <w:r w:rsidRPr="004C6FAC">
        <w:t>stringent than necessary.</w:t>
      </w:r>
    </w:p>
    <w:p w:rsidR="004C6FAC" w:rsidRPr="004C6FAC" w:rsidRDefault="004C6FAC" w:rsidP="004C6FAC">
      <w:r w:rsidRPr="004C6FAC">
        <w:t>On this basis, the treatment was not sufficiently invasive to meet the minimum level of severity to</w:t>
      </w:r>
      <w:r>
        <w:t xml:space="preserve"> </w:t>
      </w:r>
      <w:r w:rsidRPr="004C6FAC">
        <w:t>engage article 3.</w:t>
      </w:r>
    </w:p>
    <w:p w:rsidR="004C6FAC" w:rsidRPr="004C6FAC" w:rsidRDefault="004C6FAC" w:rsidP="004C6FAC">
      <w:r w:rsidRPr="004C6FAC">
        <w:t>Further, PS had failed to demonstrate that the proposed treatment failed to meet the convincing</w:t>
      </w:r>
      <w:r>
        <w:t xml:space="preserve"> </w:t>
      </w:r>
      <w:r w:rsidRPr="004C6FAC">
        <w:t>medical or therapeutic evidence threshold. The Court considered two approaches to this question,</w:t>
      </w:r>
      <w:r>
        <w:t xml:space="preserve"> </w:t>
      </w:r>
      <w:r w:rsidRPr="004C6FAC">
        <w:t>without expressing a preference between them. In one, the question of therapeutic threshold was</w:t>
      </w:r>
      <w:r>
        <w:t xml:space="preserve"> </w:t>
      </w:r>
      <w:r w:rsidRPr="004C6FAC">
        <w:t>considered as a single ‘simple’ question: had the proposed treatment been convincingly shown to</w:t>
      </w:r>
      <w:r>
        <w:t xml:space="preserve"> </w:t>
      </w:r>
      <w:r w:rsidRPr="004C6FAC">
        <w:t>be necessary? In the other, regard would be had to seven more specific questions:</w:t>
      </w:r>
    </w:p>
    <w:p w:rsidR="004C6FAC" w:rsidRDefault="004C6FAC" w:rsidP="004C6FAC">
      <w:pPr>
        <w:pStyle w:val="ListParagraph"/>
        <w:numPr>
          <w:ilvl w:val="0"/>
          <w:numId w:val="2"/>
        </w:numPr>
      </w:pPr>
      <w:r w:rsidRPr="004C6FAC">
        <w:t>how certain is it that the patient does suffer from a treatable mental disorder;</w:t>
      </w:r>
    </w:p>
    <w:p w:rsidR="004C6FAC" w:rsidRDefault="004C6FAC" w:rsidP="004C6FAC">
      <w:pPr>
        <w:pStyle w:val="ListParagraph"/>
        <w:numPr>
          <w:ilvl w:val="0"/>
          <w:numId w:val="2"/>
        </w:numPr>
      </w:pPr>
      <w:r w:rsidRPr="004C6FAC">
        <w:t>how serious a disorder is it;</w:t>
      </w:r>
    </w:p>
    <w:p w:rsidR="004C6FAC" w:rsidRDefault="004C6FAC" w:rsidP="004C6FAC">
      <w:pPr>
        <w:pStyle w:val="ListParagraph"/>
        <w:numPr>
          <w:ilvl w:val="0"/>
          <w:numId w:val="2"/>
        </w:numPr>
      </w:pPr>
      <w:r w:rsidRPr="004C6FAC">
        <w:t>how serious a risk is presented to others;</w:t>
      </w:r>
    </w:p>
    <w:p w:rsidR="004C6FAC" w:rsidRDefault="004C6FAC" w:rsidP="004C6FAC">
      <w:pPr>
        <w:pStyle w:val="ListParagraph"/>
        <w:numPr>
          <w:ilvl w:val="0"/>
          <w:numId w:val="2"/>
        </w:numPr>
      </w:pPr>
      <w:r w:rsidRPr="004C6FAC">
        <w:t>how likely is it that, if the patient does suffer from such a disorder, the proposed</w:t>
      </w:r>
      <w:r>
        <w:t xml:space="preserve"> </w:t>
      </w:r>
      <w:r w:rsidRPr="004C6FAC">
        <w:t>treatment will alleviate the condition;</w:t>
      </w:r>
    </w:p>
    <w:p w:rsidR="004C6FAC" w:rsidRDefault="004C6FAC" w:rsidP="004C6FAC">
      <w:pPr>
        <w:pStyle w:val="ListParagraph"/>
        <w:numPr>
          <w:ilvl w:val="0"/>
          <w:numId w:val="2"/>
        </w:numPr>
      </w:pPr>
      <w:r w:rsidRPr="004C6FAC">
        <w:t>how much alleviation is there likely to be;</w:t>
      </w:r>
    </w:p>
    <w:p w:rsidR="004C6FAC" w:rsidRDefault="004C6FAC" w:rsidP="004C6FAC">
      <w:pPr>
        <w:pStyle w:val="ListParagraph"/>
        <w:numPr>
          <w:ilvl w:val="0"/>
          <w:numId w:val="2"/>
        </w:numPr>
      </w:pPr>
      <w:r w:rsidRPr="004C6FAC">
        <w:t>how likely is it that the treatment would have adverse consequences to the patient;</w:t>
      </w:r>
    </w:p>
    <w:p w:rsidR="004C6FAC" w:rsidRPr="004C6FAC" w:rsidRDefault="004C6FAC" w:rsidP="004C6FAC">
      <w:pPr>
        <w:pStyle w:val="ListParagraph"/>
        <w:numPr>
          <w:ilvl w:val="0"/>
          <w:numId w:val="2"/>
        </w:numPr>
      </w:pPr>
      <w:proofErr w:type="gramStart"/>
      <w:r w:rsidRPr="004C6FAC">
        <w:t>how</w:t>
      </w:r>
      <w:proofErr w:type="gramEnd"/>
      <w:r w:rsidRPr="004C6FAC">
        <w:t xml:space="preserve"> severe may these adverse consequences be? [para 121]</w:t>
      </w:r>
    </w:p>
    <w:p w:rsidR="004C6FAC" w:rsidRPr="004C6FAC" w:rsidRDefault="004C6FAC" w:rsidP="004C6FAC">
      <w:r w:rsidRPr="004C6FAC">
        <w:t>A disagreement in medical opinion as to the necessity of treatment was relevant, but not</w:t>
      </w:r>
      <w:r>
        <w:t xml:space="preserve"> </w:t>
      </w:r>
      <w:r w:rsidRPr="004C6FAC">
        <w:t>determinative of the question of best interests or medical necessity. Relying on Hale LJ’s decision</w:t>
      </w:r>
      <w:r>
        <w:t xml:space="preserve"> </w:t>
      </w:r>
      <w:r w:rsidRPr="004C6FAC">
        <w:t xml:space="preserve">in </w:t>
      </w:r>
      <w:r w:rsidRPr="004C6FAC">
        <w:rPr>
          <w:i/>
          <w:iCs/>
        </w:rPr>
        <w:t>Wilkinson</w:t>
      </w:r>
      <w:r w:rsidRPr="004C6FAC">
        <w:t>, Silber J held that it was not necessary to show dangerousness to self or others in order</w:t>
      </w:r>
      <w:r>
        <w:t xml:space="preserve"> </w:t>
      </w:r>
      <w:r w:rsidRPr="004C6FAC">
        <w:t>to override the views of a competent and refusing patient, although such refusal was an important</w:t>
      </w:r>
      <w:r>
        <w:t xml:space="preserve"> </w:t>
      </w:r>
      <w:r w:rsidRPr="004C6FAC">
        <w:t>factor to be considered.</w:t>
      </w:r>
    </w:p>
    <w:p w:rsidR="004C6FAC" w:rsidRPr="004C6FAC" w:rsidRDefault="004C6FAC" w:rsidP="004C6FAC">
      <w:r w:rsidRPr="004C6FAC">
        <w:t>On the facts as the Court found them, it was clear that PS was suffering from schizophrenia, a</w:t>
      </w:r>
      <w:r>
        <w:t xml:space="preserve"> </w:t>
      </w:r>
      <w:r w:rsidRPr="004C6FAC">
        <w:t>treatable mental disorder. While this disorder would not put others at risk while PS was in the</w:t>
      </w:r>
      <w:r>
        <w:t xml:space="preserve"> </w:t>
      </w:r>
      <w:r w:rsidRPr="004C6FAC">
        <w:t>medium secure unit, if relapse occurred in the community ‘the risk of injury might well be great</w:t>
      </w:r>
      <w:r>
        <w:t xml:space="preserve"> </w:t>
      </w:r>
      <w:r w:rsidRPr="004C6FAC">
        <w:t xml:space="preserve">but nobody can be sure about it’. [125] </w:t>
      </w:r>
      <w:proofErr w:type="gramStart"/>
      <w:r w:rsidRPr="004C6FAC">
        <w:t>When</w:t>
      </w:r>
      <w:proofErr w:type="gramEnd"/>
      <w:r w:rsidRPr="004C6FAC">
        <w:t xml:space="preserve"> under stress, he behaved ‘bizarrely and</w:t>
      </w:r>
      <w:r>
        <w:t xml:space="preserve"> </w:t>
      </w:r>
      <w:r w:rsidRPr="004C6FAC">
        <w:t>unpredictably, thereby making him a potentially dangerous individual to himself and to others,</w:t>
      </w:r>
      <w:r>
        <w:t xml:space="preserve"> </w:t>
      </w:r>
      <w:r w:rsidRPr="004C6FAC">
        <w:t xml:space="preserve">particularly to those known to him’. [125] </w:t>
      </w:r>
      <w:proofErr w:type="gramStart"/>
      <w:r w:rsidRPr="004C6FAC">
        <w:t>On</w:t>
      </w:r>
      <w:proofErr w:type="gramEnd"/>
      <w:r w:rsidRPr="004C6FAC">
        <w:t xml:space="preserve"> the questions relating to alleviation, the Court held</w:t>
      </w:r>
      <w:r>
        <w:t xml:space="preserve"> </w:t>
      </w:r>
      <w:r w:rsidRPr="004C6FAC">
        <w:t>that Quetiapine was an appropriate treatment for schizophrenia. On the evidence of the treating</w:t>
      </w:r>
      <w:r>
        <w:t xml:space="preserve"> </w:t>
      </w:r>
      <w:r w:rsidRPr="004C6FAC">
        <w:t xml:space="preserve">physicians, there was a </w:t>
      </w:r>
      <w:r w:rsidRPr="004C6FAC">
        <w:lastRenderedPageBreak/>
        <w:t>‘good chance’ that the medication would prevent relapse or deterioration</w:t>
      </w:r>
      <w:r>
        <w:t xml:space="preserve"> </w:t>
      </w:r>
      <w:r w:rsidRPr="004C6FAC">
        <w:t xml:space="preserve">in PS’s condition. [126] </w:t>
      </w:r>
      <w:proofErr w:type="gramStart"/>
      <w:r w:rsidRPr="004C6FAC">
        <w:t>It</w:t>
      </w:r>
      <w:proofErr w:type="gramEnd"/>
      <w:r w:rsidRPr="004C6FAC">
        <w:t xml:space="preserve"> would also contribute to the suppression of PS’s residual persecutory</w:t>
      </w:r>
      <w:r>
        <w:t xml:space="preserve"> </w:t>
      </w:r>
      <w:r w:rsidRPr="004C6FAC">
        <w:t>ideas, making him more accessible to therapy and thus potentially more insightful into his</w:t>
      </w:r>
      <w:r>
        <w:t xml:space="preserve"> </w:t>
      </w:r>
      <w:r w:rsidRPr="004C6FAC">
        <w:t>condition. As to adverse consequences, the treatment might be expected to cause weight loss and</w:t>
      </w:r>
      <w:r>
        <w:t xml:space="preserve"> </w:t>
      </w:r>
      <w:r w:rsidRPr="004C6FAC">
        <w:t>drowsiness, the latter reducing over time. If administered by injection, there would also be risks of</w:t>
      </w:r>
      <w:r>
        <w:t xml:space="preserve"> </w:t>
      </w:r>
      <w:r w:rsidRPr="004C6FAC">
        <w:t>sedation and neurological effects, but some of these could be controlled by additional medication,</w:t>
      </w:r>
      <w:r>
        <w:t xml:space="preserve"> </w:t>
      </w:r>
      <w:r w:rsidRPr="004C6FAC">
        <w:t>and in any event, PS would likely choose to take the medication orally rather than by injection, if</w:t>
      </w:r>
      <w:r>
        <w:t xml:space="preserve"> </w:t>
      </w:r>
      <w:r w:rsidRPr="004C6FAC">
        <w:t>the treatment were ordered by the Court.</w:t>
      </w:r>
    </w:p>
    <w:p w:rsidR="004C6FAC" w:rsidRPr="004C6FAC" w:rsidRDefault="004C6FAC" w:rsidP="004C6FAC">
      <w:r w:rsidRPr="004C6FAC">
        <w:t xml:space="preserve">Whether the </w:t>
      </w:r>
      <w:proofErr w:type="gramStart"/>
      <w:r w:rsidRPr="004C6FAC">
        <w:t>matter were</w:t>
      </w:r>
      <w:proofErr w:type="gramEnd"/>
      <w:r w:rsidRPr="004C6FAC">
        <w:t xml:space="preserve"> considered according to the seven sub-issues above, or as one single</w:t>
      </w:r>
      <w:r>
        <w:t xml:space="preserve"> </w:t>
      </w:r>
      <w:r w:rsidRPr="004C6FAC">
        <w:t>question, the proposed treatment met the therapeutic necessity threshold. PS’s claim therefore</w:t>
      </w:r>
      <w:r>
        <w:t xml:space="preserve"> </w:t>
      </w:r>
      <w:r w:rsidRPr="004C6FAC">
        <w:t>failed on this issue as well.</w:t>
      </w:r>
    </w:p>
    <w:p w:rsidR="004C6FAC" w:rsidRPr="004C6FAC" w:rsidRDefault="004C6FAC" w:rsidP="004C6FAC">
      <w:pPr>
        <w:rPr>
          <w:b/>
          <w:i/>
          <w:iCs/>
        </w:rPr>
      </w:pPr>
      <w:r w:rsidRPr="004C6FAC">
        <w:rPr>
          <w:b/>
          <w:i/>
          <w:iCs/>
        </w:rPr>
        <w:t>Article 8: The Right to Private Life</w:t>
      </w:r>
    </w:p>
    <w:p w:rsidR="004C6FAC" w:rsidRPr="004C6FAC" w:rsidRDefault="004C6FAC" w:rsidP="004C6FAC">
      <w:r w:rsidRPr="004C6FAC">
        <w:t>As with article 3, there was a level of severity which treatment must attain to engage article 8.</w:t>
      </w:r>
      <w:r>
        <w:t xml:space="preserve"> </w:t>
      </w:r>
      <w:r w:rsidRPr="004C6FAC">
        <w:t>This level of severity was not as high as under article 3, and would often be reached when a</w:t>
      </w:r>
      <w:r>
        <w:t xml:space="preserve"> </w:t>
      </w:r>
      <w:r w:rsidRPr="004C6FAC">
        <w:t>competent patient was treated without consent. The Court assumed without deciding that this</w:t>
      </w:r>
      <w:r>
        <w:t xml:space="preserve"> </w:t>
      </w:r>
      <w:r w:rsidRPr="004C6FAC">
        <w:t>threshold had been met in this case.</w:t>
      </w:r>
    </w:p>
    <w:p w:rsidR="004C6FAC" w:rsidRPr="004C6FAC" w:rsidRDefault="004C6FAC" w:rsidP="004C6FAC">
      <w:r w:rsidRPr="004C6FAC">
        <w:t>Such intrusions would nonetheless be justified under article 8(2) if ‘necessary in a democratic</w:t>
      </w:r>
      <w:r>
        <w:t xml:space="preserve"> </w:t>
      </w:r>
      <w:r w:rsidRPr="004C6FAC">
        <w:t>society … for the protection of health’ and ‘in accordance with law’. Such interventions would be</w:t>
      </w:r>
      <w:r>
        <w:t xml:space="preserve"> </w:t>
      </w:r>
      <w:r w:rsidRPr="004C6FAC">
        <w:t>considered necessary, if they corresponded to a pressing social need, if they were proportionate to</w:t>
      </w:r>
      <w:r>
        <w:t xml:space="preserve"> </w:t>
      </w:r>
      <w:r w:rsidRPr="004C6FAC">
        <w:t>the legitimate aim pursued, and if the reasons presented by the national government were relevant</w:t>
      </w:r>
      <w:r>
        <w:t xml:space="preserve"> </w:t>
      </w:r>
      <w:r w:rsidRPr="004C6FAC">
        <w:t>and sufficient. In this case, the proposed medication would be likely to lead to the rehabilitation</w:t>
      </w:r>
      <w:r>
        <w:t xml:space="preserve"> </w:t>
      </w:r>
      <w:r w:rsidRPr="004C6FAC">
        <w:t>and release of PS, rather than his continued incarceration. It would improve his mental health, and</w:t>
      </w:r>
      <w:r>
        <w:t xml:space="preserve"> </w:t>
      </w:r>
      <w:r w:rsidRPr="004C6FAC">
        <w:t>protect against relapse. It was therefore necessary within the terms of article 8(2).</w:t>
      </w:r>
    </w:p>
    <w:p w:rsidR="004C6FAC" w:rsidRPr="004C6FAC" w:rsidRDefault="004C6FAC" w:rsidP="004C6FAC">
      <w:r w:rsidRPr="004C6FAC">
        <w:t>Silber J also held that the treatment was in accordance with law, as it complied with the test of best</w:t>
      </w:r>
      <w:r>
        <w:t xml:space="preserve"> </w:t>
      </w:r>
      <w:r w:rsidRPr="004C6FAC">
        <w:t xml:space="preserve">interests laid down in cases such as </w:t>
      </w:r>
      <w:r w:rsidRPr="004C6FAC">
        <w:rPr>
          <w:i/>
          <w:iCs/>
        </w:rPr>
        <w:t>Re F (Mental Patient: Sterilisation)</w:t>
      </w:r>
      <w:r w:rsidR="007F76FA">
        <w:rPr>
          <w:rStyle w:val="FootnoteReference"/>
          <w:i/>
          <w:iCs/>
        </w:rPr>
        <w:footnoteReference w:id="4"/>
      </w:r>
      <w:r w:rsidRPr="004C6FAC">
        <w:t xml:space="preserve">, and </w:t>
      </w:r>
      <w:r w:rsidRPr="004C6FAC">
        <w:rPr>
          <w:i/>
          <w:iCs/>
        </w:rPr>
        <w:t>Re S (Adult Patient’s Best</w:t>
      </w:r>
      <w:r>
        <w:rPr>
          <w:i/>
          <w:iCs/>
        </w:rPr>
        <w:t xml:space="preserve"> </w:t>
      </w:r>
      <w:r w:rsidRPr="004C6FAC">
        <w:rPr>
          <w:i/>
          <w:iCs/>
        </w:rPr>
        <w:t>Interests)</w:t>
      </w:r>
      <w:r w:rsidR="007F76FA">
        <w:rPr>
          <w:rStyle w:val="FootnoteReference"/>
          <w:i/>
          <w:iCs/>
        </w:rPr>
        <w:footnoteReference w:id="5"/>
      </w:r>
      <w:r w:rsidRPr="004C6FAC">
        <w:t>. This was determined by a two stage process: was the proposed treatment consistent with a</w:t>
      </w:r>
      <w:r>
        <w:t xml:space="preserve"> </w:t>
      </w:r>
      <w:r w:rsidRPr="004C6FAC">
        <w:t>reasonably competent body of medical opinion; and was it the best option available?</w:t>
      </w:r>
      <w:r>
        <w:t xml:space="preserve"> </w:t>
      </w:r>
      <w:r w:rsidRPr="004C6FAC">
        <w:t>The proposed treatment in PS’s case clearly met the first criterion. The second criterion was to be</w:t>
      </w:r>
      <w:r>
        <w:t xml:space="preserve"> </w:t>
      </w:r>
      <w:r w:rsidRPr="004C6FAC">
        <w:t>determined by consideration of the efficacy of the proposed treatment, the availability of alternative</w:t>
      </w:r>
      <w:r>
        <w:t xml:space="preserve"> </w:t>
      </w:r>
      <w:r w:rsidRPr="004C6FAC">
        <w:t>treatments, and the necessity of the treatment’s administration. In this case, the treatment was likely</w:t>
      </w:r>
      <w:r>
        <w:t xml:space="preserve"> </w:t>
      </w:r>
      <w:r w:rsidRPr="004C6FAC">
        <w:t>to alleviate PS’s condition, and there was further no less invasive form of treatment that could be</w:t>
      </w:r>
      <w:r>
        <w:t xml:space="preserve"> </w:t>
      </w:r>
      <w:r w:rsidRPr="004C6FAC">
        <w:t>given. The matter of necessity in this best interests context was to be considered according to the</w:t>
      </w:r>
      <w:r>
        <w:t xml:space="preserve"> </w:t>
      </w:r>
      <w:r w:rsidRPr="004C6FAC">
        <w:t>following factors: (a) the patient’s resistance to treatment; (b) the degree to which the treatment would</w:t>
      </w:r>
      <w:r>
        <w:t xml:space="preserve"> </w:t>
      </w:r>
      <w:r w:rsidRPr="004C6FAC">
        <w:t>alleviate or prevent a deterioration of the patient’s condition; (c) the risk the patient presents to</w:t>
      </w:r>
      <w:r>
        <w:t xml:space="preserve"> </w:t>
      </w:r>
      <w:r w:rsidRPr="004C6FAC">
        <w:t>himself; (d) the risk he presents to others; (e) the consequences if treatment were not given; and (f)</w:t>
      </w:r>
      <w:r>
        <w:t xml:space="preserve"> </w:t>
      </w:r>
      <w:r w:rsidRPr="004C6FAC">
        <w:t>any adverse effects of the treatment. In this case, if the treatment were authorised by the Court PS</w:t>
      </w:r>
      <w:r>
        <w:t xml:space="preserve"> </w:t>
      </w:r>
      <w:r w:rsidRPr="004C6FAC">
        <w:t>would likely consent to its administration other than by depot, and the treatment would alleviate his</w:t>
      </w:r>
      <w:r w:rsidR="007F76FA">
        <w:t xml:space="preserve"> </w:t>
      </w:r>
      <w:r w:rsidRPr="004C6FAC">
        <w:t xml:space="preserve">condition. He further presented a risk to himself and others if in the community, under stress, </w:t>
      </w:r>
      <w:r w:rsidRPr="004C6FAC">
        <w:lastRenderedPageBreak/>
        <w:t>and</w:t>
      </w:r>
      <w:r w:rsidR="007F76FA">
        <w:t xml:space="preserve"> </w:t>
      </w:r>
      <w:r w:rsidRPr="004C6FAC">
        <w:t>untreated. If untreated, he would be unlikely to be discharged, and if discharged, would be unable</w:t>
      </w:r>
      <w:r w:rsidR="007F76FA">
        <w:t xml:space="preserve"> </w:t>
      </w:r>
      <w:r w:rsidRPr="004C6FAC">
        <w:t>to cope in the community. The adverse effects of the medication would be minimal. [145]</w:t>
      </w:r>
    </w:p>
    <w:p w:rsidR="004C6FAC" w:rsidRPr="004C6FAC" w:rsidRDefault="004C6FAC" w:rsidP="004C6FAC">
      <w:r w:rsidRPr="004C6FAC">
        <w:t>The proposed treatment met the test of proportionality: it had considerable benefits, with minimal</w:t>
      </w:r>
      <w:r w:rsidR="007F76FA">
        <w:t xml:space="preserve"> </w:t>
      </w:r>
      <w:r w:rsidRPr="004C6FAC">
        <w:t>adverse consequences.</w:t>
      </w:r>
    </w:p>
    <w:p w:rsidR="00F43C12" w:rsidRDefault="004C6FAC" w:rsidP="004C6FAC">
      <w:r w:rsidRPr="004C6FAC">
        <w:t>The proposed treatment was therefore not in violation of article 8.</w:t>
      </w:r>
    </w:p>
    <w:p w:rsidR="007F76FA" w:rsidRPr="007F76FA" w:rsidRDefault="007F76FA" w:rsidP="007F76FA">
      <w:pPr>
        <w:rPr>
          <w:b/>
          <w:i/>
          <w:iCs/>
        </w:rPr>
      </w:pPr>
      <w:r w:rsidRPr="007F76FA">
        <w:rPr>
          <w:b/>
          <w:i/>
          <w:iCs/>
        </w:rPr>
        <w:t>The Article 14 Issue: Freedom from discriminatory application of Convention rights</w:t>
      </w:r>
    </w:p>
    <w:p w:rsidR="007F76FA" w:rsidRPr="007F76FA" w:rsidRDefault="007F76FA" w:rsidP="007F76FA">
      <w:r w:rsidRPr="007F76FA">
        <w:t>The question of discrimination was considered according to the following four questions, drawn</w:t>
      </w:r>
      <w:r>
        <w:t xml:space="preserve"> </w:t>
      </w:r>
      <w:r w:rsidRPr="007F76FA">
        <w:t xml:space="preserve">from </w:t>
      </w:r>
      <w:proofErr w:type="spellStart"/>
      <w:r w:rsidRPr="007F76FA">
        <w:rPr>
          <w:i/>
          <w:iCs/>
        </w:rPr>
        <w:t>Wandsworth</w:t>
      </w:r>
      <w:proofErr w:type="spellEnd"/>
      <w:r w:rsidRPr="007F76FA">
        <w:rPr>
          <w:i/>
          <w:iCs/>
        </w:rPr>
        <w:t xml:space="preserve"> LBC v </w:t>
      </w:r>
      <w:proofErr w:type="spellStart"/>
      <w:r w:rsidRPr="007F76FA">
        <w:rPr>
          <w:i/>
          <w:iCs/>
        </w:rPr>
        <w:t>Michalak</w:t>
      </w:r>
      <w:proofErr w:type="spellEnd"/>
      <w:r>
        <w:rPr>
          <w:rStyle w:val="FootnoteReference"/>
          <w:i/>
          <w:iCs/>
        </w:rPr>
        <w:footnoteReference w:id="6"/>
      </w:r>
      <w:r w:rsidRPr="007F76FA">
        <w:t>:</w:t>
      </w:r>
    </w:p>
    <w:p w:rsidR="007F76FA" w:rsidRDefault="007F76FA" w:rsidP="007F76FA">
      <w:pPr>
        <w:pStyle w:val="ListParagraph"/>
        <w:numPr>
          <w:ilvl w:val="0"/>
          <w:numId w:val="3"/>
        </w:numPr>
      </w:pPr>
      <w:r w:rsidRPr="007F76FA">
        <w:t>Do the facts fall within the ambit of one or more of the substantive Convention</w:t>
      </w:r>
      <w:r>
        <w:t xml:space="preserve"> </w:t>
      </w:r>
      <w:r w:rsidRPr="007F76FA">
        <w:t>provisions?</w:t>
      </w:r>
    </w:p>
    <w:p w:rsidR="007F76FA" w:rsidRDefault="007F76FA" w:rsidP="007F76FA">
      <w:pPr>
        <w:pStyle w:val="ListParagraph"/>
        <w:numPr>
          <w:ilvl w:val="0"/>
          <w:numId w:val="3"/>
        </w:numPr>
      </w:pPr>
      <w:r w:rsidRPr="007F76FA">
        <w:t>If so, was there different treatment as respects that right between the complainant and</w:t>
      </w:r>
      <w:r>
        <w:t xml:space="preserve"> </w:t>
      </w:r>
      <w:r w:rsidRPr="007F76FA">
        <w:t>other persons put forward for comparison (the ‘chosen comparatives’)?</w:t>
      </w:r>
    </w:p>
    <w:p w:rsidR="007F76FA" w:rsidRDefault="007F76FA" w:rsidP="007F76FA">
      <w:pPr>
        <w:pStyle w:val="ListParagraph"/>
        <w:numPr>
          <w:ilvl w:val="0"/>
          <w:numId w:val="3"/>
        </w:numPr>
      </w:pPr>
      <w:r w:rsidRPr="007F76FA">
        <w:t>Were the chosen comparatives in an analogous situation to the complainant’s situation?</w:t>
      </w:r>
    </w:p>
    <w:p w:rsidR="007F76FA" w:rsidRPr="007F76FA" w:rsidRDefault="007F76FA" w:rsidP="007F76FA">
      <w:pPr>
        <w:pStyle w:val="ListParagraph"/>
        <w:numPr>
          <w:ilvl w:val="0"/>
          <w:numId w:val="3"/>
        </w:numPr>
      </w:pPr>
      <w:r w:rsidRPr="007F76FA">
        <w:t>If so, did the difference in treatment have an objective and reasonable justification? Did it</w:t>
      </w:r>
      <w:r>
        <w:t xml:space="preserve"> </w:t>
      </w:r>
      <w:r w:rsidRPr="007F76FA">
        <w:t>pursue a legitimate aim and did the differential treatment bear a reasonable relationship</w:t>
      </w:r>
      <w:r>
        <w:t xml:space="preserve"> </w:t>
      </w:r>
      <w:r w:rsidRPr="007F76FA">
        <w:t>of proportionality to the aim sought to be achieved?</w:t>
      </w:r>
    </w:p>
    <w:p w:rsidR="007F76FA" w:rsidRPr="007F76FA" w:rsidRDefault="007F76FA" w:rsidP="007F76FA">
      <w:r w:rsidRPr="007F76FA">
        <w:t xml:space="preserve">The comparative chosen by PS in this case was drawn from the case of </w:t>
      </w:r>
      <w:r w:rsidRPr="007F76FA">
        <w:rPr>
          <w:i/>
          <w:iCs/>
        </w:rPr>
        <w:t>Re W</w:t>
      </w:r>
      <w:r>
        <w:rPr>
          <w:rStyle w:val="FootnoteReference"/>
          <w:i/>
          <w:iCs/>
        </w:rPr>
        <w:footnoteReference w:id="7"/>
      </w:r>
      <w:r w:rsidRPr="007F76FA">
        <w:t>, a case involving a prisoner</w:t>
      </w:r>
      <w:r>
        <w:t xml:space="preserve"> </w:t>
      </w:r>
      <w:r w:rsidRPr="007F76FA">
        <w:t>with a mental disorder who was not within the scope of the Mental Health Act as his psychopathy was</w:t>
      </w:r>
      <w:r>
        <w:t xml:space="preserve"> </w:t>
      </w:r>
      <w:r w:rsidRPr="007F76FA">
        <w:t>held to be non-treatable. It was held in that case that he could refuse treatment to wounds caused by</w:t>
      </w:r>
      <w:r>
        <w:t xml:space="preserve"> </w:t>
      </w:r>
      <w:r w:rsidRPr="007F76FA">
        <w:t>self-harm, even though his decisions were considered irrational or indeed manipulative, as it was</w:t>
      </w:r>
      <w:r>
        <w:t xml:space="preserve"> </w:t>
      </w:r>
      <w:r w:rsidRPr="007F76FA">
        <w:t>thought that he was using these refusals in an attempt to forced his transfer to a hospital.</w:t>
      </w:r>
    </w:p>
    <w:p w:rsidR="007F76FA" w:rsidRPr="007F76FA" w:rsidRDefault="007F76FA" w:rsidP="007F76FA">
      <w:r w:rsidRPr="007F76FA">
        <w:t>Silber J held that the comparative was not in an analogous situation to PS. Unlike PS, W was not</w:t>
      </w:r>
      <w:r>
        <w:t xml:space="preserve"> </w:t>
      </w:r>
      <w:r w:rsidRPr="007F76FA">
        <w:t>treatable, and therefore outside the remit of the Mental Health Act. The fact that PS could be</w:t>
      </w:r>
      <w:r>
        <w:t xml:space="preserve"> </w:t>
      </w:r>
      <w:r w:rsidRPr="007F76FA">
        <w:t xml:space="preserve">treated for his condition, but </w:t>
      </w:r>
      <w:proofErr w:type="spellStart"/>
      <w:r w:rsidRPr="007F76FA">
        <w:t>W</w:t>
      </w:r>
      <w:proofErr w:type="spellEnd"/>
      <w:r w:rsidRPr="007F76FA">
        <w:t xml:space="preserve"> could not be, justified a totally different approach to the issue of</w:t>
      </w:r>
      <w:r>
        <w:t xml:space="preserve"> </w:t>
      </w:r>
      <w:r w:rsidRPr="007F76FA">
        <w:t>administering treatment. The requirements of (c) and (d) above were not met, therefore.</w:t>
      </w:r>
    </w:p>
    <w:p w:rsidR="007F76FA" w:rsidRPr="007F76FA" w:rsidRDefault="007F76FA" w:rsidP="007F76FA">
      <w:pPr>
        <w:rPr>
          <w:b/>
          <w:i/>
          <w:iCs/>
        </w:rPr>
      </w:pPr>
      <w:r w:rsidRPr="007F76FA">
        <w:rPr>
          <w:b/>
          <w:i/>
          <w:iCs/>
        </w:rPr>
        <w:t>Conclusion</w:t>
      </w:r>
    </w:p>
    <w:p w:rsidR="007F76FA" w:rsidRDefault="007F76FA" w:rsidP="007F76FA">
      <w:r w:rsidRPr="007F76FA">
        <w:t>As a result, the proposed treatment of PS would not violate his Convention rights.</w:t>
      </w:r>
    </w:p>
    <w:p w:rsidR="007F76FA" w:rsidRPr="007F76FA" w:rsidRDefault="007F76FA" w:rsidP="007F76FA"/>
    <w:p w:rsidR="007F76FA" w:rsidRPr="007F76FA" w:rsidRDefault="007F76FA" w:rsidP="007F76FA">
      <w:pPr>
        <w:rPr>
          <w:b/>
          <w:bCs/>
          <w:sz w:val="24"/>
        </w:rPr>
      </w:pPr>
      <w:r w:rsidRPr="007F76FA">
        <w:rPr>
          <w:b/>
          <w:bCs/>
          <w:sz w:val="24"/>
        </w:rPr>
        <w:t>Discussion</w:t>
      </w:r>
    </w:p>
    <w:p w:rsidR="007F76FA" w:rsidRPr="007F76FA" w:rsidRDefault="007F76FA" w:rsidP="007F76FA">
      <w:pPr>
        <w:rPr>
          <w:b/>
          <w:i/>
          <w:iCs/>
        </w:rPr>
      </w:pPr>
      <w:r w:rsidRPr="007F76FA">
        <w:rPr>
          <w:b/>
          <w:i/>
          <w:iCs/>
        </w:rPr>
        <w:t>The Findings of Fact</w:t>
      </w:r>
    </w:p>
    <w:p w:rsidR="007F76FA" w:rsidRPr="007F76FA" w:rsidRDefault="007F76FA" w:rsidP="007F76FA">
      <w:r w:rsidRPr="007F76FA">
        <w:t xml:space="preserve">The </w:t>
      </w:r>
      <w:proofErr w:type="gramStart"/>
      <w:r w:rsidRPr="007F76FA">
        <w:t>approach of Silber J to the findings of fact in this case reflect</w:t>
      </w:r>
      <w:proofErr w:type="gramEnd"/>
      <w:r w:rsidRPr="007F76FA">
        <w:t xml:space="preserve"> tensions in prior case law both in</w:t>
      </w:r>
      <w:r>
        <w:t xml:space="preserve"> </w:t>
      </w:r>
      <w:r w:rsidRPr="007F76FA">
        <w:t>the application of the Human Rights Act to compulsory treatment, and in medical law more generally.</w:t>
      </w:r>
    </w:p>
    <w:p w:rsidR="007F76FA" w:rsidRPr="007F76FA" w:rsidRDefault="007F76FA" w:rsidP="007F76FA">
      <w:r w:rsidRPr="007F76FA">
        <w:lastRenderedPageBreak/>
        <w:t>The underlying position of Silber J is that while the court in this case had to determine for itself</w:t>
      </w:r>
      <w:r>
        <w:t xml:space="preserve"> </w:t>
      </w:r>
      <w:r w:rsidRPr="007F76FA">
        <w:t>the disputed facts, ‘it must not be overlooked that the court’s role is essentially one of review’ [5].</w:t>
      </w:r>
      <w:r>
        <w:t xml:space="preserve"> </w:t>
      </w:r>
      <w:r w:rsidRPr="007F76FA">
        <w:t xml:space="preserve">On this point, His Lordship relies on </w:t>
      </w:r>
      <w:r w:rsidRPr="007F76FA">
        <w:rPr>
          <w:i/>
          <w:iCs/>
        </w:rPr>
        <w:t>R (N) v. Dr M</w:t>
      </w:r>
      <w:r w:rsidRPr="007F76FA">
        <w:t xml:space="preserve">, which in turn purports to rely on </w:t>
      </w:r>
      <w:r w:rsidRPr="007F76FA">
        <w:rPr>
          <w:i/>
          <w:iCs/>
        </w:rPr>
        <w:t>Wilkinson</w:t>
      </w:r>
      <w:r w:rsidRPr="007F76FA">
        <w:t>.</w:t>
      </w:r>
    </w:p>
    <w:p w:rsidR="007F76FA" w:rsidRDefault="007F76FA" w:rsidP="007F76FA">
      <w:r w:rsidRPr="007F76FA">
        <w:t xml:space="preserve">In </w:t>
      </w:r>
      <w:r w:rsidRPr="007F76FA">
        <w:rPr>
          <w:i/>
          <w:iCs/>
        </w:rPr>
        <w:t>Wilkinson</w:t>
      </w:r>
      <w:r w:rsidRPr="007F76FA">
        <w:t>, the Court of Appeal was impressed by the argument that a claim regarding unjustified</w:t>
      </w:r>
      <w:r>
        <w:t xml:space="preserve"> </w:t>
      </w:r>
      <w:r w:rsidRPr="007F76FA">
        <w:t>treatment could be brought by way of judicial review or battery. If the case were brought through</w:t>
      </w:r>
      <w:r>
        <w:t xml:space="preserve"> </w:t>
      </w:r>
      <w:r w:rsidRPr="007F76FA">
        <w:t>standard civil law channels, a full assessment of the evidence would be necessary. The Court held</w:t>
      </w:r>
      <w:r>
        <w:t xml:space="preserve"> </w:t>
      </w:r>
      <w:r w:rsidRPr="007F76FA">
        <w:t xml:space="preserve">that when rights under the Human Rights Act were at issue, the form of the action ought </w:t>
      </w:r>
      <w:proofErr w:type="gramStart"/>
      <w:r w:rsidRPr="007F76FA">
        <w:t>not</w:t>
      </w:r>
      <w:proofErr w:type="gramEnd"/>
      <w:r w:rsidRPr="007F76FA">
        <w:t xml:space="preserve"> be</w:t>
      </w:r>
      <w:r>
        <w:t xml:space="preserve"> </w:t>
      </w:r>
      <w:r w:rsidRPr="007F76FA">
        <w:t>relevant to the level of judicial scrutiny of facts. [</w:t>
      </w:r>
      <w:r w:rsidRPr="007F76FA">
        <w:rPr>
          <w:i/>
          <w:iCs/>
        </w:rPr>
        <w:t xml:space="preserve">Wilkinson </w:t>
      </w:r>
      <w:r w:rsidRPr="007F76FA">
        <w:t xml:space="preserve">at 24, 51, 62] </w:t>
      </w:r>
      <w:proofErr w:type="spellStart"/>
      <w:r w:rsidRPr="007F76FA">
        <w:t>Where as</w:t>
      </w:r>
      <w:proofErr w:type="spellEnd"/>
      <w:r w:rsidRPr="007F76FA">
        <w:t xml:space="preserve"> here there is no</w:t>
      </w:r>
      <w:r>
        <w:t xml:space="preserve"> </w:t>
      </w:r>
      <w:r w:rsidRPr="007F76FA">
        <w:t>prior judicial forum that considers the matter, Simon Brown J expressly found that the failure of</w:t>
      </w:r>
      <w:r>
        <w:t xml:space="preserve"> </w:t>
      </w:r>
      <w:r w:rsidRPr="007F76FA">
        <w:t>the court to reach its own, independent view of disputed factual questions would constitute a</w:t>
      </w:r>
      <w:r>
        <w:t xml:space="preserve"> </w:t>
      </w:r>
      <w:r w:rsidRPr="007F76FA">
        <w:t>breach of article 6 of the Convention [at 35].</w:t>
      </w:r>
    </w:p>
    <w:p w:rsidR="00612BE7" w:rsidRPr="00612BE7" w:rsidRDefault="00612BE7" w:rsidP="00612BE7">
      <w:r w:rsidRPr="00612BE7">
        <w:rPr>
          <w:i/>
          <w:iCs/>
        </w:rPr>
        <w:t xml:space="preserve">R (N) </w:t>
      </w:r>
      <w:r w:rsidRPr="00612BE7">
        <w:t>does not exactly dissent from those views, but after reciting them it does add a paragraph</w:t>
      </w:r>
      <w:r>
        <w:t xml:space="preserve"> </w:t>
      </w:r>
      <w:r w:rsidRPr="00612BE7">
        <w:t>stating that ‘</w:t>
      </w:r>
      <w:r w:rsidRPr="00612BE7">
        <w:rPr>
          <w:i/>
          <w:iCs/>
        </w:rPr>
        <w:t xml:space="preserve">Wilkinson </w:t>
      </w:r>
      <w:r w:rsidRPr="00612BE7">
        <w:t>should not be regarded as a charter for routine applications to the court for</w:t>
      </w:r>
      <w:r>
        <w:t xml:space="preserve"> </w:t>
      </w:r>
      <w:r w:rsidRPr="00612BE7">
        <w:t>oral evidence in human rights cases generally’ and, in the passage cited by Silber J, that the court’s</w:t>
      </w:r>
      <w:r>
        <w:t xml:space="preserve"> </w:t>
      </w:r>
      <w:r w:rsidRPr="00612BE7">
        <w:t>role is essentially one of review. [39] The two aspects of these comments are not the same, and it</w:t>
      </w:r>
      <w:r>
        <w:t xml:space="preserve"> </w:t>
      </w:r>
      <w:r w:rsidRPr="00612BE7">
        <w:t xml:space="preserve">is not clear how they are meant to be read within the context of </w:t>
      </w:r>
      <w:r w:rsidRPr="00612BE7">
        <w:rPr>
          <w:i/>
          <w:iCs/>
        </w:rPr>
        <w:t>Wilkinson</w:t>
      </w:r>
      <w:r w:rsidRPr="00612BE7">
        <w:t>. Insofar as the point is</w:t>
      </w:r>
      <w:r>
        <w:t xml:space="preserve"> </w:t>
      </w:r>
      <w:r w:rsidRPr="00612BE7">
        <w:t>that there will be many cases where relevant facts will not be disputed, and thus where resort to</w:t>
      </w:r>
      <w:r>
        <w:t xml:space="preserve"> </w:t>
      </w:r>
      <w:r w:rsidRPr="00612BE7">
        <w:t>cross-examination will not be necessary, it is unobjectionable. Rights under the Human Rights Act</w:t>
      </w:r>
      <w:r>
        <w:t xml:space="preserve"> </w:t>
      </w:r>
      <w:r w:rsidRPr="00612BE7">
        <w:t>regarding enforced treatment are further unusual in a mental health context, as (unlike, for</w:t>
      </w:r>
      <w:r>
        <w:t xml:space="preserve"> </w:t>
      </w:r>
      <w:r w:rsidRPr="00612BE7">
        <w:t>example, psychiatric confinement) there is no tribunal review or other judicial process prior</w:t>
      </w:r>
      <w:r>
        <w:t xml:space="preserve"> </w:t>
      </w:r>
      <w:r w:rsidRPr="00612BE7">
        <w:t>proceedings before the Administrative Court. Insofar as the point of the comments is that cross</w:t>
      </w:r>
      <w:r>
        <w:t>-</w:t>
      </w:r>
      <w:r w:rsidRPr="00612BE7">
        <w:t>examination</w:t>
      </w:r>
      <w:r>
        <w:t xml:space="preserve"> </w:t>
      </w:r>
      <w:r w:rsidRPr="00612BE7">
        <w:t>on judicial review should not be viewed as carte blanche for a second kick at the</w:t>
      </w:r>
      <w:r>
        <w:t xml:space="preserve"> </w:t>
      </w:r>
      <w:r w:rsidRPr="00612BE7">
        <w:t>factual cat after an oral hearing elsewhere, it is also reasonable enough. Insofar however as the</w:t>
      </w:r>
      <w:r>
        <w:t xml:space="preserve"> </w:t>
      </w:r>
      <w:r w:rsidRPr="00612BE7">
        <w:t>comments suggest a different standard of scrutiny as regards disputed facts that have not been</w:t>
      </w:r>
      <w:r>
        <w:t xml:space="preserve"> </w:t>
      </w:r>
      <w:r w:rsidRPr="00612BE7">
        <w:t xml:space="preserve">judicially determined elsewhere, it is difficult to see that they are consistent with </w:t>
      </w:r>
      <w:r w:rsidRPr="00612BE7">
        <w:rPr>
          <w:i/>
          <w:iCs/>
        </w:rPr>
        <w:t>Wilkinson</w:t>
      </w:r>
      <w:r w:rsidRPr="00612BE7">
        <w:t>.</w:t>
      </w:r>
    </w:p>
    <w:p w:rsidR="00612BE7" w:rsidRPr="00612BE7" w:rsidRDefault="00612BE7" w:rsidP="00612BE7">
      <w:r w:rsidRPr="00612BE7">
        <w:t xml:space="preserve">This set of issues is relevant in </w:t>
      </w:r>
      <w:r w:rsidRPr="00612BE7">
        <w:rPr>
          <w:i/>
          <w:iCs/>
        </w:rPr>
        <w:t xml:space="preserve">PS </w:t>
      </w:r>
      <w:r w:rsidRPr="00612BE7">
        <w:t>because of the court’s approach to the finding of facts. Certainly,</w:t>
      </w:r>
      <w:r>
        <w:t xml:space="preserve"> </w:t>
      </w:r>
      <w:r w:rsidRPr="00612BE7">
        <w:t>the Court allowed oral evidence based on the affidavits of the medical experts; indeed, almost half</w:t>
      </w:r>
      <w:r>
        <w:t xml:space="preserve"> </w:t>
      </w:r>
      <w:r w:rsidRPr="00612BE7">
        <w:t xml:space="preserve">of the judgment is devoted to recitations of the factual evidence. The Court’s </w:t>
      </w:r>
      <w:proofErr w:type="gramStart"/>
      <w:r w:rsidRPr="00612BE7">
        <w:t>articulation of the</w:t>
      </w:r>
      <w:r>
        <w:t xml:space="preserve"> </w:t>
      </w:r>
      <w:r w:rsidRPr="00612BE7">
        <w:t>findings of fact, however, resemble</w:t>
      </w:r>
      <w:proofErr w:type="gramEnd"/>
      <w:r w:rsidRPr="00612BE7">
        <w:t xml:space="preserve"> traditional judicial review, rather than the substantive</w:t>
      </w:r>
      <w:r>
        <w:t xml:space="preserve"> </w:t>
      </w:r>
      <w:r w:rsidRPr="00612BE7">
        <w:t xml:space="preserve">assessment required by </w:t>
      </w:r>
      <w:r w:rsidRPr="00612BE7">
        <w:rPr>
          <w:i/>
          <w:iCs/>
        </w:rPr>
        <w:t>Wilkinson</w:t>
      </w:r>
      <w:r w:rsidRPr="00612BE7">
        <w:t>: they are based on findings of witness credibility, rather than</w:t>
      </w:r>
      <w:r>
        <w:t xml:space="preserve"> </w:t>
      </w:r>
      <w:r w:rsidRPr="00612BE7">
        <w:t>engagement with the substantive content of the witnesses’ testimony. [81–95] A variety of</w:t>
      </w:r>
      <w:r>
        <w:t xml:space="preserve"> </w:t>
      </w:r>
      <w:r w:rsidRPr="00612BE7">
        <w:t>criticisms might fairly be levelled at this approach.</w:t>
      </w:r>
    </w:p>
    <w:p w:rsidR="00612BE7" w:rsidRPr="00612BE7" w:rsidRDefault="00612BE7" w:rsidP="00612BE7">
      <w:r w:rsidRPr="00612BE7">
        <w:t>The Court identifies deference to the views of the treating physicians as its starting point. [82, 84]</w:t>
      </w:r>
      <w:r>
        <w:t xml:space="preserve"> </w:t>
      </w:r>
      <w:r w:rsidRPr="00612BE7">
        <w:t xml:space="preserve">In this, the Court is following the approach of </w:t>
      </w:r>
      <w:r w:rsidRPr="00612BE7">
        <w:rPr>
          <w:i/>
          <w:iCs/>
        </w:rPr>
        <w:t>R (N)</w:t>
      </w:r>
      <w:r w:rsidRPr="00612BE7">
        <w:t>: ‘Courts are likely to pay very particular</w:t>
      </w:r>
      <w:r>
        <w:t xml:space="preserve"> </w:t>
      </w:r>
      <w:r w:rsidRPr="00612BE7">
        <w:t>regard to the views held by those specifically charged with the patient’s care.’ [38] In human rights</w:t>
      </w:r>
      <w:r>
        <w:t xml:space="preserve"> </w:t>
      </w:r>
      <w:r w:rsidRPr="00612BE7">
        <w:t>terms, this is at best a peculiar starting point. It suggests that the factual basis of whether a basic</w:t>
      </w:r>
      <w:r>
        <w:t xml:space="preserve"> </w:t>
      </w:r>
      <w:r w:rsidRPr="00612BE7">
        <w:t>human right has been violated will be determined by privileging the views of the alleged violator</w:t>
      </w:r>
      <w:r>
        <w:t xml:space="preserve"> </w:t>
      </w:r>
      <w:r w:rsidRPr="00612BE7">
        <w:t>of the right. This cannot be a general principle of human rights law: we would not similarly defer</w:t>
      </w:r>
      <w:r>
        <w:t xml:space="preserve"> </w:t>
      </w:r>
      <w:r w:rsidRPr="00612BE7">
        <w:t xml:space="preserve">to the views of alleged torturers in determining an article 3 violation. Can </w:t>
      </w:r>
      <w:proofErr w:type="gramStart"/>
      <w:r w:rsidRPr="00612BE7">
        <w:t>treating</w:t>
      </w:r>
      <w:proofErr w:type="gramEnd"/>
      <w:r w:rsidRPr="00612BE7">
        <w:t xml:space="preserve"> physicians be</w:t>
      </w:r>
      <w:r>
        <w:t xml:space="preserve"> </w:t>
      </w:r>
      <w:r w:rsidRPr="00612BE7">
        <w:t>meaningfully distinguished from other alleged violators of rights, such as would warrant the</w:t>
      </w:r>
      <w:r>
        <w:t xml:space="preserve"> </w:t>
      </w:r>
      <w:r w:rsidRPr="00612BE7">
        <w:t>deference proposed by the courts? Certainly, we may reasonably hope and expect that physicians</w:t>
      </w:r>
      <w:r>
        <w:t xml:space="preserve"> </w:t>
      </w:r>
      <w:r w:rsidRPr="00612BE7">
        <w:t>are motivated by benevolence, but good faith does not guarantee compliance with the Human</w:t>
      </w:r>
      <w:r>
        <w:t xml:space="preserve"> </w:t>
      </w:r>
      <w:r w:rsidRPr="00612BE7">
        <w:t xml:space="preserve">Rights Act. Few if any </w:t>
      </w:r>
      <w:r w:rsidRPr="00612BE7">
        <w:lastRenderedPageBreak/>
        <w:t>treating physicians, one hopes, are intentionally dishonest in their court</w:t>
      </w:r>
      <w:r>
        <w:t xml:space="preserve"> </w:t>
      </w:r>
      <w:r w:rsidRPr="00612BE7">
        <w:t xml:space="preserve">testimony. The same must however apply to other </w:t>
      </w:r>
      <w:proofErr w:type="gramStart"/>
      <w:r w:rsidRPr="00612BE7">
        <w:t>witnesses,</w:t>
      </w:r>
      <w:proofErr w:type="gramEnd"/>
      <w:r w:rsidRPr="00612BE7">
        <w:t xml:space="preserve"> and the patient’s expert witness in</w:t>
      </w:r>
      <w:r>
        <w:t xml:space="preserve"> </w:t>
      </w:r>
      <w:r w:rsidRPr="00612BE7">
        <w:t>particular. If the integrity attaching to respected professionals is the justification for deference, it</w:t>
      </w:r>
      <w:r>
        <w:t xml:space="preserve"> </w:t>
      </w:r>
      <w:r w:rsidRPr="00612BE7">
        <w:t>should equally apply to expert witnesses testifying on behalf of the patient.</w:t>
      </w:r>
    </w:p>
    <w:p w:rsidR="00612BE7" w:rsidRDefault="00612BE7" w:rsidP="00612BE7">
      <w:r w:rsidRPr="00612BE7">
        <w:t>The RMO may have the benefit of an ongoing role regarding the patient, and this is identified as</w:t>
      </w:r>
      <w:r>
        <w:t xml:space="preserve"> </w:t>
      </w:r>
      <w:r w:rsidRPr="00612BE7">
        <w:t xml:space="preserve">relevant to the respect accorded to his or her testimony both in </w:t>
      </w:r>
      <w:r w:rsidRPr="00612BE7">
        <w:rPr>
          <w:i/>
          <w:iCs/>
        </w:rPr>
        <w:t xml:space="preserve">PS </w:t>
      </w:r>
      <w:r w:rsidRPr="00612BE7">
        <w:t xml:space="preserve">[84] and in </w:t>
      </w:r>
      <w:r w:rsidRPr="00612BE7">
        <w:rPr>
          <w:i/>
          <w:iCs/>
        </w:rPr>
        <w:t xml:space="preserve">R (N) </w:t>
      </w:r>
      <w:r w:rsidRPr="00612BE7">
        <w:t>[38]. It will</w:t>
      </w:r>
      <w:r>
        <w:t xml:space="preserve"> </w:t>
      </w:r>
      <w:r w:rsidRPr="00612BE7">
        <w:t>not always be the case that such an ongoing relationship exists, however. Particularly when an</w:t>
      </w:r>
      <w:r>
        <w:t xml:space="preserve"> </w:t>
      </w:r>
      <w:r w:rsidRPr="00612BE7">
        <w:t xml:space="preserve">individual is civilly admitted under Part II of the MHA, periods spent in hospital may be </w:t>
      </w:r>
      <w:proofErr w:type="gramStart"/>
      <w:r w:rsidRPr="00612BE7">
        <w:t>short,</w:t>
      </w:r>
      <w:proofErr w:type="gramEnd"/>
      <w:r>
        <w:t xml:space="preserve"> </w:t>
      </w:r>
      <w:r w:rsidRPr="00612BE7">
        <w:t>and patient-doctor relationships transient. There may also be implicit in the court’s reasoning a</w:t>
      </w:r>
      <w:r>
        <w:t xml:space="preserve"> </w:t>
      </w:r>
      <w:proofErr w:type="spellStart"/>
      <w:r w:rsidRPr="00612BE7">
        <w:t>romanticisation</w:t>
      </w:r>
      <w:proofErr w:type="spellEnd"/>
      <w:r w:rsidRPr="00612BE7">
        <w:t xml:space="preserve"> of the relationship between patient and doctor. Gone are the days, if they ever</w:t>
      </w:r>
      <w:r>
        <w:t xml:space="preserve"> </w:t>
      </w:r>
      <w:r w:rsidRPr="00612BE7">
        <w:t>existed, of low patient-doctor ratios and frequent and extensive patient-doctor consultations.</w:t>
      </w:r>
      <w:r>
        <w:t xml:space="preserve"> </w:t>
      </w:r>
      <w:r w:rsidRPr="00612BE7">
        <w:t>Determination of credibility by judicial fact-finders should not be naïve on these points.</w:t>
      </w:r>
    </w:p>
    <w:p w:rsidR="00CB453F" w:rsidRPr="00CB453F" w:rsidRDefault="00CB453F" w:rsidP="00CB453F">
      <w:r w:rsidRPr="00CB453F">
        <w:t>It is perhaps in any event unfortunate to base the deference to the views of treating physicians on</w:t>
      </w:r>
      <w:r>
        <w:t xml:space="preserve"> </w:t>
      </w:r>
      <w:r w:rsidRPr="00CB453F">
        <w:t>the relationship between patient and doctor, since the fact that the matter has ended up in court</w:t>
      </w:r>
      <w:r>
        <w:t xml:space="preserve"> </w:t>
      </w:r>
      <w:r w:rsidRPr="00CB453F">
        <w:t>suggests that this relationship has broken down. In this context, deference to the views of the</w:t>
      </w:r>
      <w:r>
        <w:t xml:space="preserve"> </w:t>
      </w:r>
      <w:r w:rsidRPr="00CB453F">
        <w:t>treating physicians places the patient at a considerable disadvantage. To be realistic, his or her</w:t>
      </w:r>
      <w:r>
        <w:t xml:space="preserve"> </w:t>
      </w:r>
      <w:r w:rsidRPr="00CB453F">
        <w:t>medical expert will generally be funded through the legal aid scheme, and will therefore have</w:t>
      </w:r>
      <w:r>
        <w:t xml:space="preserve"> </w:t>
      </w:r>
      <w:r w:rsidRPr="00CB453F">
        <w:t>become acquainted with the patient’s situation only recently. Indeed, the evidence of the patients’</w:t>
      </w:r>
      <w:r>
        <w:t xml:space="preserve"> </w:t>
      </w:r>
      <w:r w:rsidRPr="00CB453F">
        <w:t xml:space="preserve">experts in both </w:t>
      </w:r>
      <w:r w:rsidRPr="00CB453F">
        <w:rPr>
          <w:i/>
          <w:iCs/>
        </w:rPr>
        <w:t xml:space="preserve">PS </w:t>
      </w:r>
      <w:r w:rsidRPr="00CB453F">
        <w:t xml:space="preserve">[88] and </w:t>
      </w:r>
      <w:r w:rsidRPr="00CB453F">
        <w:rPr>
          <w:i/>
          <w:iCs/>
        </w:rPr>
        <w:t xml:space="preserve">R (N) </w:t>
      </w:r>
      <w:r w:rsidRPr="00CB453F">
        <w:t>[38] was criticised on precisely that basis. It is however difficult</w:t>
      </w:r>
      <w:r>
        <w:t xml:space="preserve"> </w:t>
      </w:r>
      <w:r w:rsidRPr="00CB453F">
        <w:t>to see that the patient can acquire expert evidence other than on this basis. Deference to the</w:t>
      </w:r>
      <w:r>
        <w:t xml:space="preserve"> </w:t>
      </w:r>
      <w:r w:rsidRPr="00CB453F">
        <w:t>evidence of treating physicians makes it almost impossible for the patient to challenge the factual</w:t>
      </w:r>
      <w:r>
        <w:t xml:space="preserve"> </w:t>
      </w:r>
      <w:r w:rsidRPr="00CB453F">
        <w:t>context presented by those physicians. The treating physicians are not necessarily emotionally</w:t>
      </w:r>
      <w:r>
        <w:t xml:space="preserve"> </w:t>
      </w:r>
      <w:r w:rsidRPr="00CB453F">
        <w:t>detached professionals in these situations. These are human rights claims, in which the treating</w:t>
      </w:r>
      <w:r>
        <w:t xml:space="preserve"> </w:t>
      </w:r>
      <w:r w:rsidRPr="00CB453F">
        <w:t>physicians are respondent parties. It is difficult to see that approaching factual assessments as a</w:t>
      </w:r>
      <w:r>
        <w:t xml:space="preserve"> </w:t>
      </w:r>
      <w:r w:rsidRPr="00CB453F">
        <w:t>matter of judicial review, with deference to the initial fact-finder and evidential practices that</w:t>
      </w:r>
      <w:r>
        <w:t xml:space="preserve"> </w:t>
      </w:r>
      <w:r w:rsidRPr="00CB453F">
        <w:t>marginalise the evidence offered on behalf of the patient offers a level playing field.</w:t>
      </w:r>
    </w:p>
    <w:p w:rsidR="00CB453F" w:rsidRPr="00CB453F" w:rsidRDefault="00CB453F" w:rsidP="00CB453F">
      <w:r w:rsidRPr="00CB453F">
        <w:t>The focus of the Court on the credibility of the various witnesses means that the Court does not</w:t>
      </w:r>
      <w:r>
        <w:t xml:space="preserve"> </w:t>
      </w:r>
      <w:r w:rsidRPr="00CB453F">
        <w:t>engage with the factual situation it is asked to decide. Credibility may be understood in various</w:t>
      </w:r>
      <w:r>
        <w:t xml:space="preserve"> </w:t>
      </w:r>
      <w:r w:rsidRPr="00CB453F">
        <w:t>ways. Certainly, there was no suggestion by anyone in the case that the medical witnesses were</w:t>
      </w:r>
      <w:r>
        <w:t xml:space="preserve"> </w:t>
      </w:r>
      <w:r w:rsidRPr="00CB453F">
        <w:t>acting dishonestly or in bad faith. There was further no suggestion that they had been remiss in</w:t>
      </w:r>
      <w:r>
        <w:t xml:space="preserve"> </w:t>
      </w:r>
      <w:r w:rsidRPr="00CB453F">
        <w:t>their recording of facts in the patient record; indeed, PS relied on aspects of that record to make</w:t>
      </w:r>
      <w:r>
        <w:t xml:space="preserve"> </w:t>
      </w:r>
      <w:r w:rsidRPr="00CB453F">
        <w:t>his case. In these senses, the treating physicians and those testifying on their behalf were agreed to</w:t>
      </w:r>
      <w:r>
        <w:t xml:space="preserve"> </w:t>
      </w:r>
      <w:r w:rsidRPr="00CB453F">
        <w:t>be credible. Such credibility does not necessarily imply agreement with their conclusions, however.</w:t>
      </w:r>
    </w:p>
    <w:p w:rsidR="00CB453F" w:rsidRPr="00CB453F" w:rsidRDefault="00CB453F" w:rsidP="00CB453F">
      <w:r w:rsidRPr="00CB453F">
        <w:t>PS made quite specific factual submissions. It was clear that PS had suffered from psychotic</w:t>
      </w:r>
      <w:r>
        <w:t xml:space="preserve"> </w:t>
      </w:r>
      <w:r w:rsidRPr="00CB453F">
        <w:t>symptoms in 1995 and 2002. A further apparent episode in 1999 was more difficult to analyse.</w:t>
      </w:r>
      <w:r>
        <w:t xml:space="preserve"> </w:t>
      </w:r>
      <w:r w:rsidRPr="00CB453F">
        <w:t>It occurred in December 1999. PS, who had become a fundamentalist Christian, believed that the</w:t>
      </w:r>
      <w:r>
        <w:t xml:space="preserve"> </w:t>
      </w:r>
      <w:r w:rsidRPr="00CB453F">
        <w:t>end of the world would occur at the end of that month, and that there would be major disasters</w:t>
      </w:r>
      <w:r>
        <w:t xml:space="preserve"> </w:t>
      </w:r>
      <w:r w:rsidRPr="00CB453F">
        <w:t>caused by computer failure at that time as well. Counsel for PS submitted that these were</w:t>
      </w:r>
      <w:r>
        <w:t xml:space="preserve"> </w:t>
      </w:r>
      <w:r w:rsidRPr="00CB453F">
        <w:t>consistent with fears of many non-psychotic people as 1 January 2000 approached. He further</w:t>
      </w:r>
      <w:r>
        <w:t xml:space="preserve"> </w:t>
      </w:r>
      <w:r w:rsidRPr="00CB453F">
        <w:t>submitted that the 1995 episode had been caused by an adverse reaction to Paroxetine, an antidepressant</w:t>
      </w:r>
      <w:r>
        <w:t xml:space="preserve"> </w:t>
      </w:r>
      <w:r w:rsidRPr="00CB453F">
        <w:t>medication that had been prescribed for PS. All the episodes in question resolved</w:t>
      </w:r>
      <w:r>
        <w:t xml:space="preserve"> </w:t>
      </w:r>
      <w:r w:rsidRPr="00CB453F">
        <w:t xml:space="preserve">themselves without </w:t>
      </w:r>
      <w:r w:rsidRPr="00CB453F">
        <w:lastRenderedPageBreak/>
        <w:t>medication. In the submission of PS’s counsel, PS suffered from an episodic</w:t>
      </w:r>
      <w:r>
        <w:t xml:space="preserve"> </w:t>
      </w:r>
      <w:r w:rsidRPr="00CB453F">
        <w:t>disorder that could be triggered by stress.</w:t>
      </w:r>
    </w:p>
    <w:p w:rsidR="002E44DB" w:rsidRPr="002E44DB" w:rsidRDefault="00CB453F" w:rsidP="002E44DB">
      <w:r w:rsidRPr="00CB453F">
        <w:t>The recitation of the facts in the judgment discloses much in the clinical records compiled by the</w:t>
      </w:r>
      <w:r>
        <w:t xml:space="preserve"> </w:t>
      </w:r>
      <w:r w:rsidRPr="00CB453F">
        <w:t>treating physicians to support this view. A few examples will give a flavour of the ambiguities.</w:t>
      </w:r>
      <w:r>
        <w:t xml:space="preserve"> </w:t>
      </w:r>
      <w:r w:rsidRPr="00CB453F">
        <w:t>The treating physician, B, in whom the Court placed such high regard, acknowledged in a report to</w:t>
      </w:r>
      <w:r>
        <w:t xml:space="preserve"> </w:t>
      </w:r>
      <w:r w:rsidRPr="00CB453F">
        <w:t>the MHRT in 1999 that the 1995 psychotic symptoms were consistent with an adverse effect of</w:t>
      </w:r>
      <w:r>
        <w:t xml:space="preserve"> </w:t>
      </w:r>
      <w:r w:rsidRPr="00CB453F">
        <w:t>Paroxetine. [36] For considerable periods of PS’s incarceration, the medical record notes that there</w:t>
      </w:r>
      <w:r>
        <w:t xml:space="preserve"> </w:t>
      </w:r>
      <w:r w:rsidRPr="00CB453F">
        <w:t>was no evidence of mental disorder. While the file notes evidence of ‘unreliability’ – specifically an</w:t>
      </w:r>
      <w:r>
        <w:t xml:space="preserve"> </w:t>
      </w:r>
      <w:r w:rsidRPr="00CB453F">
        <w:t>allegation that he was not truthful with B regarding his relationship with a parishioner in his church</w:t>
      </w:r>
      <w:r>
        <w:t xml:space="preserve"> </w:t>
      </w:r>
      <w:r w:rsidRPr="00CB453F">
        <w:t>– there is no evidence of psychosis identified in the factual summary of the case notes from 1995</w:t>
      </w:r>
      <w:r>
        <w:t xml:space="preserve"> </w:t>
      </w:r>
      <w:r w:rsidRPr="00CB453F">
        <w:t>to 1999. The concern at that time instead appears to have been a concern that PS had a ‘fragile</w:t>
      </w:r>
      <w:r>
        <w:t xml:space="preserve"> </w:t>
      </w:r>
      <w:r w:rsidRPr="00CB453F">
        <w:t>personality’ which might in conditions of stress result in a relapse of a depressive disorder, and a</w:t>
      </w:r>
      <w:r>
        <w:t xml:space="preserve"> </w:t>
      </w:r>
      <w:r w:rsidRPr="00CB453F">
        <w:t>lack of insight of PS into his condition. At Christmas, 1999, Dr Boyd, another of the doctors whose</w:t>
      </w:r>
      <w:r>
        <w:t xml:space="preserve"> </w:t>
      </w:r>
      <w:r w:rsidRPr="00CB453F">
        <w:t xml:space="preserve">evidence was given considerable respect by the Court, diagnosed ‘underlying </w:t>
      </w:r>
      <w:proofErr w:type="spellStart"/>
      <w:r w:rsidRPr="00CB453F">
        <w:t>schizophreniform</w:t>
      </w:r>
      <w:proofErr w:type="spellEnd"/>
      <w:r>
        <w:t xml:space="preserve"> </w:t>
      </w:r>
      <w:r w:rsidRPr="00CB453F">
        <w:t>illness’, [41] the diagnosis later provided by PS’s expert and rejected by the Court. The diagnosis of</w:t>
      </w:r>
      <w:r w:rsidR="002E44DB">
        <w:t xml:space="preserve"> </w:t>
      </w:r>
      <w:r w:rsidR="002E44DB" w:rsidRPr="002E44DB">
        <w:t>schizophrenia was not made until 2001, and then not by Dr Boyd, but by another consultant. Until</w:t>
      </w:r>
      <w:r w:rsidR="002E44DB">
        <w:t xml:space="preserve"> </w:t>
      </w:r>
      <w:r w:rsidR="002E44DB" w:rsidRPr="002E44DB">
        <w:t>speaking with that consultant at that time, she had been expecting to support PS’s application for</w:t>
      </w:r>
      <w:r w:rsidR="002E44DB">
        <w:t xml:space="preserve"> </w:t>
      </w:r>
      <w:r w:rsidR="002E44DB" w:rsidRPr="002E44DB">
        <w:t>a conditional discharge. After speaking with the consultant, she favoured continued detention and</w:t>
      </w:r>
      <w:r w:rsidR="002E44DB">
        <w:t xml:space="preserve"> </w:t>
      </w:r>
      <w:r w:rsidR="002E44DB" w:rsidRPr="002E44DB">
        <w:t>treatment instead. The nature of that conversation, and the specific reasons for her change of view,</w:t>
      </w:r>
      <w:r w:rsidR="002E44DB">
        <w:t xml:space="preserve"> </w:t>
      </w:r>
      <w:r w:rsidR="002E44DB" w:rsidRPr="002E44DB">
        <w:t>are never made clear in the factual findings.</w:t>
      </w:r>
    </w:p>
    <w:p w:rsidR="002E44DB" w:rsidRPr="002E44DB" w:rsidRDefault="002E44DB" w:rsidP="002E44DB">
      <w:r w:rsidRPr="002E44DB">
        <w:t>By the time of the court hearing, all of these doctors had moved to a diagnosis of schizophrenia.</w:t>
      </w:r>
      <w:r>
        <w:t xml:space="preserve"> </w:t>
      </w:r>
      <w:r w:rsidRPr="002E44DB">
        <w:t>This case note obviously cannot assess credibility of the evidence: the writer was not present at the</w:t>
      </w:r>
      <w:r>
        <w:t xml:space="preserve"> </w:t>
      </w:r>
      <w:r w:rsidRPr="002E44DB">
        <w:t>hearing. At the same time, given the changes and development in the views of the witnesses to</w:t>
      </w:r>
      <w:r>
        <w:t xml:space="preserve"> </w:t>
      </w:r>
      <w:r w:rsidRPr="002E44DB">
        <w:t>whom the court accords credibility, determination of the factual issues by stating that those</w:t>
      </w:r>
      <w:r>
        <w:t xml:space="preserve"> </w:t>
      </w:r>
      <w:r w:rsidRPr="002E44DB">
        <w:t>witnesses are credible is not convincing. They would presumably also have been credible when they</w:t>
      </w:r>
      <w:r>
        <w:t xml:space="preserve"> </w:t>
      </w:r>
      <w:r w:rsidRPr="002E44DB">
        <w:t>held their previous views. Had PS ended up in his expert witness’s hospital, would the court have</w:t>
      </w:r>
      <w:r>
        <w:t xml:space="preserve"> </w:t>
      </w:r>
      <w:r w:rsidRPr="002E44DB">
        <w:t>found that expert’s testimony more credible? The specific questions and issues raised by PS remain</w:t>
      </w:r>
      <w:r>
        <w:t xml:space="preserve"> </w:t>
      </w:r>
      <w:r w:rsidRPr="002E44DB">
        <w:t>largely unanswered. Their answer lies in the court engaging with the facts as they appear in the</w:t>
      </w:r>
      <w:r>
        <w:t xml:space="preserve"> </w:t>
      </w:r>
      <w:r w:rsidRPr="002E44DB">
        <w:t>medical record and the testimony, not in blanket findings of witness credibility.</w:t>
      </w:r>
    </w:p>
    <w:p w:rsidR="002E44DB" w:rsidRPr="002E44DB" w:rsidRDefault="002E44DB" w:rsidP="002E44DB">
      <w:pPr>
        <w:rPr>
          <w:b/>
          <w:i/>
          <w:iCs/>
        </w:rPr>
      </w:pPr>
      <w:r w:rsidRPr="002E44DB">
        <w:rPr>
          <w:b/>
          <w:i/>
          <w:iCs/>
        </w:rPr>
        <w:t>The Article 3 Issue</w:t>
      </w:r>
    </w:p>
    <w:p w:rsidR="002E44DB" w:rsidRPr="002E44DB" w:rsidRDefault="002E44DB" w:rsidP="002E44DB">
      <w:r w:rsidRPr="002E44DB">
        <w:t>Neither English nor Convention jurisprudence is in a settled state on the question of the rights of</w:t>
      </w:r>
      <w:r>
        <w:t xml:space="preserve"> </w:t>
      </w:r>
      <w:r w:rsidRPr="002E44DB">
        <w:t>competent patients who refuse psychiatric treatment. The Convention was concluded in 1950, and</w:t>
      </w:r>
      <w:r>
        <w:t xml:space="preserve"> </w:t>
      </w:r>
      <w:r w:rsidRPr="002E44DB">
        <w:t>came into effect three years later. There can be little doubt that that the rights of psychiatric</w:t>
      </w:r>
      <w:r>
        <w:t xml:space="preserve"> </w:t>
      </w:r>
      <w:r w:rsidRPr="002E44DB">
        <w:t>patients were not at the forefront of the minds of its drafters. Indeed, the lumping together in</w:t>
      </w:r>
      <w:r>
        <w:t xml:space="preserve"> </w:t>
      </w:r>
      <w:r w:rsidRPr="002E44DB">
        <w:t>article 5 of ‘persons of unsound mind’ with ‘alcoholics’, ‘drug addicts’ and ‘vagrants’ serves as a</w:t>
      </w:r>
      <w:r>
        <w:t xml:space="preserve"> </w:t>
      </w:r>
      <w:r w:rsidRPr="002E44DB">
        <w:t>salient reminder how attitudes to persons with psychiatric conditions have changed in the last half</w:t>
      </w:r>
      <w:r>
        <w:t xml:space="preserve"> </w:t>
      </w:r>
      <w:r w:rsidRPr="002E44DB">
        <w:t>century. It was more than a quarter of a century before the first case concerning mental disability</w:t>
      </w:r>
      <w:r>
        <w:t xml:space="preserve"> </w:t>
      </w:r>
      <w:r w:rsidRPr="002E44DB">
        <w:t>reached the Strasbourg court. From the mid-1990s there has been a considerable increase in the</w:t>
      </w:r>
      <w:r>
        <w:t xml:space="preserve"> </w:t>
      </w:r>
      <w:r w:rsidRPr="002E44DB">
        <w:t>Court’s caseload relating to mental disorder, but its jurisprudence remains in its relative infancy.</w:t>
      </w:r>
    </w:p>
    <w:p w:rsidR="002E44DB" w:rsidRPr="002E44DB" w:rsidRDefault="002E44DB" w:rsidP="002E44DB">
      <w:r w:rsidRPr="002E44DB">
        <w:t>The Strasbourg court has never squarely addressed the scope of the phrase ‘inhuman or degrading</w:t>
      </w:r>
      <w:r w:rsidR="002B30B5">
        <w:t xml:space="preserve"> </w:t>
      </w:r>
      <w:r w:rsidRPr="002E44DB">
        <w:t>treatment’ regarding the enforced psychiatric treatment of competent patients who refuse that</w:t>
      </w:r>
      <w:r w:rsidR="002B30B5">
        <w:t xml:space="preserve"> </w:t>
      </w:r>
      <w:r w:rsidRPr="002E44DB">
        <w:t>treatment. There is a brief decision of the European Commission of Human Rights, from the days</w:t>
      </w:r>
      <w:r w:rsidR="002B30B5">
        <w:t xml:space="preserve"> </w:t>
      </w:r>
      <w:r w:rsidRPr="002E44DB">
        <w:t xml:space="preserve">in </w:t>
      </w:r>
      <w:r w:rsidRPr="002E44DB">
        <w:lastRenderedPageBreak/>
        <w:t>which that body vetted cases prior to a hearing of the full court, in which the question was raised</w:t>
      </w:r>
      <w:r w:rsidR="002B30B5">
        <w:t xml:space="preserve"> </w:t>
      </w:r>
      <w:r w:rsidRPr="002E44DB">
        <w:t xml:space="preserve">and dismissed summarily: </w:t>
      </w:r>
      <w:proofErr w:type="spellStart"/>
      <w:r w:rsidRPr="002E44DB">
        <w:rPr>
          <w:i/>
          <w:iCs/>
        </w:rPr>
        <w:t>Grare</w:t>
      </w:r>
      <w:proofErr w:type="spellEnd"/>
      <w:r w:rsidRPr="002E44DB">
        <w:rPr>
          <w:i/>
          <w:iCs/>
        </w:rPr>
        <w:t xml:space="preserve"> v France</w:t>
      </w:r>
      <w:r w:rsidR="002B30B5">
        <w:rPr>
          <w:rStyle w:val="FootnoteReference"/>
          <w:i/>
          <w:iCs/>
        </w:rPr>
        <w:footnoteReference w:id="8"/>
      </w:r>
      <w:r w:rsidRPr="002E44DB">
        <w:t>. In that case, the treatment resulted in nervous shakes,</w:t>
      </w:r>
      <w:r w:rsidR="002B30B5">
        <w:t xml:space="preserve"> </w:t>
      </w:r>
      <w:r w:rsidRPr="002E44DB">
        <w:t>blurred vision and attention deficit, but in the view of the Commission nonetheless did not reach</w:t>
      </w:r>
      <w:r w:rsidR="002B30B5">
        <w:t xml:space="preserve"> </w:t>
      </w:r>
      <w:r w:rsidRPr="002E44DB">
        <w:t>the standard of gravity which would trigger article 3. The persuasive effect of this case is somewhat</w:t>
      </w:r>
      <w:r w:rsidR="002B30B5">
        <w:t xml:space="preserve"> </w:t>
      </w:r>
      <w:r w:rsidRPr="002E44DB">
        <w:t>limited: it is more than a decade old; it is not a decision of the Court; and there is no significant</w:t>
      </w:r>
      <w:r w:rsidR="002B30B5">
        <w:t xml:space="preserve"> </w:t>
      </w:r>
      <w:r w:rsidRPr="002E44DB">
        <w:t>analysis. The views of the Strasbourg court are thus a matter of speculation, based on analogy</w:t>
      </w:r>
      <w:r w:rsidR="002B30B5">
        <w:t xml:space="preserve"> </w:t>
      </w:r>
      <w:r w:rsidRPr="002E44DB">
        <w:t>from cases where the psychiatric patient lacked consent capacity (</w:t>
      </w:r>
      <w:proofErr w:type="spellStart"/>
      <w:proofErr w:type="gramStart"/>
      <w:r w:rsidRPr="002E44DB">
        <w:t>eg</w:t>
      </w:r>
      <w:proofErr w:type="spellEnd"/>
      <w:r w:rsidRPr="002E44DB">
        <w:t>.,</w:t>
      </w:r>
      <w:proofErr w:type="gramEnd"/>
      <w:r w:rsidRPr="002E44DB">
        <w:t xml:space="preserve"> </w:t>
      </w:r>
      <w:proofErr w:type="spellStart"/>
      <w:r w:rsidRPr="002E44DB">
        <w:rPr>
          <w:i/>
          <w:iCs/>
        </w:rPr>
        <w:t>Herczegfalvy</w:t>
      </w:r>
      <w:proofErr w:type="spellEnd"/>
      <w:r w:rsidRPr="002E44DB">
        <w:rPr>
          <w:i/>
          <w:iCs/>
        </w:rPr>
        <w:t xml:space="preserve"> v Austria</w:t>
      </w:r>
      <w:r w:rsidR="002B30B5">
        <w:rPr>
          <w:rStyle w:val="FootnoteReference"/>
          <w:i/>
          <w:iCs/>
        </w:rPr>
        <w:footnoteReference w:id="9"/>
      </w:r>
      <w:r w:rsidRPr="002E44DB">
        <w:t>) or</w:t>
      </w:r>
      <w:r w:rsidR="002B30B5">
        <w:t xml:space="preserve"> </w:t>
      </w:r>
      <w:r w:rsidRPr="002E44DB">
        <w:t>cases where allegedly inhuman or degrading treatment occurred outside a psychiatric context.</w:t>
      </w:r>
    </w:p>
    <w:p w:rsidR="002B30B5" w:rsidRPr="002B30B5" w:rsidRDefault="002E44DB" w:rsidP="002B30B5">
      <w:r w:rsidRPr="002E44DB">
        <w:t>Silber J applies a number of these cases to arrive at his two-pronged test for an article 3 violation,</w:t>
      </w:r>
      <w:r w:rsidR="002B30B5">
        <w:t xml:space="preserve"> </w:t>
      </w:r>
      <w:r w:rsidRPr="002E44DB">
        <w:t>that the allegedly offensive treatment must reach a minimum level of severity and that there must</w:t>
      </w:r>
      <w:r w:rsidR="002B30B5">
        <w:t xml:space="preserve"> </w:t>
      </w:r>
      <w:r w:rsidRPr="002E44DB">
        <w:t>be no convincing medical necessity for the treatment. While the factors cited by His Lordship</w:t>
      </w:r>
      <w:r w:rsidR="002B30B5">
        <w:t xml:space="preserve"> </w:t>
      </w:r>
      <w:r w:rsidRPr="002E44DB">
        <w:t>including medical necessity will no doubt be relevant to the determination of whether a treatment</w:t>
      </w:r>
      <w:r w:rsidR="002B30B5">
        <w:t xml:space="preserve"> </w:t>
      </w:r>
      <w:r w:rsidRPr="002E44DB">
        <w:t>violates article 3, the placement of medical necessity as a separate branch to assess an article 3</w:t>
      </w:r>
      <w:r w:rsidR="002B30B5">
        <w:t xml:space="preserve"> </w:t>
      </w:r>
      <w:r w:rsidRPr="002E44DB">
        <w:t>violation is inconsistent with the Convention jurisprudence. As noted by Silber J, the severity test</w:t>
      </w:r>
      <w:r w:rsidR="002B30B5">
        <w:t xml:space="preserve"> </w:t>
      </w:r>
      <w:r w:rsidR="002B30B5" w:rsidRPr="002B30B5">
        <w:t xml:space="preserve">already includes a variety of contextual factors, such as duration of the alleged </w:t>
      </w:r>
      <w:proofErr w:type="spellStart"/>
      <w:r w:rsidR="002B30B5" w:rsidRPr="002B30B5">
        <w:t>violative</w:t>
      </w:r>
      <w:proofErr w:type="spellEnd"/>
      <w:r w:rsidR="002B30B5" w:rsidRPr="002B30B5">
        <w:t xml:space="preserve"> action, its</w:t>
      </w:r>
      <w:r w:rsidR="002B30B5">
        <w:t xml:space="preserve"> </w:t>
      </w:r>
      <w:r w:rsidR="002B30B5" w:rsidRPr="002B30B5">
        <w:t>physical or mental effects, and the age, health and sex of the alleged victim. This is how it is</w:t>
      </w:r>
      <w:r w:rsidR="002B30B5">
        <w:t xml:space="preserve"> </w:t>
      </w:r>
      <w:r w:rsidR="002B30B5" w:rsidRPr="002B30B5">
        <w:t xml:space="preserve">determined whether acts are ‘inhuman’ or ‘degrading’: see, </w:t>
      </w:r>
      <w:proofErr w:type="spellStart"/>
      <w:proofErr w:type="gramStart"/>
      <w:r w:rsidR="002B30B5" w:rsidRPr="002B30B5">
        <w:t>eg</w:t>
      </w:r>
      <w:proofErr w:type="spellEnd"/>
      <w:r w:rsidR="002B30B5" w:rsidRPr="002B30B5">
        <w:t>.,</w:t>
      </w:r>
      <w:proofErr w:type="gramEnd"/>
      <w:r w:rsidR="002B30B5" w:rsidRPr="002B30B5">
        <w:t xml:space="preserve"> </w:t>
      </w:r>
      <w:r w:rsidR="002B30B5" w:rsidRPr="002B30B5">
        <w:rPr>
          <w:i/>
          <w:iCs/>
        </w:rPr>
        <w:t>Keenan v UK</w:t>
      </w:r>
      <w:r w:rsidR="000D256C">
        <w:rPr>
          <w:rStyle w:val="FootnoteReference"/>
          <w:i/>
          <w:iCs/>
        </w:rPr>
        <w:footnoteReference w:id="10"/>
      </w:r>
      <w:r w:rsidR="002B30B5" w:rsidRPr="002B30B5">
        <w:t xml:space="preserve">. </w:t>
      </w:r>
      <w:r w:rsidR="002B30B5" w:rsidRPr="002B30B5">
        <w:rPr>
          <w:i/>
          <w:iCs/>
        </w:rPr>
        <w:t xml:space="preserve">Keenan </w:t>
      </w:r>
      <w:r w:rsidR="002B30B5" w:rsidRPr="002B30B5">
        <w:t>notes that</w:t>
      </w:r>
      <w:r w:rsidR="002B30B5">
        <w:t xml:space="preserve"> </w:t>
      </w:r>
      <w:r w:rsidR="002B30B5" w:rsidRPr="002B30B5">
        <w:t>the severity test is determined according to all the facts of a case, and there is no reason that</w:t>
      </w:r>
      <w:r w:rsidR="002B30B5">
        <w:t xml:space="preserve"> </w:t>
      </w:r>
      <w:r w:rsidR="002B30B5" w:rsidRPr="002B30B5">
        <w:t>medical circumstances cannot be considered as part of this package. The placement of medical</w:t>
      </w:r>
      <w:r w:rsidR="002B30B5">
        <w:t xml:space="preserve"> </w:t>
      </w:r>
      <w:r w:rsidR="002B30B5" w:rsidRPr="002B30B5">
        <w:t>necessity as a second hurdle is however inconsistent with Convention jurisprudence, as it suggests</w:t>
      </w:r>
      <w:r w:rsidR="002B30B5">
        <w:t xml:space="preserve"> </w:t>
      </w:r>
      <w:r w:rsidR="002B30B5" w:rsidRPr="002B30B5">
        <w:t>that there is a defence available to the state when actions meet a level of severity to engage article</w:t>
      </w:r>
      <w:r w:rsidR="002B30B5">
        <w:t xml:space="preserve"> </w:t>
      </w:r>
      <w:r w:rsidR="002B30B5" w:rsidRPr="002B30B5">
        <w:t xml:space="preserve">3. This is not the case: the jurisprudence is clear that article 3 admits of no derogation: see, </w:t>
      </w:r>
      <w:proofErr w:type="spellStart"/>
      <w:proofErr w:type="gramStart"/>
      <w:r w:rsidR="002B30B5" w:rsidRPr="002B30B5">
        <w:t>eg</w:t>
      </w:r>
      <w:proofErr w:type="spellEnd"/>
      <w:r w:rsidR="002B30B5" w:rsidRPr="002B30B5">
        <w:t>.,</w:t>
      </w:r>
      <w:proofErr w:type="gramEnd"/>
      <w:r w:rsidR="002B30B5">
        <w:t xml:space="preserve"> </w:t>
      </w:r>
      <w:proofErr w:type="spellStart"/>
      <w:r w:rsidR="002B30B5" w:rsidRPr="002B30B5">
        <w:rPr>
          <w:i/>
          <w:iCs/>
        </w:rPr>
        <w:t>Aksoy</w:t>
      </w:r>
      <w:proofErr w:type="spellEnd"/>
      <w:r w:rsidR="002B30B5" w:rsidRPr="002B30B5">
        <w:rPr>
          <w:i/>
          <w:iCs/>
        </w:rPr>
        <w:t xml:space="preserve"> v Turkey</w:t>
      </w:r>
      <w:r w:rsidR="000D256C">
        <w:rPr>
          <w:rStyle w:val="FootnoteReference"/>
          <w:i/>
          <w:iCs/>
        </w:rPr>
        <w:footnoteReference w:id="11"/>
      </w:r>
      <w:r w:rsidR="002B30B5" w:rsidRPr="002B30B5">
        <w:t>. Silber J himself considers such a unified approach briefly at paragraph 130,</w:t>
      </w:r>
      <w:r w:rsidR="002B30B5">
        <w:t xml:space="preserve"> </w:t>
      </w:r>
      <w:r w:rsidR="002B30B5" w:rsidRPr="002B30B5">
        <w:t>holding that applying such an approach would still not result in a finding of an article 3 violation</w:t>
      </w:r>
      <w:r w:rsidR="002B30B5">
        <w:t xml:space="preserve"> </w:t>
      </w:r>
      <w:r w:rsidR="002B30B5" w:rsidRPr="002B30B5">
        <w:t>in this case. That is the stronger line of reasoning.</w:t>
      </w:r>
    </w:p>
    <w:p w:rsidR="002B30B5" w:rsidRPr="002B30B5" w:rsidRDefault="002B30B5" w:rsidP="002B30B5">
      <w:r w:rsidRPr="002B30B5">
        <w:t xml:space="preserve">The Court’s view on medical necessity appears to flow from a comment in </w:t>
      </w:r>
      <w:proofErr w:type="spellStart"/>
      <w:r w:rsidRPr="002B30B5">
        <w:rPr>
          <w:i/>
          <w:iCs/>
        </w:rPr>
        <w:t>Herczegfalvy</w:t>
      </w:r>
      <w:proofErr w:type="spellEnd"/>
      <w:r w:rsidRPr="002B30B5">
        <w:t>, the</w:t>
      </w:r>
      <w:r>
        <w:t xml:space="preserve"> </w:t>
      </w:r>
      <w:r w:rsidRPr="002B30B5">
        <w:t>interpretation of which is relevant both to whether medical necessity is a separate branch in the</w:t>
      </w:r>
      <w:r>
        <w:t xml:space="preserve"> </w:t>
      </w:r>
      <w:r w:rsidRPr="002B30B5">
        <w:t>determination of article 3 violations, and to the question of whether enforced psychiatric</w:t>
      </w:r>
      <w:r>
        <w:t xml:space="preserve"> </w:t>
      </w:r>
      <w:r w:rsidRPr="002B30B5">
        <w:t>treatment of competent patients violates a unified threshold of severity test:</w:t>
      </w:r>
    </w:p>
    <w:p w:rsidR="002B30B5" w:rsidRPr="002B30B5" w:rsidRDefault="002B30B5" w:rsidP="002B30B5">
      <w:pPr>
        <w:ind w:left="567" w:right="521"/>
        <w:rPr>
          <w:i/>
          <w:iCs/>
        </w:rPr>
      </w:pPr>
      <w:r w:rsidRPr="002B30B5">
        <w:t>‘</w:t>
      </w:r>
      <w:r w:rsidRPr="002B30B5">
        <w:rPr>
          <w:i/>
          <w:iCs/>
        </w:rPr>
        <w:t>The Court considers that the position of inferiority and powerlessness which is typical of patients</w:t>
      </w:r>
      <w:r>
        <w:rPr>
          <w:i/>
          <w:iCs/>
        </w:rPr>
        <w:t xml:space="preserve"> </w:t>
      </w:r>
      <w:r w:rsidRPr="002B30B5">
        <w:rPr>
          <w:i/>
          <w:iCs/>
        </w:rPr>
        <w:t>confined in psychiatric hospitals calls for increased vigilance in reviewing whether the Convention has</w:t>
      </w:r>
      <w:r>
        <w:rPr>
          <w:i/>
          <w:iCs/>
        </w:rPr>
        <w:t xml:space="preserve"> </w:t>
      </w:r>
      <w:r w:rsidRPr="002B30B5">
        <w:rPr>
          <w:i/>
          <w:iCs/>
        </w:rPr>
        <w:t>been complied with. While it is for the medical authorities to decide, on the basis of the recognisable</w:t>
      </w:r>
      <w:r>
        <w:rPr>
          <w:i/>
          <w:iCs/>
        </w:rPr>
        <w:t xml:space="preserve"> </w:t>
      </w:r>
      <w:r w:rsidRPr="002B30B5">
        <w:rPr>
          <w:i/>
          <w:iCs/>
        </w:rPr>
        <w:t>rules of medical science, on the therapeutic methods to be used, if necessary by force, to preserve the</w:t>
      </w:r>
      <w:r>
        <w:rPr>
          <w:i/>
          <w:iCs/>
        </w:rPr>
        <w:t xml:space="preserve"> </w:t>
      </w:r>
      <w:r w:rsidRPr="002B30B5">
        <w:rPr>
          <w:i/>
          <w:iCs/>
        </w:rPr>
        <w:t>physical and mental health of patients who are entirely incapable of deciding for themselves and for</w:t>
      </w:r>
      <w:r>
        <w:rPr>
          <w:i/>
          <w:iCs/>
        </w:rPr>
        <w:t xml:space="preserve"> </w:t>
      </w:r>
      <w:r w:rsidRPr="002B30B5">
        <w:rPr>
          <w:i/>
          <w:iCs/>
        </w:rPr>
        <w:t>whom they are responsible, such patients nevertheless remain under the protection of Article 3, the</w:t>
      </w:r>
      <w:r>
        <w:rPr>
          <w:i/>
          <w:iCs/>
        </w:rPr>
        <w:t xml:space="preserve"> </w:t>
      </w:r>
      <w:r w:rsidRPr="002B30B5">
        <w:rPr>
          <w:i/>
          <w:iCs/>
        </w:rPr>
        <w:t>requirements of which permit no derogation.</w:t>
      </w:r>
    </w:p>
    <w:p w:rsidR="002B30B5" w:rsidRPr="002B30B5" w:rsidRDefault="002B30B5" w:rsidP="002B30B5">
      <w:pPr>
        <w:ind w:left="567" w:right="521"/>
        <w:rPr>
          <w:i/>
          <w:iCs/>
        </w:rPr>
      </w:pPr>
      <w:r w:rsidRPr="002B30B5">
        <w:rPr>
          <w:i/>
          <w:iCs/>
        </w:rPr>
        <w:lastRenderedPageBreak/>
        <w:t>The established principles of medicine are admittedly in principle decisive in such cases; as a general</w:t>
      </w:r>
      <w:r>
        <w:rPr>
          <w:i/>
          <w:iCs/>
        </w:rPr>
        <w:t xml:space="preserve"> </w:t>
      </w:r>
      <w:r w:rsidRPr="002B30B5">
        <w:rPr>
          <w:i/>
          <w:iCs/>
        </w:rPr>
        <w:t>rule, a method which is a therapeutic necessity cannot be regarded as inhuman or degrading.’</w:t>
      </w:r>
      <w:r>
        <w:rPr>
          <w:i/>
          <w:iCs/>
        </w:rPr>
        <w:t xml:space="preserve"> </w:t>
      </w:r>
      <w:r w:rsidRPr="002B30B5">
        <w:rPr>
          <w:i/>
          <w:iCs/>
        </w:rPr>
        <w:t>[</w:t>
      </w:r>
      <w:proofErr w:type="spellStart"/>
      <w:r w:rsidRPr="002B30B5">
        <w:t>Herczegfalvy</w:t>
      </w:r>
      <w:proofErr w:type="spellEnd"/>
      <w:r w:rsidRPr="002B30B5">
        <w:t xml:space="preserve"> </w:t>
      </w:r>
      <w:r w:rsidRPr="002B30B5">
        <w:rPr>
          <w:i/>
          <w:iCs/>
        </w:rPr>
        <w:t>at 82, quoted in PS at 98]</w:t>
      </w:r>
    </w:p>
    <w:p w:rsidR="002B30B5" w:rsidRPr="002B30B5" w:rsidRDefault="002B30B5" w:rsidP="002B30B5">
      <w:r w:rsidRPr="002B30B5">
        <w:t>At paragraph 99, Silber J appears to raise the second paragraph of this quote to a general principle</w:t>
      </w:r>
      <w:r>
        <w:t xml:space="preserve"> </w:t>
      </w:r>
      <w:r w:rsidRPr="002B30B5">
        <w:t>regarding psychiatric treatment and article 3, re-quoting the sentence but deleting the phrase ‘in</w:t>
      </w:r>
      <w:r>
        <w:t xml:space="preserve"> </w:t>
      </w:r>
      <w:r w:rsidRPr="002B30B5">
        <w:t>such cases’. Even if Silber J is right to raise this to a general principle about psychiatric treatment,</w:t>
      </w:r>
      <w:r>
        <w:t xml:space="preserve"> </w:t>
      </w:r>
      <w:r w:rsidRPr="002B30B5">
        <w:t>it does not suggest the need to establish it as a second and separate hurdle to the severity test. It</w:t>
      </w:r>
      <w:r>
        <w:t xml:space="preserve"> </w:t>
      </w:r>
      <w:r w:rsidRPr="002B30B5">
        <w:t>merely suggests, as discussed above, that medical circumstances form a part of the determination</w:t>
      </w:r>
      <w:r>
        <w:t xml:space="preserve"> </w:t>
      </w:r>
      <w:r w:rsidRPr="002B30B5">
        <w:t>of severity.</w:t>
      </w:r>
    </w:p>
    <w:p w:rsidR="002B30B5" w:rsidRPr="002B30B5" w:rsidRDefault="002B30B5" w:rsidP="002B30B5">
      <w:r w:rsidRPr="002B30B5">
        <w:t>More difficult is whether the sentence can be raised to a general principle, as Silber J would seem</w:t>
      </w:r>
      <w:r>
        <w:t xml:space="preserve"> </w:t>
      </w:r>
      <w:r w:rsidRPr="002B30B5">
        <w:t>to suggest. The question turns on the interpretation of the phrase ‘in such cases’. The first sentence</w:t>
      </w:r>
      <w:r>
        <w:t xml:space="preserve"> </w:t>
      </w:r>
      <w:r w:rsidRPr="002B30B5">
        <w:t>in the first paragraph of the above quotation would appear to refer to people confined in</w:t>
      </w:r>
      <w:r>
        <w:t xml:space="preserve"> </w:t>
      </w:r>
      <w:r w:rsidRPr="002B30B5">
        <w:t>psychiatric facilities generally. If that is the reference, the Court’s view is plausible. The second</w:t>
      </w:r>
      <w:r>
        <w:t xml:space="preserve"> </w:t>
      </w:r>
      <w:r w:rsidRPr="002B30B5">
        <w:t xml:space="preserve">sentence refers to ‘those who are entirely incapable of deciding for </w:t>
      </w:r>
      <w:proofErr w:type="gramStart"/>
      <w:r w:rsidRPr="002B30B5">
        <w:t>themselves</w:t>
      </w:r>
      <w:proofErr w:type="gramEnd"/>
      <w:r w:rsidRPr="002B30B5">
        <w:t>’. If that is what is</w:t>
      </w:r>
      <w:r>
        <w:t xml:space="preserve"> </w:t>
      </w:r>
      <w:r w:rsidRPr="002B30B5">
        <w:t>meant by ‘such cases’, the reference is to individuals lacking capacity, and raising the second</w:t>
      </w:r>
      <w:r>
        <w:t xml:space="preserve"> </w:t>
      </w:r>
      <w:r w:rsidRPr="002B30B5">
        <w:t>paragraph to a general principle so as to include patients with capacity begs precisely the question</w:t>
      </w:r>
      <w:r>
        <w:t xml:space="preserve"> </w:t>
      </w:r>
      <w:r w:rsidRPr="002B30B5">
        <w:t xml:space="preserve">raised in the </w:t>
      </w:r>
      <w:r w:rsidRPr="002B30B5">
        <w:rPr>
          <w:i/>
          <w:iCs/>
        </w:rPr>
        <w:t xml:space="preserve">PS </w:t>
      </w:r>
      <w:r w:rsidRPr="002B30B5">
        <w:t>case.</w:t>
      </w:r>
    </w:p>
    <w:p w:rsidR="000D256C" w:rsidRPr="000D256C" w:rsidRDefault="002B30B5" w:rsidP="000D256C">
      <w:r w:rsidRPr="002B30B5">
        <w:t>Further guidance on the interpretation of the Convention article may perhaps be gained from the</w:t>
      </w:r>
      <w:r>
        <w:t xml:space="preserve"> </w:t>
      </w:r>
      <w:r w:rsidRPr="002B30B5">
        <w:t>2000 summary report of the Committee for the Prevention of Torture and Inhuman or Degrading</w:t>
      </w:r>
      <w:r w:rsidR="000D256C">
        <w:t xml:space="preserve"> </w:t>
      </w:r>
      <w:r w:rsidR="000D256C" w:rsidRPr="000D256C">
        <w:t xml:space="preserve">Treatment or Punishment (CPT), in a passage cited by Simon Brown LJ in </w:t>
      </w:r>
      <w:r w:rsidR="000D256C" w:rsidRPr="000D256C">
        <w:rPr>
          <w:i/>
          <w:iCs/>
        </w:rPr>
        <w:t xml:space="preserve">Wilkinson </w:t>
      </w:r>
      <w:r w:rsidR="000D256C" w:rsidRPr="000D256C">
        <w:t>but not</w:t>
      </w:r>
      <w:r w:rsidR="000D256C">
        <w:t xml:space="preserve"> </w:t>
      </w:r>
      <w:r w:rsidR="000D256C" w:rsidRPr="000D256C">
        <w:t xml:space="preserve">referred to by Silber J in </w:t>
      </w:r>
      <w:r w:rsidR="000D256C" w:rsidRPr="000D256C">
        <w:rPr>
          <w:i/>
          <w:iCs/>
        </w:rPr>
        <w:t>PS</w:t>
      </w:r>
      <w:r w:rsidR="000D256C" w:rsidRPr="000D256C">
        <w:t>:</w:t>
      </w:r>
    </w:p>
    <w:p w:rsidR="000D256C" w:rsidRPr="000D256C" w:rsidRDefault="000D256C" w:rsidP="000D256C">
      <w:pPr>
        <w:ind w:left="567" w:right="521"/>
      </w:pPr>
      <w:r w:rsidRPr="000D256C">
        <w:t>‘</w:t>
      </w:r>
      <w:r w:rsidRPr="000D256C">
        <w:rPr>
          <w:i/>
          <w:iCs/>
        </w:rPr>
        <w:t>Patients should, as a matter of principle, be placed in a position to give their free and informed consent</w:t>
      </w:r>
      <w:r>
        <w:rPr>
          <w:i/>
          <w:iCs/>
        </w:rPr>
        <w:t xml:space="preserve"> </w:t>
      </w:r>
      <w:r w:rsidRPr="000D256C">
        <w:rPr>
          <w:i/>
          <w:iCs/>
        </w:rPr>
        <w:t>to treatment. The admission of a person to a psychiatric establishment on an involuntary basis should</w:t>
      </w:r>
      <w:r>
        <w:rPr>
          <w:i/>
          <w:iCs/>
        </w:rPr>
        <w:t xml:space="preserve"> </w:t>
      </w:r>
      <w:r w:rsidRPr="000D256C">
        <w:rPr>
          <w:i/>
          <w:iCs/>
        </w:rPr>
        <w:t>not be construed as authorising treatment without his consent. It follows that every competent patient,</w:t>
      </w:r>
      <w:r>
        <w:rPr>
          <w:i/>
          <w:iCs/>
        </w:rPr>
        <w:t xml:space="preserve"> </w:t>
      </w:r>
      <w:r w:rsidRPr="000D256C">
        <w:rPr>
          <w:i/>
          <w:iCs/>
        </w:rPr>
        <w:t>whether voluntary or involuntary, should be given the opportunity to refuse treatment or other medical</w:t>
      </w:r>
      <w:r>
        <w:rPr>
          <w:i/>
          <w:iCs/>
        </w:rPr>
        <w:t xml:space="preserve"> </w:t>
      </w:r>
      <w:r w:rsidRPr="000D256C">
        <w:rPr>
          <w:i/>
          <w:iCs/>
        </w:rPr>
        <w:t>intervention. Any derogation from this fundamental principle should be based upon law and only relate</w:t>
      </w:r>
      <w:r>
        <w:rPr>
          <w:i/>
          <w:iCs/>
        </w:rPr>
        <w:t xml:space="preserve"> </w:t>
      </w:r>
      <w:r w:rsidRPr="000D256C">
        <w:rPr>
          <w:i/>
          <w:iCs/>
        </w:rPr>
        <w:t>to clearly and strictly defined exceptional circumstances.</w:t>
      </w:r>
      <w:r w:rsidRPr="000D256C">
        <w:t>’</w:t>
      </w:r>
      <w:r>
        <w:rPr>
          <w:rStyle w:val="FootnoteReference"/>
        </w:rPr>
        <w:footnoteReference w:id="12"/>
      </w:r>
    </w:p>
    <w:p w:rsidR="000D256C" w:rsidRPr="000D256C" w:rsidRDefault="000D256C" w:rsidP="000D256C">
      <w:r w:rsidRPr="000D256C">
        <w:t>This passage stops just short of saying that the overriding of a competent refusal of consent can</w:t>
      </w:r>
      <w:r>
        <w:t xml:space="preserve"> </w:t>
      </w:r>
      <w:r w:rsidRPr="000D256C">
        <w:t>never be justified. It would however appear to require ‘clearly and strictly defined exceptional</w:t>
      </w:r>
      <w:r>
        <w:t xml:space="preserve"> </w:t>
      </w:r>
      <w:r w:rsidRPr="000D256C">
        <w:t>circumstances’ for such an override, suggesting a level of specificity not obviously contained in</w:t>
      </w:r>
      <w:r>
        <w:t xml:space="preserve"> </w:t>
      </w:r>
      <w:r w:rsidRPr="000D256C">
        <w:t xml:space="preserve">either the relevant sections of the Mental Health Act or in the facts and reasoning of the </w:t>
      </w:r>
      <w:r w:rsidRPr="000D256C">
        <w:rPr>
          <w:i/>
          <w:iCs/>
        </w:rPr>
        <w:t xml:space="preserve">PS </w:t>
      </w:r>
      <w:r w:rsidRPr="000D256C">
        <w:t>case.</w:t>
      </w:r>
    </w:p>
    <w:p w:rsidR="000D256C" w:rsidRPr="000D256C" w:rsidRDefault="000D256C" w:rsidP="000D256C">
      <w:r w:rsidRPr="000D256C">
        <w:t>At the same time, the administrative context of the above passage must be acknowledged. The CPT</w:t>
      </w:r>
      <w:r>
        <w:t xml:space="preserve"> </w:t>
      </w:r>
      <w:r w:rsidRPr="000D256C">
        <w:t xml:space="preserve">is given the authority under </w:t>
      </w:r>
      <w:proofErr w:type="gramStart"/>
      <w:r w:rsidRPr="000D256C">
        <w:t>a the</w:t>
      </w:r>
      <w:proofErr w:type="gramEnd"/>
      <w:r w:rsidRPr="000D256C">
        <w:t xml:space="preserve"> Council of Europe treaty to conduct site visits to prevent article</w:t>
      </w:r>
      <w:r>
        <w:t xml:space="preserve"> </w:t>
      </w:r>
      <w:r w:rsidRPr="000D256C">
        <w:t>3 violations, but it is not the European Court of Human Rights. How far the Court will adopt the</w:t>
      </w:r>
      <w:r>
        <w:t xml:space="preserve"> </w:t>
      </w:r>
      <w:r w:rsidRPr="000D256C">
        <w:t>CPT’s approach on this question as yet remains a matter of conjecture. Certainly, the Court is</w:t>
      </w:r>
      <w:r>
        <w:t xml:space="preserve"> </w:t>
      </w:r>
      <w:r w:rsidRPr="000D256C">
        <w:t>hesitant to allow the imposition of force on those in institutions:</w:t>
      </w:r>
    </w:p>
    <w:p w:rsidR="000D256C" w:rsidRPr="000D256C" w:rsidRDefault="000D256C" w:rsidP="000D256C">
      <w:pPr>
        <w:ind w:left="567" w:right="521"/>
        <w:rPr>
          <w:i/>
          <w:iCs/>
        </w:rPr>
      </w:pPr>
      <w:r w:rsidRPr="000D256C">
        <w:t>‘</w:t>
      </w:r>
      <w:r w:rsidRPr="000D256C">
        <w:rPr>
          <w:i/>
          <w:iCs/>
        </w:rPr>
        <w:t>In any event, the Court reiterates that, in respect of a person deprived of his liberty, recourse to physical</w:t>
      </w:r>
      <w:r>
        <w:rPr>
          <w:i/>
          <w:iCs/>
        </w:rPr>
        <w:t xml:space="preserve"> </w:t>
      </w:r>
      <w:r w:rsidRPr="000D256C">
        <w:rPr>
          <w:i/>
          <w:iCs/>
        </w:rPr>
        <w:t xml:space="preserve">force which has not been made strictly necessary by his own conduct </w:t>
      </w:r>
      <w:r w:rsidRPr="000D256C">
        <w:rPr>
          <w:i/>
          <w:iCs/>
        </w:rPr>
        <w:lastRenderedPageBreak/>
        <w:t>diminishes human dignity and is in</w:t>
      </w:r>
      <w:r>
        <w:rPr>
          <w:i/>
          <w:iCs/>
        </w:rPr>
        <w:t xml:space="preserve"> </w:t>
      </w:r>
      <w:r w:rsidRPr="000D256C">
        <w:rPr>
          <w:i/>
          <w:iCs/>
        </w:rPr>
        <w:t>principle an infringement of the right set forth in Article 3.’ [</w:t>
      </w:r>
      <w:proofErr w:type="spellStart"/>
      <w:r w:rsidRPr="000D256C">
        <w:t>Selmouni</w:t>
      </w:r>
      <w:proofErr w:type="spellEnd"/>
      <w:r w:rsidRPr="000D256C">
        <w:t xml:space="preserve"> v France</w:t>
      </w:r>
      <w:r>
        <w:rPr>
          <w:rStyle w:val="FootnoteReference"/>
        </w:rPr>
        <w:footnoteReference w:id="13"/>
      </w:r>
      <w:r w:rsidRPr="000D256C">
        <w:rPr>
          <w:i/>
          <w:iCs/>
        </w:rPr>
        <w:t>]</w:t>
      </w:r>
    </w:p>
    <w:p w:rsidR="000D256C" w:rsidRPr="000D256C" w:rsidRDefault="000D256C" w:rsidP="000D256C">
      <w:r w:rsidRPr="000D256C">
        <w:t>This approach is most obvious in cases involving alleged violence or punishment of those in</w:t>
      </w:r>
      <w:r>
        <w:t xml:space="preserve"> </w:t>
      </w:r>
      <w:r w:rsidRPr="000D256C">
        <w:t>institutions. It is less obvious how the Court would apply it in a case of treatment refusal. Indeed,</w:t>
      </w:r>
      <w:r>
        <w:t xml:space="preserve"> </w:t>
      </w:r>
      <w:r w:rsidRPr="000D256C">
        <w:t>a separate line of comments makes it clear that in order to violate article 3, the force must go</w:t>
      </w:r>
      <w:r>
        <w:t xml:space="preserve"> </w:t>
      </w:r>
      <w:r w:rsidRPr="000D256C">
        <w:t>beyond that inevitable element of suffering or humiliation connected with a given form of</w:t>
      </w:r>
      <w:r>
        <w:t xml:space="preserve"> </w:t>
      </w:r>
      <w:r w:rsidRPr="000D256C">
        <w:t>legitimate treatment or punishment. [</w:t>
      </w:r>
      <w:proofErr w:type="spellStart"/>
      <w:r w:rsidRPr="000D256C">
        <w:rPr>
          <w:i/>
          <w:iCs/>
        </w:rPr>
        <w:t>Kudla</w:t>
      </w:r>
      <w:proofErr w:type="spellEnd"/>
      <w:r w:rsidRPr="000D256C">
        <w:rPr>
          <w:i/>
          <w:iCs/>
        </w:rPr>
        <w:t xml:space="preserve"> v Poland </w:t>
      </w:r>
      <w:r w:rsidRPr="000D256C">
        <w:t>(2000)</w:t>
      </w:r>
      <w:r>
        <w:rPr>
          <w:rStyle w:val="FootnoteReference"/>
        </w:rPr>
        <w:footnoteReference w:id="14"/>
      </w:r>
      <w:r w:rsidRPr="000D256C">
        <w:t>] That in turn raises the obvious and</w:t>
      </w:r>
      <w:r>
        <w:t xml:space="preserve"> </w:t>
      </w:r>
      <w:r w:rsidRPr="000D256C">
        <w:t>unanswered question of whether enforced psychiatric treatment of competent patients is</w:t>
      </w:r>
      <w:r>
        <w:t xml:space="preserve"> </w:t>
      </w:r>
      <w:r w:rsidRPr="000D256C">
        <w:t>‘legitimate’.</w:t>
      </w:r>
    </w:p>
    <w:p w:rsidR="00612BE7" w:rsidRDefault="000D256C" w:rsidP="000D256C">
      <w:r w:rsidRPr="000D256C">
        <w:t xml:space="preserve">English law is similarly uncertain in its reading of article 3 rights in a psychiatric context. </w:t>
      </w:r>
      <w:r w:rsidRPr="000D256C">
        <w:rPr>
          <w:i/>
          <w:iCs/>
        </w:rPr>
        <w:t xml:space="preserve">PS </w:t>
      </w:r>
      <w:r w:rsidRPr="000D256C">
        <w:t>is the</w:t>
      </w:r>
      <w:r>
        <w:t xml:space="preserve"> </w:t>
      </w:r>
      <w:r w:rsidRPr="000D256C">
        <w:t>first case squarely to raise the question in the context of a competent and refusing patient. As the</w:t>
      </w:r>
      <w:r>
        <w:t xml:space="preserve"> </w:t>
      </w:r>
      <w:r w:rsidRPr="000D256C">
        <w:t xml:space="preserve">judgment of Silber J suggests, the most important precedent is </w:t>
      </w:r>
      <w:r w:rsidRPr="000D256C">
        <w:rPr>
          <w:i/>
          <w:iCs/>
        </w:rPr>
        <w:t>Wilkinson</w:t>
      </w:r>
      <w:r w:rsidRPr="000D256C">
        <w:t>, and His Lordship’s</w:t>
      </w:r>
      <w:r>
        <w:t xml:space="preserve"> </w:t>
      </w:r>
      <w:r w:rsidRPr="000D256C">
        <w:t>reading of the decision of Hale LJ (as she then was) in that case is uncontroversial. Hale LJ’s</w:t>
      </w:r>
      <w:r>
        <w:t xml:space="preserve"> </w:t>
      </w:r>
      <w:r w:rsidRPr="000D256C">
        <w:t xml:space="preserve">concern in </w:t>
      </w:r>
      <w:r w:rsidRPr="000D256C">
        <w:rPr>
          <w:i/>
          <w:iCs/>
        </w:rPr>
        <w:t xml:space="preserve">Wilkinson </w:t>
      </w:r>
      <w:r w:rsidRPr="000D256C">
        <w:t>is that a finding that treatment cannot be enforced on a competent and</w:t>
      </w:r>
      <w:r>
        <w:t xml:space="preserve"> </w:t>
      </w:r>
      <w:r w:rsidRPr="000D256C">
        <w:t>refusing psychiatric patient would create pressure to raise the threshold of capacity in treatment</w:t>
      </w:r>
      <w:r>
        <w:t xml:space="preserve"> </w:t>
      </w:r>
      <w:r w:rsidRPr="000D256C">
        <w:t>matters generally. She therefore holds that while capacity may be becoming more relevant in</w:t>
      </w:r>
      <w:r>
        <w:t xml:space="preserve"> </w:t>
      </w:r>
      <w:r w:rsidRPr="000D256C">
        <w:t xml:space="preserve">psychiatric practice, it was </w:t>
      </w:r>
      <w:r w:rsidRPr="000D256C">
        <w:rPr>
          <w:i/>
          <w:iCs/>
        </w:rPr>
        <w:t xml:space="preserve">not </w:t>
      </w:r>
      <w:r w:rsidRPr="000D256C">
        <w:t>the case that treatment could only be imposed on a competent and</w:t>
      </w:r>
      <w:r>
        <w:t xml:space="preserve"> </w:t>
      </w:r>
      <w:r w:rsidRPr="000D256C">
        <w:t>refusing patient for the protection of others or for their own safety. This is, in essence, the decision</w:t>
      </w:r>
      <w:r>
        <w:t xml:space="preserve"> </w:t>
      </w:r>
      <w:r w:rsidRPr="000D256C">
        <w:t xml:space="preserve">of Silber LJ in </w:t>
      </w:r>
      <w:r w:rsidRPr="000D256C">
        <w:rPr>
          <w:i/>
          <w:iCs/>
        </w:rPr>
        <w:t>PS</w:t>
      </w:r>
      <w:r w:rsidRPr="000D256C">
        <w:t xml:space="preserve">: each case is to be determined on its facts, and in </w:t>
      </w:r>
      <w:r w:rsidRPr="000D256C">
        <w:rPr>
          <w:i/>
          <w:iCs/>
        </w:rPr>
        <w:t xml:space="preserve">PS </w:t>
      </w:r>
      <w:r w:rsidRPr="000D256C">
        <w:t>the facts did not give rise to</w:t>
      </w:r>
      <w:r>
        <w:t xml:space="preserve"> </w:t>
      </w:r>
      <w:r w:rsidRPr="000D256C">
        <w:t>a violation. The practical difficulty with this is that it tells us what the test is not (dangerousness),</w:t>
      </w:r>
      <w:r>
        <w:t xml:space="preserve"> </w:t>
      </w:r>
      <w:r w:rsidRPr="000D256C">
        <w:t>rather than what the test is. On the latter point, Hale LJ’s judgment is silent.</w:t>
      </w:r>
    </w:p>
    <w:p w:rsidR="000D256C" w:rsidRPr="000D256C" w:rsidRDefault="000D256C" w:rsidP="000D256C">
      <w:r w:rsidRPr="000D256C">
        <w:t xml:space="preserve">The reading by Silber J of Simon Brown LJ’s decision in </w:t>
      </w:r>
      <w:r w:rsidRPr="000D256C">
        <w:rPr>
          <w:i/>
          <w:iCs/>
        </w:rPr>
        <w:t xml:space="preserve">Wilkinson </w:t>
      </w:r>
      <w:r w:rsidRPr="000D256C">
        <w:t>is more controversial.</w:t>
      </w:r>
      <w:r w:rsidR="004E2A62">
        <w:t xml:space="preserve"> </w:t>
      </w:r>
      <w:r w:rsidRPr="000D256C">
        <w:t>Simon Brown LJ held:</w:t>
      </w:r>
    </w:p>
    <w:p w:rsidR="000D256C" w:rsidRPr="000D256C" w:rsidRDefault="000D256C" w:rsidP="004E2A62">
      <w:pPr>
        <w:ind w:left="567" w:right="521"/>
        <w:rPr>
          <w:i/>
          <w:iCs/>
        </w:rPr>
      </w:pPr>
      <w:r w:rsidRPr="000D256C">
        <w:t>‘</w:t>
      </w:r>
      <w:r w:rsidRPr="000D256C">
        <w:rPr>
          <w:i/>
          <w:iCs/>
        </w:rPr>
        <w:t>If in truth this appellant has the capacity to refuse consent to the treatment proposed here, it is difficult</w:t>
      </w:r>
      <w:r w:rsidR="004E2A62">
        <w:rPr>
          <w:i/>
          <w:iCs/>
        </w:rPr>
        <w:t xml:space="preserve"> </w:t>
      </w:r>
      <w:r w:rsidRPr="000D256C">
        <w:rPr>
          <w:i/>
          <w:iCs/>
        </w:rPr>
        <w:t>to suppose that he should nevertheless be forcibly subjected to it. True, Dr Horne appears to regard it as</w:t>
      </w:r>
      <w:r w:rsidR="004E2A62">
        <w:rPr>
          <w:i/>
          <w:iCs/>
        </w:rPr>
        <w:t xml:space="preserve"> </w:t>
      </w:r>
      <w:r w:rsidRPr="000D256C">
        <w:rPr>
          <w:i/>
          <w:iCs/>
        </w:rPr>
        <w:t>his only hope of eventual return to the community. That said, however, its impact on the appellant’s</w:t>
      </w:r>
      <w:r w:rsidR="004E2A62">
        <w:rPr>
          <w:i/>
          <w:iCs/>
        </w:rPr>
        <w:t xml:space="preserve"> </w:t>
      </w:r>
      <w:r w:rsidRPr="000D256C">
        <w:rPr>
          <w:i/>
          <w:iCs/>
        </w:rPr>
        <w:t>rights above all to autonomy and bodily inviolability is immense and its prospective benefits (not least</w:t>
      </w:r>
      <w:r w:rsidR="004E2A62">
        <w:rPr>
          <w:i/>
          <w:iCs/>
        </w:rPr>
        <w:t xml:space="preserve"> </w:t>
      </w:r>
      <w:r w:rsidRPr="000D256C">
        <w:rPr>
          <w:i/>
          <w:iCs/>
        </w:rPr>
        <w:t>given his extreme opposition) appear decidedly speculative.’ [30]</w:t>
      </w:r>
    </w:p>
    <w:p w:rsidR="000D256C" w:rsidRPr="000D256C" w:rsidRDefault="000D256C" w:rsidP="000D256C">
      <w:r w:rsidRPr="000D256C">
        <w:t xml:space="preserve">Silber J reduces this to a case-sensitive comment, [116] differentiating the facts of </w:t>
      </w:r>
      <w:r w:rsidRPr="000D256C">
        <w:rPr>
          <w:i/>
          <w:iCs/>
        </w:rPr>
        <w:t xml:space="preserve">Wilkinson </w:t>
      </w:r>
      <w:r w:rsidRPr="000D256C">
        <w:t>from</w:t>
      </w:r>
      <w:r w:rsidR="004E2A62">
        <w:t xml:space="preserve"> </w:t>
      </w:r>
      <w:r w:rsidRPr="000D256C">
        <w:rPr>
          <w:i/>
          <w:iCs/>
        </w:rPr>
        <w:t xml:space="preserve">PS </w:t>
      </w:r>
      <w:r w:rsidRPr="000D256C">
        <w:t>on the basis of more significant adverse effects of treatment, the differences in the potential</w:t>
      </w:r>
      <w:r w:rsidR="004E2A62">
        <w:t xml:space="preserve"> </w:t>
      </w:r>
      <w:r w:rsidRPr="000D256C">
        <w:t>benefits of treatment, and the differing levels of restraint which would be required to conduct the</w:t>
      </w:r>
      <w:r w:rsidR="004E2A62">
        <w:t xml:space="preserve"> </w:t>
      </w:r>
      <w:r w:rsidRPr="000D256C">
        <w:t xml:space="preserve">treatment. This is not entirely convincing. The passage from </w:t>
      </w:r>
      <w:r w:rsidRPr="000D256C">
        <w:rPr>
          <w:i/>
          <w:iCs/>
        </w:rPr>
        <w:t xml:space="preserve">Wilkinson </w:t>
      </w:r>
      <w:r w:rsidRPr="000D256C">
        <w:t>follows shortly after Simon</w:t>
      </w:r>
      <w:r w:rsidR="004E2A62">
        <w:t xml:space="preserve"> </w:t>
      </w:r>
      <w:r w:rsidRPr="000D256C">
        <w:t>Brown LJ cites the view of the CPT, quoted above, as providing ‘some indication of modern</w:t>
      </w:r>
      <w:r w:rsidR="004E2A62">
        <w:t xml:space="preserve"> </w:t>
      </w:r>
      <w:r w:rsidRPr="000D256C">
        <w:t>thinking on this sensitive subject’. [29] This suggests a difference from Hale LJ which is not based</w:t>
      </w:r>
      <w:r w:rsidR="004E2A62">
        <w:t xml:space="preserve"> </w:t>
      </w:r>
      <w:r w:rsidRPr="000D256C">
        <w:t xml:space="preserve">simply on the facts of the case. Further, the factual distinction with </w:t>
      </w:r>
      <w:r w:rsidRPr="000D256C">
        <w:rPr>
          <w:i/>
          <w:iCs/>
        </w:rPr>
        <w:t xml:space="preserve">PS </w:t>
      </w:r>
      <w:r w:rsidRPr="000D256C">
        <w:t>is not necessarily as obvious</w:t>
      </w:r>
      <w:r w:rsidR="004E2A62">
        <w:t xml:space="preserve"> </w:t>
      </w:r>
      <w:r w:rsidRPr="000D256C">
        <w:t xml:space="preserve">as Silber LJ suggests. Certainly, the adverse effects in </w:t>
      </w:r>
      <w:r w:rsidRPr="000D256C">
        <w:rPr>
          <w:i/>
          <w:iCs/>
        </w:rPr>
        <w:t xml:space="preserve">Wilkinson </w:t>
      </w:r>
      <w:r w:rsidRPr="000D256C">
        <w:t>appear more significant, but other</w:t>
      </w:r>
      <w:r w:rsidR="004E2A62">
        <w:t xml:space="preserve"> </w:t>
      </w:r>
      <w:r w:rsidRPr="000D256C">
        <w:t>differences are not as obvious. Anti-psychotic drugs are powerful. The previous use of Quetiapine</w:t>
      </w:r>
      <w:r w:rsidR="004E2A62">
        <w:t xml:space="preserve"> </w:t>
      </w:r>
      <w:r w:rsidRPr="000D256C">
        <w:t>had, as intended, altered PS’s personality, religious beliefs and behaviour. These raise fundamental</w:t>
      </w:r>
      <w:r w:rsidR="004E2A62">
        <w:t xml:space="preserve"> </w:t>
      </w:r>
      <w:r w:rsidRPr="000D256C">
        <w:t xml:space="preserve">questions of autonomy, analogous to those in </w:t>
      </w:r>
      <w:r w:rsidRPr="000D256C">
        <w:rPr>
          <w:i/>
          <w:iCs/>
        </w:rPr>
        <w:t>Wilkinson</w:t>
      </w:r>
      <w:r w:rsidRPr="000D256C">
        <w:t>. The fact that without medication, odds</w:t>
      </w:r>
      <w:r w:rsidR="004E2A62">
        <w:t xml:space="preserve"> </w:t>
      </w:r>
      <w:r w:rsidRPr="000D256C">
        <w:lastRenderedPageBreak/>
        <w:t>were thought to be better than even that PS would relapse still suggests a better chance at recovery</w:t>
      </w:r>
      <w:r w:rsidR="004E2A62">
        <w:t xml:space="preserve"> </w:t>
      </w:r>
      <w:r w:rsidRPr="000D256C">
        <w:t>without medication than was the case for Wilkinson.</w:t>
      </w:r>
    </w:p>
    <w:p w:rsidR="000D256C" w:rsidRPr="000D256C" w:rsidRDefault="000D256C" w:rsidP="000D256C">
      <w:r w:rsidRPr="000D256C">
        <w:t>The approach of Silber J, in the end, is that capacity is a relevant but not determinative factor in</w:t>
      </w:r>
      <w:r w:rsidR="004E2A62">
        <w:t xml:space="preserve"> </w:t>
      </w:r>
      <w:r w:rsidRPr="000D256C">
        <w:t>deciding whether treatment reaches the level of severity to engage article 3. Based on his reasoning,</w:t>
      </w:r>
      <w:r w:rsidR="004E2A62">
        <w:t xml:space="preserve"> </w:t>
      </w:r>
      <w:r w:rsidRPr="000D256C">
        <w:t>if he were to adopt a univocal test as proposed above, he would in addition consider the</w:t>
      </w:r>
      <w:r w:rsidR="004E2A62">
        <w:t xml:space="preserve"> </w:t>
      </w:r>
      <w:r w:rsidRPr="000D256C">
        <w:t>seriousness of the disorder, the potential adverse effects of the drug, the likely degree of</w:t>
      </w:r>
      <w:r w:rsidR="004E2A62">
        <w:t xml:space="preserve"> </w:t>
      </w:r>
      <w:r w:rsidRPr="000D256C">
        <w:t>invasiveness of the administration of the drug, the degree and likelihood of beneficial results of</w:t>
      </w:r>
      <w:r w:rsidR="004E2A62">
        <w:t xml:space="preserve"> </w:t>
      </w:r>
      <w:r w:rsidRPr="000D256C">
        <w:t>the drug, and the likely results if the treatment were not performed. The difficulty with this</w:t>
      </w:r>
      <w:r w:rsidR="004E2A62">
        <w:t xml:space="preserve"> </w:t>
      </w:r>
      <w:r w:rsidRPr="000D256C">
        <w:t>approach is that capacity disappears into the mix: there is no indication as to how the various</w:t>
      </w:r>
      <w:r w:rsidR="004E2A62">
        <w:t xml:space="preserve"> </w:t>
      </w:r>
      <w:r w:rsidRPr="000D256C">
        <w:t>factors play off against each other, to provide meaningful guidance in subsequent cases as to</w:t>
      </w:r>
      <w:r w:rsidR="004E2A62">
        <w:t xml:space="preserve"> </w:t>
      </w:r>
      <w:r w:rsidRPr="000D256C">
        <w:t>whether an article 3 violation has occurred. We still have no articulated test of when article 3 will</w:t>
      </w:r>
      <w:r w:rsidR="004E2A62">
        <w:t xml:space="preserve"> </w:t>
      </w:r>
      <w:r w:rsidRPr="000D256C">
        <w:t>be violated when patients have capacity, relative to when they do not. Meaningful guidance from</w:t>
      </w:r>
      <w:r w:rsidR="004E2A62">
        <w:t xml:space="preserve"> </w:t>
      </w:r>
      <w:r w:rsidRPr="000D256C">
        <w:t>the courts on this point is necessary, if practitioners are not inadvertently to fall afoul of the</w:t>
      </w:r>
      <w:r w:rsidR="004E2A62">
        <w:t xml:space="preserve"> </w:t>
      </w:r>
      <w:r w:rsidRPr="000D256C">
        <w:t>Human Rights Act.</w:t>
      </w:r>
    </w:p>
    <w:p w:rsidR="000D256C" w:rsidRPr="004E2A62" w:rsidRDefault="000D256C" w:rsidP="000D256C">
      <w:pPr>
        <w:rPr>
          <w:b/>
          <w:i/>
          <w:iCs/>
        </w:rPr>
      </w:pPr>
      <w:r w:rsidRPr="004E2A62">
        <w:rPr>
          <w:b/>
          <w:i/>
          <w:iCs/>
        </w:rPr>
        <w:t>Article 8: The Right to Private Life</w:t>
      </w:r>
    </w:p>
    <w:p w:rsidR="000D256C" w:rsidRPr="000D256C" w:rsidRDefault="000D256C" w:rsidP="000D256C">
      <w:r w:rsidRPr="000D256C">
        <w:t>The Court’s reasoning regarding article 8 is reasonably brief. For purposes of the judgment, it</w:t>
      </w:r>
      <w:r w:rsidR="004E2A62">
        <w:t xml:space="preserve"> </w:t>
      </w:r>
      <w:r w:rsidRPr="000D256C">
        <w:t>assumed without deciding that the treatment in question would be sufficiently severe to constitute</w:t>
      </w:r>
      <w:r w:rsidR="004E2A62">
        <w:t xml:space="preserve"> </w:t>
      </w:r>
      <w:r w:rsidRPr="000D256C">
        <w:t xml:space="preserve">an interference with private life, and focussed instead on justifications for such </w:t>
      </w:r>
      <w:proofErr w:type="gramStart"/>
      <w:r w:rsidRPr="000D256C">
        <w:t>an interference</w:t>
      </w:r>
      <w:proofErr w:type="gramEnd"/>
      <w:r w:rsidRPr="000D256C">
        <w:t>.</w:t>
      </w:r>
      <w:r w:rsidR="004E2A62">
        <w:t xml:space="preserve"> </w:t>
      </w:r>
      <w:r w:rsidRPr="000D256C">
        <w:t>This required consideration of three issues: was the interference necessary in a democratic society</w:t>
      </w:r>
      <w:r w:rsidR="004E2A62">
        <w:t xml:space="preserve"> </w:t>
      </w:r>
      <w:r w:rsidRPr="000D256C">
        <w:t>for the protection of health; was the interference prescribed by law; and was the interference</w:t>
      </w:r>
      <w:r w:rsidR="004E2A62">
        <w:t xml:space="preserve"> </w:t>
      </w:r>
      <w:r w:rsidRPr="000D256C">
        <w:t>proportionate to the legitimate aim it sought to achieve?</w:t>
      </w:r>
    </w:p>
    <w:p w:rsidR="004E2A62" w:rsidRPr="004E2A62" w:rsidRDefault="000D256C" w:rsidP="004E2A62">
      <w:r w:rsidRPr="000D256C">
        <w:t>Regarding the first of these, the Court held that the interference would be necessary if it</w:t>
      </w:r>
      <w:r w:rsidR="004E2A62">
        <w:t xml:space="preserve"> </w:t>
      </w:r>
      <w:r w:rsidRPr="000D256C">
        <w:t>corresponded to a ‘pressing social need’. In this, the Court viewed that the balance to be struck</w:t>
      </w:r>
      <w:r w:rsidR="004E2A62">
        <w:t xml:space="preserve"> </w:t>
      </w:r>
      <w:r w:rsidRPr="000D256C">
        <w:t>was between the protection of the individual right to private life and the community right as</w:t>
      </w:r>
      <w:r w:rsidR="004E2A62">
        <w:t xml:space="preserve"> </w:t>
      </w:r>
      <w:r w:rsidR="004E2A62" w:rsidRPr="004E2A62">
        <w:t>acknowledged in the justification of necessity for protection of health. [133] The Court’s</w:t>
      </w:r>
      <w:r w:rsidR="004E2A62">
        <w:t xml:space="preserve"> </w:t>
      </w:r>
      <w:r w:rsidR="004E2A62" w:rsidRPr="004E2A62">
        <w:t>articulation of this balance seems convincing, but its application to the facts is more problematic,</w:t>
      </w:r>
      <w:r w:rsidR="004E2A62">
        <w:t xml:space="preserve"> </w:t>
      </w:r>
      <w:r w:rsidR="004E2A62" w:rsidRPr="004E2A62">
        <w:t>as it cites benefits to the individual in its justification of curtailing the individual’s rights:</w:t>
      </w:r>
      <w:r w:rsidR="004E2A62">
        <w:t xml:space="preserve"> </w:t>
      </w:r>
      <w:r w:rsidR="004E2A62" w:rsidRPr="004E2A62">
        <w:t>rehabilitation rather than incarceration, the suppression of PS’s persecutory ideas, the gaining of</w:t>
      </w:r>
      <w:r w:rsidR="004E2A62">
        <w:t xml:space="preserve"> </w:t>
      </w:r>
      <w:r w:rsidR="004E2A62" w:rsidRPr="004E2A62">
        <w:t xml:space="preserve">insight, and the protection against future relapse. Only the last of these is an obviously </w:t>
      </w:r>
      <w:r w:rsidR="004E2A62" w:rsidRPr="004E2A62">
        <w:rPr>
          <w:i/>
          <w:iCs/>
        </w:rPr>
        <w:t>social</w:t>
      </w:r>
      <w:r w:rsidR="004E2A62">
        <w:rPr>
          <w:i/>
          <w:iCs/>
        </w:rPr>
        <w:t xml:space="preserve"> </w:t>
      </w:r>
      <w:proofErr w:type="gramStart"/>
      <w:r w:rsidR="004E2A62" w:rsidRPr="004E2A62">
        <w:t>benefit,</w:t>
      </w:r>
      <w:proofErr w:type="gramEnd"/>
      <w:r w:rsidR="004E2A62" w:rsidRPr="004E2A62">
        <w:t xml:space="preserve"> and that only if the relapse were to occur while PS was in the community. The rest, and</w:t>
      </w:r>
      <w:r w:rsidR="004E2A62">
        <w:t xml:space="preserve"> </w:t>
      </w:r>
      <w:r w:rsidR="004E2A62" w:rsidRPr="004E2A62">
        <w:t>perhaps even the prevention of relapse, are primarily benefits to PS, which he presumably had</w:t>
      </w:r>
      <w:r w:rsidR="004E2A62">
        <w:t xml:space="preserve"> </w:t>
      </w:r>
      <w:r w:rsidR="004E2A62" w:rsidRPr="004E2A62">
        <w:t>chosen to discount in his competent treatment refusal. There may well be a pressing social need to</w:t>
      </w:r>
      <w:r w:rsidR="004E2A62">
        <w:t xml:space="preserve"> </w:t>
      </w:r>
      <w:r w:rsidR="004E2A62" w:rsidRPr="004E2A62">
        <w:t>treat such patients, but it is not articulated here.</w:t>
      </w:r>
    </w:p>
    <w:p w:rsidR="004E2A62" w:rsidRPr="004E2A62" w:rsidRDefault="004E2A62" w:rsidP="004E2A62">
      <w:r w:rsidRPr="004E2A62">
        <w:t>It is not initially obvious why Silber J turns to the common law of medical best interests in his</w:t>
      </w:r>
      <w:r>
        <w:t xml:space="preserve"> </w:t>
      </w:r>
      <w:r w:rsidRPr="004E2A62">
        <w:t>assessment of whether the treatment of PS was ‘according to law’. PS was to be treated under the</w:t>
      </w:r>
      <w:r>
        <w:t xml:space="preserve"> </w:t>
      </w:r>
      <w:r w:rsidRPr="004E2A62">
        <w:t>terms of the Mental Health Act, not the common law. The decision as to whether the treatment</w:t>
      </w:r>
      <w:r>
        <w:t xml:space="preserve"> </w:t>
      </w:r>
      <w:r w:rsidRPr="004E2A62">
        <w:t>was according to law should have been made with reference to the statutory provisions and, after</w:t>
      </w:r>
      <w:r>
        <w:t xml:space="preserve"> </w:t>
      </w:r>
      <w:proofErr w:type="spellStart"/>
      <w:r w:rsidRPr="004E2A62">
        <w:rPr>
          <w:i/>
          <w:iCs/>
        </w:rPr>
        <w:t>Munjaz</w:t>
      </w:r>
      <w:proofErr w:type="spellEnd"/>
      <w:r w:rsidRPr="004E2A62">
        <w:rPr>
          <w:i/>
          <w:iCs/>
        </w:rPr>
        <w:t xml:space="preserve"> v Mersey Care NHS Trust</w:t>
      </w:r>
      <w:r>
        <w:rPr>
          <w:rStyle w:val="FootnoteReference"/>
          <w:i/>
          <w:iCs/>
        </w:rPr>
        <w:footnoteReference w:id="15"/>
      </w:r>
      <w:r w:rsidRPr="004E2A62">
        <w:t>, to the Code of Practice.</w:t>
      </w:r>
    </w:p>
    <w:p w:rsidR="004E2A62" w:rsidRPr="004E2A62" w:rsidRDefault="004E2A62" w:rsidP="004E2A62">
      <w:r w:rsidRPr="004E2A62">
        <w:t>It is at best doubtful whether the substance of that law is sufficiently clear for the purposes of</w:t>
      </w:r>
      <w:r>
        <w:t xml:space="preserve"> </w:t>
      </w:r>
      <w:r w:rsidRPr="004E2A62">
        <w:t>article 8(2). It is not sufficient that the actions in question are within the scope of a validly-enacted</w:t>
      </w:r>
      <w:r>
        <w:t xml:space="preserve"> </w:t>
      </w:r>
      <w:r w:rsidRPr="004E2A62">
        <w:t xml:space="preserve">statute. </w:t>
      </w:r>
      <w:r w:rsidRPr="004E2A62">
        <w:lastRenderedPageBreak/>
        <w:t>To be ‘according to law’, the law must be sufficiently clear that citizens can foresee its</w:t>
      </w:r>
      <w:r>
        <w:t xml:space="preserve"> </w:t>
      </w:r>
      <w:r w:rsidRPr="004E2A62">
        <w:t>consequences for him. When the law provides discretion on a public authority, it must indicate the</w:t>
      </w:r>
      <w:r>
        <w:t xml:space="preserve"> </w:t>
      </w:r>
      <w:r w:rsidRPr="004E2A62">
        <w:t>scope of the discretion. [</w:t>
      </w:r>
      <w:proofErr w:type="spellStart"/>
      <w:r w:rsidRPr="004E2A62">
        <w:rPr>
          <w:i/>
          <w:iCs/>
        </w:rPr>
        <w:t>Herczegfalvy</w:t>
      </w:r>
      <w:proofErr w:type="spellEnd"/>
      <w:r w:rsidRPr="004E2A62">
        <w:rPr>
          <w:i/>
          <w:iCs/>
        </w:rPr>
        <w:t xml:space="preserve"> </w:t>
      </w:r>
      <w:r w:rsidRPr="004E2A62">
        <w:t>para 89] The Mental Health Act provides merely a process</w:t>
      </w:r>
      <w:r>
        <w:t xml:space="preserve"> </w:t>
      </w:r>
      <w:r w:rsidRPr="004E2A62">
        <w:t>for overriding the refusal of competent patients to consent to treatment. Whether that process is</w:t>
      </w:r>
      <w:r>
        <w:t xml:space="preserve"> </w:t>
      </w:r>
      <w:r w:rsidRPr="004E2A62">
        <w:t>sufficient may be doubtful; there is no mechanism short of judicial review to challenge the decision</w:t>
      </w:r>
      <w:r>
        <w:t xml:space="preserve"> </w:t>
      </w:r>
      <w:r w:rsidRPr="004E2A62">
        <w:t>of the RMO and SOAD, for example. In any event, neither the Act nor the Code of Practice</w:t>
      </w:r>
      <w:r>
        <w:t xml:space="preserve"> </w:t>
      </w:r>
      <w:proofErr w:type="gramStart"/>
      <w:r w:rsidRPr="004E2A62">
        <w:t>provide</w:t>
      </w:r>
      <w:proofErr w:type="gramEnd"/>
      <w:r w:rsidRPr="004E2A62">
        <w:t xml:space="preserve"> any substantive standards: see Mental Health Act, ss. 57, 58, 63; COP para. 15.25.</w:t>
      </w:r>
      <w:r>
        <w:t xml:space="preserve"> </w:t>
      </w:r>
      <w:r w:rsidRPr="004E2A62">
        <w:t xml:space="preserve">The following comment from </w:t>
      </w:r>
      <w:proofErr w:type="spellStart"/>
      <w:r w:rsidRPr="004E2A62">
        <w:rPr>
          <w:i/>
          <w:iCs/>
        </w:rPr>
        <w:t>Herczegfalvy</w:t>
      </w:r>
      <w:proofErr w:type="spellEnd"/>
      <w:r w:rsidRPr="004E2A62">
        <w:t>, relating to whether a system by which patient mail was</w:t>
      </w:r>
      <w:r>
        <w:t xml:space="preserve"> </w:t>
      </w:r>
      <w:r w:rsidRPr="004E2A62">
        <w:t>censored, also an article 8 issue, was ‘according to law’, seem at least at first blush to be apposite:</w:t>
      </w:r>
    </w:p>
    <w:p w:rsidR="004E2A62" w:rsidRPr="004E2A62" w:rsidRDefault="004E2A62" w:rsidP="004E2A62">
      <w:pPr>
        <w:ind w:left="567" w:right="521"/>
        <w:rPr>
          <w:i/>
          <w:iCs/>
        </w:rPr>
      </w:pPr>
      <w:r w:rsidRPr="004E2A62">
        <w:rPr>
          <w:i/>
          <w:iCs/>
        </w:rPr>
        <w:t>‘These vaguely worded provisions do not specify the scope or conditions of exercise of the discretionary</w:t>
      </w:r>
      <w:r>
        <w:rPr>
          <w:i/>
          <w:iCs/>
        </w:rPr>
        <w:t xml:space="preserve"> </w:t>
      </w:r>
      <w:r w:rsidRPr="004E2A62">
        <w:rPr>
          <w:i/>
          <w:iCs/>
        </w:rPr>
        <w:t>power which was at the origin of the measures complained of. But such specifications appear all the</w:t>
      </w:r>
      <w:r>
        <w:rPr>
          <w:i/>
          <w:iCs/>
        </w:rPr>
        <w:t xml:space="preserve"> </w:t>
      </w:r>
      <w:r w:rsidRPr="004E2A62">
        <w:rPr>
          <w:i/>
          <w:iCs/>
        </w:rPr>
        <w:t>more necessary in the field of detention in psychiatric institutions in that the persons concerned are</w:t>
      </w:r>
      <w:r>
        <w:rPr>
          <w:i/>
          <w:iCs/>
        </w:rPr>
        <w:t xml:space="preserve"> </w:t>
      </w:r>
      <w:r w:rsidRPr="004E2A62">
        <w:rPr>
          <w:i/>
          <w:iCs/>
        </w:rPr>
        <w:t>frequently at the mercy of the medical authorities, so that their correspondence is their only contact with</w:t>
      </w:r>
      <w:r>
        <w:rPr>
          <w:i/>
          <w:iCs/>
        </w:rPr>
        <w:t xml:space="preserve"> </w:t>
      </w:r>
      <w:r w:rsidRPr="004E2A62">
        <w:rPr>
          <w:i/>
          <w:iCs/>
        </w:rPr>
        <w:t>the outside world.’ [91]</w:t>
      </w:r>
    </w:p>
    <w:p w:rsidR="004E2A62" w:rsidRPr="004E2A62" w:rsidRDefault="004E2A62" w:rsidP="004E2A62">
      <w:r w:rsidRPr="004E2A62">
        <w:t>The complete absence of substantive criteria in the Mental Health Act and Code of Practice at the</w:t>
      </w:r>
      <w:r>
        <w:t xml:space="preserve"> </w:t>
      </w:r>
      <w:r w:rsidRPr="004E2A62">
        <w:t>very least offer cause for pause.</w:t>
      </w:r>
    </w:p>
    <w:p w:rsidR="004E2A62" w:rsidRPr="004E2A62" w:rsidRDefault="004E2A62" w:rsidP="004E2A62">
      <w:r w:rsidRPr="004E2A62">
        <w:t>It is, perhaps, for these reasons that Silber J turns to the common law and the doctrine of necessity</w:t>
      </w:r>
      <w:r>
        <w:t xml:space="preserve"> </w:t>
      </w:r>
      <w:r w:rsidRPr="004E2A62">
        <w:t>and best interests. This is the first time a court has expressly adopted this approach in its reading</w:t>
      </w:r>
      <w:r>
        <w:t xml:space="preserve"> </w:t>
      </w:r>
      <w:r w:rsidRPr="004E2A62">
        <w:t>of sections 63 and 58 of the Mental Health Act. While it is a doctrine that His Lordship views as</w:t>
      </w:r>
      <w:r>
        <w:t xml:space="preserve"> </w:t>
      </w:r>
      <w:r w:rsidRPr="004E2A62">
        <w:t>satisfying the Convention tests, practitioners will find it a mixed blessing. As His Lordship notes,</w:t>
      </w:r>
      <w:r>
        <w:t xml:space="preserve"> </w:t>
      </w:r>
      <w:r w:rsidRPr="004E2A62">
        <w:t>the best interests approach can have the effect of limiting medical discretion. It requires doctors</w:t>
      </w:r>
      <w:r>
        <w:t xml:space="preserve"> </w:t>
      </w:r>
      <w:r w:rsidRPr="004E2A62">
        <w:t>not merely to offer a treatment drawn from the range of treatments within the realm of appropriate</w:t>
      </w:r>
      <w:r>
        <w:t xml:space="preserve"> </w:t>
      </w:r>
      <w:r w:rsidRPr="004E2A62">
        <w:t>professional practice, but also to assess which of the possible treatments is best for the individual</w:t>
      </w:r>
      <w:r>
        <w:t xml:space="preserve"> </w:t>
      </w:r>
      <w:r w:rsidRPr="004E2A62">
        <w:t>patient. This secondary assessment is to be based on a wide array of factors, some medical and</w:t>
      </w:r>
      <w:r>
        <w:t xml:space="preserve"> </w:t>
      </w:r>
      <w:r w:rsidRPr="004E2A62">
        <w:t>some not. As a matter of process, the courts have been clear that such questions of best interests</w:t>
      </w:r>
      <w:r>
        <w:t xml:space="preserve"> </w:t>
      </w:r>
      <w:r w:rsidRPr="004E2A62">
        <w:t xml:space="preserve">are justiciable: see </w:t>
      </w:r>
      <w:proofErr w:type="spellStart"/>
      <w:r w:rsidRPr="004E2A62">
        <w:t>eg</w:t>
      </w:r>
      <w:proofErr w:type="spellEnd"/>
      <w:r w:rsidRPr="004E2A62">
        <w:t xml:space="preserve"> In </w:t>
      </w:r>
      <w:r w:rsidRPr="004E2A62">
        <w:rPr>
          <w:i/>
          <w:iCs/>
        </w:rPr>
        <w:t>Re TF (An Adult: Residence)</w:t>
      </w:r>
      <w:r>
        <w:rPr>
          <w:rStyle w:val="FootnoteReference"/>
          <w:i/>
          <w:iCs/>
        </w:rPr>
        <w:footnoteReference w:id="16"/>
      </w:r>
      <w:r w:rsidRPr="004E2A62">
        <w:t>. The approach on such applications is based</w:t>
      </w:r>
      <w:r>
        <w:t xml:space="preserve"> </w:t>
      </w:r>
      <w:r w:rsidRPr="004E2A62">
        <w:t>on the civil burden of proof, rather than the deference shown to doctors in judicial review.</w:t>
      </w:r>
      <w:r>
        <w:t xml:space="preserve"> </w:t>
      </w:r>
      <w:r w:rsidRPr="004E2A62">
        <w:t>The application of best interests to the Mental Health Act therefore provides a new and more</w:t>
      </w:r>
      <w:r>
        <w:t xml:space="preserve"> </w:t>
      </w:r>
      <w:r w:rsidRPr="004E2A62">
        <w:t>lenient judicial forum for patients to challenge treatment decisions.</w:t>
      </w:r>
    </w:p>
    <w:p w:rsidR="004E2A62" w:rsidRPr="004E2A62" w:rsidRDefault="004E2A62" w:rsidP="004E2A62">
      <w:r w:rsidRPr="004E2A62">
        <w:t>The difficulty with this approach in the current case is that it does not solve the specific problem</w:t>
      </w:r>
      <w:r>
        <w:t xml:space="preserve"> </w:t>
      </w:r>
      <w:r w:rsidRPr="004E2A62">
        <w:t xml:space="preserve">of providing guidance as to when </w:t>
      </w:r>
      <w:r w:rsidRPr="004E2A62">
        <w:rPr>
          <w:i/>
          <w:iCs/>
        </w:rPr>
        <w:t xml:space="preserve">competent </w:t>
      </w:r>
      <w:r w:rsidRPr="004E2A62">
        <w:t>patients should be treated without their consent, the</w:t>
      </w:r>
      <w:r>
        <w:t xml:space="preserve"> </w:t>
      </w:r>
      <w:r w:rsidRPr="004E2A62">
        <w:t xml:space="preserve">core of the article 8 </w:t>
      </w:r>
      <w:proofErr w:type="gramStart"/>
      <w:r w:rsidRPr="004E2A62">
        <w:t>right</w:t>
      </w:r>
      <w:proofErr w:type="gramEnd"/>
      <w:r w:rsidRPr="004E2A62">
        <w:t xml:space="preserve"> alleged to be violated in this case. The doctrine of medical necessity is</w:t>
      </w:r>
      <w:r>
        <w:t xml:space="preserve"> </w:t>
      </w:r>
      <w:r w:rsidRPr="004E2A62">
        <w:t>developed in the context of patients who lack capacity. By applying it to PS’s case, the Court is</w:t>
      </w:r>
      <w:r>
        <w:t xml:space="preserve"> </w:t>
      </w:r>
      <w:r w:rsidRPr="004E2A62">
        <w:t>treating PS as if he lacked capacity. No guidance is provided as to whether or how the fact that PS</w:t>
      </w:r>
      <w:r>
        <w:t xml:space="preserve"> </w:t>
      </w:r>
      <w:r w:rsidRPr="004E2A62">
        <w:t>has capacity effects determination of his best interests. For that reason, it is difficult to see that it</w:t>
      </w:r>
      <w:r>
        <w:t xml:space="preserve"> </w:t>
      </w:r>
      <w:r w:rsidRPr="004E2A62">
        <w:t>provides the level of direction necessary to make the treatment of competent patients ‘in</w:t>
      </w:r>
      <w:r>
        <w:t xml:space="preserve"> </w:t>
      </w:r>
      <w:r w:rsidRPr="004E2A62">
        <w:t>accordance with the law’.</w:t>
      </w:r>
    </w:p>
    <w:p w:rsidR="004E2A62" w:rsidRPr="004E2A62" w:rsidRDefault="004E2A62" w:rsidP="004E2A62">
      <w:pPr>
        <w:rPr>
          <w:b/>
          <w:i/>
          <w:iCs/>
        </w:rPr>
      </w:pPr>
      <w:r w:rsidRPr="004E2A62">
        <w:rPr>
          <w:b/>
          <w:i/>
          <w:iCs/>
        </w:rPr>
        <w:t>The Article 14 Issue</w:t>
      </w:r>
    </w:p>
    <w:p w:rsidR="004E2A62" w:rsidRPr="004E2A62" w:rsidRDefault="004E2A62" w:rsidP="004E2A62">
      <w:r w:rsidRPr="004E2A62">
        <w:lastRenderedPageBreak/>
        <w:t>Article 14 is meant to ensure that Convention-related rights are provided equally to all citizens,</w:t>
      </w:r>
      <w:r>
        <w:t xml:space="preserve"> </w:t>
      </w:r>
      <w:r w:rsidRPr="004E2A62">
        <w:t>without unjustified discrimination. While an article 14 application must refer to a situation within</w:t>
      </w:r>
      <w:r>
        <w:t xml:space="preserve"> </w:t>
      </w:r>
      <w:r w:rsidRPr="004E2A62">
        <w:t>the ambit of another Convention right, it is not the case that the other situation must on its face</w:t>
      </w:r>
      <w:r>
        <w:t xml:space="preserve"> </w:t>
      </w:r>
      <w:r w:rsidRPr="004E2A62">
        <w:t>infringe that other right. To use the Court’s example, if a state provided a system of courts in</w:t>
      </w:r>
      <w:r>
        <w:t xml:space="preserve"> </w:t>
      </w:r>
      <w:r w:rsidRPr="004E2A62">
        <w:t>excess of its article 6 obligations, it would still be in breach of article 14 if the courts were available</w:t>
      </w:r>
      <w:r>
        <w:t xml:space="preserve"> </w:t>
      </w:r>
      <w:r w:rsidRPr="004E2A62">
        <w:t xml:space="preserve">to some litigants but not others, without appropriate justification: </w:t>
      </w:r>
      <w:r w:rsidRPr="004E2A62">
        <w:rPr>
          <w:i/>
          <w:iCs/>
        </w:rPr>
        <w:t>‘Belgian Linguistic’ Case</w:t>
      </w:r>
      <w:r>
        <w:rPr>
          <w:i/>
          <w:iCs/>
        </w:rPr>
        <w:t xml:space="preserve"> </w:t>
      </w:r>
      <w:r w:rsidRPr="004E2A62">
        <w:rPr>
          <w:i/>
          <w:iCs/>
        </w:rPr>
        <w:t>(No. 2)</w:t>
      </w:r>
      <w:r>
        <w:rPr>
          <w:rStyle w:val="FootnoteReference"/>
          <w:i/>
          <w:iCs/>
        </w:rPr>
        <w:footnoteReference w:id="17"/>
      </w:r>
      <w:r w:rsidRPr="004E2A62">
        <w:t xml:space="preserve">. To apply this logic to the </w:t>
      </w:r>
      <w:r w:rsidRPr="004E2A62">
        <w:rPr>
          <w:i/>
          <w:iCs/>
        </w:rPr>
        <w:t xml:space="preserve">PS </w:t>
      </w:r>
      <w:r w:rsidRPr="004E2A62">
        <w:t>case, Silber J held that whether treatment absent consent of</w:t>
      </w:r>
      <w:r>
        <w:t xml:space="preserve"> </w:t>
      </w:r>
      <w:r w:rsidRPr="004E2A62">
        <w:t>the competent patient violated articles 3 and 8 was a question of fact, to be determined in</w:t>
      </w:r>
      <w:r>
        <w:t xml:space="preserve"> </w:t>
      </w:r>
      <w:r w:rsidRPr="004E2A62">
        <w:t>individual cases. It seems uncontroversial from the case that this would be sufficient to bring that</w:t>
      </w:r>
      <w:r>
        <w:t xml:space="preserve"> </w:t>
      </w:r>
      <w:r w:rsidRPr="004E2A62">
        <w:t>situation within the ambit of the Convention, for purposes of article 14.</w:t>
      </w:r>
    </w:p>
    <w:p w:rsidR="004E2A62" w:rsidRPr="004E2A62" w:rsidRDefault="004E2A62" w:rsidP="004E2A62">
      <w:r w:rsidRPr="004E2A62">
        <w:t>Article 14 does not preclude all discrimination. It refers in particular to an illustrative list of</w:t>
      </w:r>
      <w:r>
        <w:t xml:space="preserve"> </w:t>
      </w:r>
      <w:r w:rsidRPr="004E2A62">
        <w:t>categories such as sex, race, and language. Disability is not on the list, but has now been held to be</w:t>
      </w:r>
      <w:r>
        <w:t xml:space="preserve"> </w:t>
      </w:r>
      <w:r w:rsidRPr="004E2A62">
        <w:t xml:space="preserve">a similar analogous ground: </w:t>
      </w:r>
      <w:r w:rsidRPr="004E2A62">
        <w:rPr>
          <w:i/>
          <w:iCs/>
        </w:rPr>
        <w:t>R (Pretty) v DPP</w:t>
      </w:r>
      <w:r>
        <w:rPr>
          <w:rStyle w:val="FootnoteReference"/>
          <w:i/>
          <w:iCs/>
        </w:rPr>
        <w:footnoteReference w:id="18"/>
      </w:r>
      <w:r w:rsidRPr="004E2A62">
        <w:t>. The sting of an article 14 argument involves</w:t>
      </w:r>
      <w:r>
        <w:t xml:space="preserve"> </w:t>
      </w:r>
      <w:r w:rsidRPr="004E2A62">
        <w:t>identifying groups of people according to a precluded distinction but treated differently. It is then</w:t>
      </w:r>
      <w:r>
        <w:t xml:space="preserve"> </w:t>
      </w:r>
      <w:r w:rsidRPr="004E2A62">
        <w:t>for the party wishing to justify the different treatment to show justification, that is, that the</w:t>
      </w:r>
      <w:r>
        <w:t xml:space="preserve"> </w:t>
      </w:r>
      <w:r w:rsidRPr="004E2A62">
        <w:t>different treatment pursued a legitimate aim and was proportionate in its pursuit of that aim.</w:t>
      </w:r>
    </w:p>
    <w:p w:rsidR="004E2A62" w:rsidRPr="004E2A62" w:rsidRDefault="004E2A62" w:rsidP="004E2A62">
      <w:r w:rsidRPr="004E2A62">
        <w:t xml:space="preserve">Counsel for PS cited </w:t>
      </w:r>
      <w:r w:rsidRPr="004E2A62">
        <w:rPr>
          <w:i/>
          <w:iCs/>
        </w:rPr>
        <w:t>Re W</w:t>
      </w:r>
      <w:r>
        <w:rPr>
          <w:rStyle w:val="FootnoteReference"/>
          <w:i/>
          <w:iCs/>
        </w:rPr>
        <w:footnoteReference w:id="19"/>
      </w:r>
      <w:r w:rsidRPr="004E2A62">
        <w:t>, arguing that people with mental disabilities who were not confined</w:t>
      </w:r>
      <w:r>
        <w:t xml:space="preserve"> </w:t>
      </w:r>
      <w:r w:rsidRPr="004E2A62">
        <w:t>under the Act were an analogous group to PS, but were treated differently because they had the</w:t>
      </w:r>
      <w:r>
        <w:t xml:space="preserve"> </w:t>
      </w:r>
      <w:r w:rsidRPr="004E2A62">
        <w:t xml:space="preserve">right to consent to treatment. </w:t>
      </w:r>
      <w:r w:rsidRPr="004E2A62">
        <w:rPr>
          <w:i/>
          <w:iCs/>
        </w:rPr>
        <w:t xml:space="preserve">W </w:t>
      </w:r>
      <w:r w:rsidRPr="004E2A62">
        <w:t>involved a prisoner with psychopathic disorder who refused</w:t>
      </w:r>
      <w:r>
        <w:t xml:space="preserve"> </w:t>
      </w:r>
      <w:r w:rsidRPr="004E2A62">
        <w:t>treatment for self-inflicted wounds. His mental disorder was not treatable, however, and he was</w:t>
      </w:r>
      <w:r>
        <w:t xml:space="preserve"> </w:t>
      </w:r>
      <w:r w:rsidRPr="004E2A62">
        <w:t>therefore detained as a regular prisoner, not under the Mental Health Act. There was therefore no</w:t>
      </w:r>
      <w:r>
        <w:t xml:space="preserve"> </w:t>
      </w:r>
      <w:r w:rsidRPr="004E2A62">
        <w:t>power to override his refusal of consent, irrational or manipulative though it may have been, and</w:t>
      </w:r>
      <w:r>
        <w:t xml:space="preserve"> </w:t>
      </w:r>
      <w:r w:rsidRPr="004E2A62">
        <w:t>his refusal of treatment was honoured.</w:t>
      </w:r>
    </w:p>
    <w:p w:rsidR="000D256C" w:rsidRDefault="004E2A62" w:rsidP="004E2A62">
      <w:r w:rsidRPr="004E2A62">
        <w:t>The Court’s response was, once again, brief, holding that W was not similarly situated to PS, since</w:t>
      </w:r>
      <w:r>
        <w:t xml:space="preserve"> </w:t>
      </w:r>
      <w:r w:rsidRPr="004E2A62">
        <w:t>PS met the criterion of treatability. ‘Indeed, the fact that PS can be treated for his condition while</w:t>
      </w:r>
      <w:r>
        <w:t xml:space="preserve"> </w:t>
      </w:r>
      <w:r w:rsidRPr="004E2A62">
        <w:t>W cannot be treated justifies a totally different approach on the issue of administering treatment</w:t>
      </w:r>
      <w:r>
        <w:t xml:space="preserve"> </w:t>
      </w:r>
      <w:r w:rsidRPr="004E2A62">
        <w:t>in PS’s case from that adopted in W’s case.’ [154] Further, any difference in treatment was justified.</w:t>
      </w:r>
    </w:p>
    <w:p w:rsidR="004E2A62" w:rsidRPr="004E2A62" w:rsidRDefault="004E2A62" w:rsidP="004E2A62">
      <w:r w:rsidRPr="004E2A62">
        <w:t>The question is not as simple as this finding of the Court suggests, since W’s wounds were</w:t>
      </w:r>
      <w:r>
        <w:t xml:space="preserve"> </w:t>
      </w:r>
      <w:r w:rsidRPr="004E2A62">
        <w:t>treatable, and indeed it was for that treatment that the advice of the Court was sought. Treatability</w:t>
      </w:r>
      <w:r>
        <w:t xml:space="preserve"> </w:t>
      </w:r>
      <w:r w:rsidRPr="004E2A62">
        <w:t>per se is therefore not a convincing distinction. It is tempting to argue that the treatment of the</w:t>
      </w:r>
      <w:r>
        <w:t xml:space="preserve"> </w:t>
      </w:r>
      <w:r w:rsidRPr="004E2A62">
        <w:t>physical injuries W caused to himself is treatment of a physical disorder. As such, there would be</w:t>
      </w:r>
      <w:r>
        <w:t xml:space="preserve"> </w:t>
      </w:r>
      <w:r w:rsidRPr="004E2A62">
        <w:t>no distinction: PS, like W, had the right to refuse treatment other than treatment for mental</w:t>
      </w:r>
      <w:r>
        <w:t xml:space="preserve"> </w:t>
      </w:r>
      <w:r w:rsidRPr="004E2A62">
        <w:t xml:space="preserve">disorder: </w:t>
      </w:r>
      <w:r w:rsidRPr="004E2A62">
        <w:rPr>
          <w:i/>
          <w:iCs/>
        </w:rPr>
        <w:t>Re C (Adult: Refusal of Medical Treatment)</w:t>
      </w:r>
      <w:r w:rsidR="00B33452">
        <w:rPr>
          <w:rStyle w:val="FootnoteReference"/>
          <w:i/>
          <w:iCs/>
        </w:rPr>
        <w:footnoteReference w:id="20"/>
      </w:r>
      <w:r w:rsidRPr="004E2A62">
        <w:t>. The efficacy of such a claim would</w:t>
      </w:r>
      <w:r>
        <w:t xml:space="preserve"> </w:t>
      </w:r>
      <w:r w:rsidRPr="004E2A62">
        <w:t>presumably depend on whether W’s self-injury was related to his mental disorder. If it was, and</w:t>
      </w:r>
      <w:r>
        <w:t xml:space="preserve"> </w:t>
      </w:r>
      <w:r w:rsidRPr="004E2A62">
        <w:t xml:space="preserve">one can certainly imagine patients where such would be the case, </w:t>
      </w:r>
      <w:proofErr w:type="gramStart"/>
      <w:r w:rsidRPr="004E2A62">
        <w:t>then</w:t>
      </w:r>
      <w:proofErr w:type="gramEnd"/>
      <w:r w:rsidRPr="004E2A62">
        <w:t xml:space="preserve"> based on the logic in cases</w:t>
      </w:r>
      <w:r>
        <w:t xml:space="preserve"> </w:t>
      </w:r>
      <w:r w:rsidRPr="004E2A62">
        <w:t xml:space="preserve">such as </w:t>
      </w:r>
      <w:r w:rsidRPr="004E2A62">
        <w:rPr>
          <w:i/>
          <w:iCs/>
        </w:rPr>
        <w:t>B v Croydon HA</w:t>
      </w:r>
      <w:r w:rsidR="00B33452">
        <w:rPr>
          <w:rStyle w:val="FootnoteReference"/>
          <w:i/>
          <w:iCs/>
        </w:rPr>
        <w:footnoteReference w:id="21"/>
      </w:r>
      <w:r w:rsidRPr="004E2A62">
        <w:t xml:space="preserve"> the treatments for the wounds would constitute treatment for mental</w:t>
      </w:r>
      <w:r>
        <w:t xml:space="preserve"> </w:t>
      </w:r>
      <w:r w:rsidRPr="004E2A62">
        <w:t xml:space="preserve">disorder. This would suggest a much closer parallel with the </w:t>
      </w:r>
      <w:r w:rsidRPr="004E2A62">
        <w:rPr>
          <w:i/>
          <w:iCs/>
        </w:rPr>
        <w:t xml:space="preserve">PS </w:t>
      </w:r>
      <w:r w:rsidRPr="004E2A62">
        <w:t>case than the Court acknowledges.</w:t>
      </w:r>
      <w:r>
        <w:t xml:space="preserve"> </w:t>
      </w:r>
      <w:r w:rsidRPr="004E2A62">
        <w:t xml:space="preserve">Other comparison </w:t>
      </w:r>
      <w:r w:rsidRPr="004E2A62">
        <w:lastRenderedPageBreak/>
        <w:t>groups may also be of interest here. Competent voluntary patients, for example,</w:t>
      </w:r>
      <w:r>
        <w:t xml:space="preserve"> </w:t>
      </w:r>
      <w:r w:rsidRPr="004E2A62">
        <w:t>may refuse treatment for mental disorder even if their condition is treatable.</w:t>
      </w:r>
    </w:p>
    <w:p w:rsidR="004E2A62" w:rsidRPr="004E2A62" w:rsidRDefault="004E2A62" w:rsidP="004E2A62">
      <w:r w:rsidRPr="004E2A62">
        <w:t>If a group were acknowledged to be analogously situated, that would still leave the question of</w:t>
      </w:r>
      <w:r>
        <w:t xml:space="preserve"> </w:t>
      </w:r>
      <w:r w:rsidRPr="004E2A62">
        <w:t>justification. Certainly, there may well be a serious argument to be had on this point, and its</w:t>
      </w:r>
      <w:r>
        <w:t xml:space="preserve"> </w:t>
      </w:r>
      <w:r w:rsidRPr="004E2A62">
        <w:t xml:space="preserve">articulation is beyond the scope of this </w:t>
      </w:r>
      <w:proofErr w:type="spellStart"/>
      <w:r w:rsidRPr="004E2A62">
        <w:t>casenote</w:t>
      </w:r>
      <w:proofErr w:type="spellEnd"/>
      <w:r w:rsidRPr="004E2A62">
        <w:t>. The justification would need to focus on the</w:t>
      </w:r>
      <w:r>
        <w:t xml:space="preserve"> </w:t>
      </w:r>
      <w:r w:rsidRPr="004E2A62">
        <w:t>question of the role of confinement in the determination of treatment rights, since competent</w:t>
      </w:r>
      <w:r>
        <w:t xml:space="preserve"> </w:t>
      </w:r>
      <w:r w:rsidRPr="004E2A62">
        <w:t>informal in-patients can refuse psychiatric medication. A justification based solely on the general</w:t>
      </w:r>
      <w:r>
        <w:t xml:space="preserve"> </w:t>
      </w:r>
      <w:r w:rsidRPr="004E2A62">
        <w:t>benefits of providing people with treatment for mental disorder would not suffice, as it would not</w:t>
      </w:r>
      <w:r>
        <w:t xml:space="preserve"> </w:t>
      </w:r>
      <w:r w:rsidRPr="004E2A62">
        <w:t>address the discriminatory aspect of the enforced treatment.</w:t>
      </w:r>
    </w:p>
    <w:p w:rsidR="004E2A62" w:rsidRDefault="004E2A62" w:rsidP="004E2A62">
      <w:pPr>
        <w:rPr>
          <w:b/>
          <w:bCs/>
        </w:rPr>
      </w:pPr>
    </w:p>
    <w:p w:rsidR="004E2A62" w:rsidRPr="004E2A62" w:rsidRDefault="004E2A62" w:rsidP="004E2A62">
      <w:pPr>
        <w:rPr>
          <w:b/>
          <w:bCs/>
        </w:rPr>
      </w:pPr>
      <w:r w:rsidRPr="004E2A62">
        <w:rPr>
          <w:b/>
          <w:bCs/>
        </w:rPr>
        <w:t>Conclusion</w:t>
      </w:r>
    </w:p>
    <w:p w:rsidR="004E2A62" w:rsidRDefault="004E2A62" w:rsidP="004E2A62">
      <w:r w:rsidRPr="004E2A62">
        <w:t xml:space="preserve">It will come as no surprise to </w:t>
      </w:r>
      <w:proofErr w:type="gramStart"/>
      <w:r w:rsidRPr="004E2A62">
        <w:t>those following mental health law</w:t>
      </w:r>
      <w:proofErr w:type="gramEnd"/>
      <w:r w:rsidRPr="004E2A62">
        <w:t xml:space="preserve"> that the </w:t>
      </w:r>
      <w:r w:rsidRPr="004E2A62">
        <w:rPr>
          <w:i/>
          <w:iCs/>
        </w:rPr>
        <w:t xml:space="preserve">PS </w:t>
      </w:r>
      <w:r w:rsidRPr="004E2A62">
        <w:t>case does not solve the</w:t>
      </w:r>
      <w:r>
        <w:t xml:space="preserve"> </w:t>
      </w:r>
      <w:r w:rsidRPr="004E2A62">
        <w:t>issues relating to the enforced psychiatric treatment of persons offering competent treatment</w:t>
      </w:r>
      <w:r>
        <w:t xml:space="preserve"> </w:t>
      </w:r>
      <w:r w:rsidRPr="004E2A62">
        <w:t>refusal. The debate remains in its infancy in England, offered little guidance from a Strasbourg</w:t>
      </w:r>
      <w:r>
        <w:t xml:space="preserve"> </w:t>
      </w:r>
      <w:r w:rsidRPr="004E2A62">
        <w:t xml:space="preserve">court that similarly has not addressed the core issue. If </w:t>
      </w:r>
      <w:r w:rsidRPr="004E2A62">
        <w:rPr>
          <w:i/>
          <w:iCs/>
        </w:rPr>
        <w:t xml:space="preserve">PS </w:t>
      </w:r>
      <w:r w:rsidRPr="004E2A62">
        <w:t xml:space="preserve">is correct in its application of </w:t>
      </w:r>
      <w:r w:rsidRPr="004E2A62">
        <w:rPr>
          <w:i/>
          <w:iCs/>
        </w:rPr>
        <w:t>Wilkinson</w:t>
      </w:r>
      <w:r w:rsidRPr="004E2A62">
        <w:t>,</w:t>
      </w:r>
      <w:r>
        <w:t xml:space="preserve"> </w:t>
      </w:r>
      <w:r w:rsidRPr="004E2A62">
        <w:t>we know that a capable refusal is relevant to possible violations of article 3 in particular, and we</w:t>
      </w:r>
      <w:r>
        <w:t xml:space="preserve"> </w:t>
      </w:r>
      <w:r w:rsidRPr="004E2A62">
        <w:t>know that the standard for intervention over the patient’s objection is something less that the</w:t>
      </w:r>
      <w:r>
        <w:t xml:space="preserve"> </w:t>
      </w:r>
      <w:r w:rsidRPr="004E2A62">
        <w:t>protection of the patient or others from serious harm (dangerousness). If we know what the</w:t>
      </w:r>
      <w:r>
        <w:t xml:space="preserve"> </w:t>
      </w:r>
      <w:r w:rsidRPr="004E2A62">
        <w:t>standard is not, we sadly do not know what the standard is. Rather, the refusal disappears into an</w:t>
      </w:r>
      <w:r>
        <w:t xml:space="preserve"> </w:t>
      </w:r>
      <w:r w:rsidRPr="004E2A62">
        <w:t>indeterminate mix of other facts, offering little guidance to clinicians and little protection to</w:t>
      </w:r>
      <w:r>
        <w:t xml:space="preserve"> </w:t>
      </w:r>
      <w:r w:rsidRPr="004E2A62">
        <w:t>patients.</w:t>
      </w:r>
    </w:p>
    <w:p w:rsidR="004E2A62" w:rsidRPr="004E2A62" w:rsidRDefault="004E2A62" w:rsidP="004E2A62"/>
    <w:p w:rsidR="004E2A62" w:rsidRPr="004E2A62" w:rsidRDefault="004E2A62" w:rsidP="004E2A62">
      <w:pPr>
        <w:rPr>
          <w:sz w:val="18"/>
        </w:rPr>
      </w:pPr>
      <w:proofErr w:type="gramStart"/>
      <w:r w:rsidRPr="004E2A62">
        <w:rPr>
          <w:i/>
          <w:iCs/>
          <w:sz w:val="18"/>
        </w:rPr>
        <w:t>My thanks to John Horne and Oliver Lewis for providing comments on a draft of this article.</w:t>
      </w:r>
      <w:proofErr w:type="gramEnd"/>
      <w:r w:rsidRPr="004E2A62">
        <w:rPr>
          <w:i/>
          <w:iCs/>
          <w:sz w:val="18"/>
        </w:rPr>
        <w:t xml:space="preserve"> All errors, of course, remain my responsibility.</w:t>
      </w:r>
    </w:p>
    <w:sectPr w:rsidR="004E2A62" w:rsidRPr="004E2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6C" w:rsidRDefault="000D256C" w:rsidP="00C428A2">
      <w:pPr>
        <w:spacing w:after="0" w:line="240" w:lineRule="auto"/>
      </w:pPr>
      <w:r>
        <w:separator/>
      </w:r>
    </w:p>
  </w:endnote>
  <w:endnote w:type="continuationSeparator" w:id="0">
    <w:p w:rsidR="000D256C" w:rsidRDefault="000D256C" w:rsidP="00C4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6C" w:rsidRDefault="000D256C" w:rsidP="00C428A2">
      <w:pPr>
        <w:spacing w:after="0" w:line="240" w:lineRule="auto"/>
      </w:pPr>
      <w:r>
        <w:separator/>
      </w:r>
    </w:p>
  </w:footnote>
  <w:footnote w:type="continuationSeparator" w:id="0">
    <w:p w:rsidR="000D256C" w:rsidRDefault="000D256C" w:rsidP="00C428A2">
      <w:pPr>
        <w:spacing w:after="0" w:line="240" w:lineRule="auto"/>
      </w:pPr>
      <w:r>
        <w:continuationSeparator/>
      </w:r>
    </w:p>
  </w:footnote>
  <w:footnote w:id="1">
    <w:p w:rsidR="000D256C" w:rsidRPr="00C428A2" w:rsidRDefault="000D256C" w:rsidP="00C428A2">
      <w:pPr>
        <w:pStyle w:val="FootnoteText"/>
        <w:rPr>
          <w:sz w:val="16"/>
        </w:rPr>
      </w:pPr>
      <w:r w:rsidRPr="00C428A2">
        <w:rPr>
          <w:rStyle w:val="FootnoteReference"/>
          <w:sz w:val="16"/>
        </w:rPr>
        <w:t>*</w:t>
      </w:r>
      <w:r w:rsidRPr="00C428A2">
        <w:rPr>
          <w:sz w:val="16"/>
        </w:rPr>
        <w:t xml:space="preserve"> </w:t>
      </w:r>
      <w:proofErr w:type="gramStart"/>
      <w:r w:rsidRPr="00C428A2">
        <w:rPr>
          <w:sz w:val="16"/>
        </w:rPr>
        <w:t>Senior Lecturer, School of Law, University of Nottingham; Co-author ‘Mental Health Law Policy and Practice’,</w:t>
      </w:r>
      <w:r>
        <w:rPr>
          <w:sz w:val="16"/>
        </w:rPr>
        <w:t xml:space="preserve"> </w:t>
      </w:r>
      <w:r w:rsidRPr="00C428A2">
        <w:rPr>
          <w:sz w:val="16"/>
        </w:rPr>
        <w:t>Oxford Publishing Press (2nd edition, 2003).</w:t>
      </w:r>
      <w:proofErr w:type="gramEnd"/>
    </w:p>
  </w:footnote>
  <w:footnote w:id="2">
    <w:p w:rsidR="000D256C" w:rsidRPr="00B33452" w:rsidRDefault="000D256C">
      <w:pPr>
        <w:pStyle w:val="FootnoteText"/>
        <w:rPr>
          <w:sz w:val="16"/>
          <w:lang w:val="es-ES"/>
        </w:rPr>
      </w:pPr>
      <w:r w:rsidRPr="004C6FAC">
        <w:rPr>
          <w:rStyle w:val="FootnoteReference"/>
          <w:sz w:val="16"/>
        </w:rPr>
        <w:footnoteRef/>
      </w:r>
      <w:r w:rsidRPr="00B33452">
        <w:rPr>
          <w:sz w:val="16"/>
          <w:lang w:val="es-ES"/>
        </w:rPr>
        <w:t xml:space="preserve"> [2001] EWCA </w:t>
      </w:r>
      <w:proofErr w:type="spellStart"/>
      <w:r w:rsidRPr="00B33452">
        <w:rPr>
          <w:sz w:val="16"/>
          <w:lang w:val="es-ES"/>
        </w:rPr>
        <w:t>Civ</w:t>
      </w:r>
      <w:proofErr w:type="spellEnd"/>
      <w:r w:rsidRPr="00B33452">
        <w:rPr>
          <w:sz w:val="16"/>
          <w:lang w:val="es-ES"/>
        </w:rPr>
        <w:t xml:space="preserve"> 1545</w:t>
      </w:r>
    </w:p>
  </w:footnote>
  <w:footnote w:id="3">
    <w:p w:rsidR="000D256C" w:rsidRPr="00B33452" w:rsidRDefault="000D256C">
      <w:pPr>
        <w:pStyle w:val="FootnoteText"/>
        <w:rPr>
          <w:sz w:val="16"/>
          <w:lang w:val="es-ES"/>
        </w:rPr>
      </w:pPr>
      <w:r w:rsidRPr="004C6FAC">
        <w:rPr>
          <w:rStyle w:val="FootnoteReference"/>
          <w:sz w:val="16"/>
        </w:rPr>
        <w:footnoteRef/>
      </w:r>
      <w:r w:rsidRPr="00B33452">
        <w:rPr>
          <w:sz w:val="16"/>
          <w:lang w:val="es-ES"/>
        </w:rPr>
        <w:t xml:space="preserve"> [2002] EWCA </w:t>
      </w:r>
      <w:proofErr w:type="spellStart"/>
      <w:r w:rsidRPr="00B33452">
        <w:rPr>
          <w:sz w:val="16"/>
          <w:lang w:val="es-ES"/>
        </w:rPr>
        <w:t>Civ</w:t>
      </w:r>
      <w:proofErr w:type="spellEnd"/>
      <w:r w:rsidRPr="00B33452">
        <w:rPr>
          <w:sz w:val="16"/>
          <w:lang w:val="es-ES"/>
        </w:rPr>
        <w:t xml:space="preserve"> 1789</w:t>
      </w:r>
    </w:p>
  </w:footnote>
  <w:footnote w:id="4">
    <w:p w:rsidR="000D256C" w:rsidRPr="00B33452" w:rsidRDefault="000D256C">
      <w:pPr>
        <w:pStyle w:val="FootnoteText"/>
        <w:rPr>
          <w:sz w:val="16"/>
          <w:lang w:val="es-ES"/>
        </w:rPr>
      </w:pPr>
      <w:r w:rsidRPr="007F76FA">
        <w:rPr>
          <w:rStyle w:val="FootnoteReference"/>
          <w:sz w:val="16"/>
        </w:rPr>
        <w:footnoteRef/>
      </w:r>
      <w:r w:rsidRPr="00B33452">
        <w:rPr>
          <w:sz w:val="16"/>
          <w:lang w:val="es-ES"/>
        </w:rPr>
        <w:t xml:space="preserve"> [1990] 2 AC 1</w:t>
      </w:r>
    </w:p>
  </w:footnote>
  <w:footnote w:id="5">
    <w:p w:rsidR="000D256C" w:rsidRPr="00B33452" w:rsidRDefault="000D256C">
      <w:pPr>
        <w:pStyle w:val="FootnoteText"/>
        <w:rPr>
          <w:sz w:val="16"/>
          <w:lang w:val="de-DE"/>
        </w:rPr>
      </w:pPr>
      <w:r w:rsidRPr="007F76FA">
        <w:rPr>
          <w:rStyle w:val="FootnoteReference"/>
          <w:sz w:val="16"/>
        </w:rPr>
        <w:footnoteRef/>
      </w:r>
      <w:r w:rsidRPr="00B33452">
        <w:rPr>
          <w:sz w:val="16"/>
          <w:lang w:val="de-DE"/>
        </w:rPr>
        <w:t xml:space="preserve"> </w:t>
      </w:r>
      <w:r w:rsidRPr="00B33452">
        <w:rPr>
          <w:sz w:val="16"/>
          <w:lang w:val="de-DE"/>
        </w:rPr>
        <w:t>[2000] 2 FLR 389</w:t>
      </w:r>
    </w:p>
  </w:footnote>
  <w:footnote w:id="6">
    <w:p w:rsidR="000D256C" w:rsidRPr="00B33452" w:rsidRDefault="000D256C">
      <w:pPr>
        <w:pStyle w:val="FootnoteText"/>
        <w:rPr>
          <w:sz w:val="16"/>
          <w:lang w:val="de-DE"/>
        </w:rPr>
      </w:pPr>
      <w:r w:rsidRPr="007F76FA">
        <w:rPr>
          <w:rStyle w:val="FootnoteReference"/>
          <w:sz w:val="16"/>
        </w:rPr>
        <w:footnoteRef/>
      </w:r>
      <w:r w:rsidRPr="00B33452">
        <w:rPr>
          <w:sz w:val="16"/>
          <w:lang w:val="de-DE"/>
        </w:rPr>
        <w:t xml:space="preserve"> </w:t>
      </w:r>
      <w:r w:rsidRPr="00B33452">
        <w:rPr>
          <w:sz w:val="16"/>
          <w:lang w:val="de-DE"/>
        </w:rPr>
        <w:t xml:space="preserve">[2003] </w:t>
      </w:r>
      <w:r w:rsidRPr="00B33452">
        <w:rPr>
          <w:sz w:val="16"/>
          <w:lang w:val="de-DE"/>
        </w:rPr>
        <w:t>1 WLR 617</w:t>
      </w:r>
    </w:p>
  </w:footnote>
  <w:footnote w:id="7">
    <w:p w:rsidR="000D256C" w:rsidRPr="00B33452" w:rsidRDefault="000D256C">
      <w:pPr>
        <w:pStyle w:val="FootnoteText"/>
        <w:rPr>
          <w:sz w:val="16"/>
          <w:lang w:val="de-DE"/>
        </w:rPr>
      </w:pPr>
      <w:r w:rsidRPr="007F76FA">
        <w:rPr>
          <w:rStyle w:val="FootnoteReference"/>
          <w:sz w:val="16"/>
        </w:rPr>
        <w:footnoteRef/>
      </w:r>
      <w:r w:rsidRPr="00B33452">
        <w:rPr>
          <w:sz w:val="16"/>
          <w:lang w:val="de-DE"/>
        </w:rPr>
        <w:t xml:space="preserve"> </w:t>
      </w:r>
      <w:r w:rsidRPr="00B33452">
        <w:rPr>
          <w:sz w:val="16"/>
          <w:lang w:val="de-DE"/>
        </w:rPr>
        <w:t xml:space="preserve">[2002] </w:t>
      </w:r>
      <w:r w:rsidRPr="00B33452">
        <w:rPr>
          <w:sz w:val="16"/>
          <w:lang w:val="de-DE"/>
        </w:rPr>
        <w:t>MHLR 411</w:t>
      </w:r>
    </w:p>
  </w:footnote>
  <w:footnote w:id="8">
    <w:p w:rsidR="000D256C" w:rsidRPr="00B33452" w:rsidRDefault="000D256C">
      <w:pPr>
        <w:pStyle w:val="FootnoteText"/>
        <w:rPr>
          <w:sz w:val="16"/>
          <w:lang w:val="de-DE"/>
        </w:rPr>
      </w:pPr>
      <w:r w:rsidRPr="002B30B5">
        <w:rPr>
          <w:rStyle w:val="FootnoteReference"/>
          <w:sz w:val="16"/>
        </w:rPr>
        <w:footnoteRef/>
      </w:r>
      <w:r w:rsidRPr="00B33452">
        <w:rPr>
          <w:sz w:val="16"/>
          <w:lang w:val="de-DE"/>
        </w:rPr>
        <w:t xml:space="preserve"> </w:t>
      </w:r>
      <w:r w:rsidRPr="00B33452">
        <w:rPr>
          <w:sz w:val="16"/>
          <w:lang w:val="de-DE"/>
        </w:rPr>
        <w:t xml:space="preserve">(1993) </w:t>
      </w:r>
      <w:r w:rsidRPr="00B33452">
        <w:rPr>
          <w:sz w:val="16"/>
          <w:lang w:val="de-DE"/>
        </w:rPr>
        <w:t>15 EHRR CD 100</w:t>
      </w:r>
    </w:p>
  </w:footnote>
  <w:footnote w:id="9">
    <w:p w:rsidR="000D256C" w:rsidRPr="00B33452" w:rsidRDefault="000D256C">
      <w:pPr>
        <w:pStyle w:val="FootnoteText"/>
        <w:rPr>
          <w:sz w:val="16"/>
          <w:lang w:val="de-DE"/>
        </w:rPr>
      </w:pPr>
      <w:r w:rsidRPr="002B30B5">
        <w:rPr>
          <w:rStyle w:val="FootnoteReference"/>
          <w:sz w:val="16"/>
        </w:rPr>
        <w:footnoteRef/>
      </w:r>
      <w:r w:rsidRPr="00B33452">
        <w:rPr>
          <w:sz w:val="16"/>
          <w:lang w:val="de-DE"/>
        </w:rPr>
        <w:t xml:space="preserve"> </w:t>
      </w:r>
      <w:r w:rsidRPr="00B33452">
        <w:rPr>
          <w:sz w:val="16"/>
          <w:lang w:val="de-DE"/>
        </w:rPr>
        <w:t xml:space="preserve">(1992) </w:t>
      </w:r>
      <w:r w:rsidRPr="00B33452">
        <w:rPr>
          <w:sz w:val="16"/>
          <w:lang w:val="de-DE"/>
        </w:rPr>
        <w:t>50 EHRR 437</w:t>
      </w:r>
    </w:p>
  </w:footnote>
  <w:footnote w:id="10">
    <w:p w:rsidR="000D256C" w:rsidRPr="00B33452" w:rsidRDefault="000D256C">
      <w:pPr>
        <w:pStyle w:val="FootnoteText"/>
        <w:rPr>
          <w:sz w:val="16"/>
          <w:lang w:val="de-DE"/>
        </w:rPr>
      </w:pPr>
      <w:r w:rsidRPr="000D256C">
        <w:rPr>
          <w:rStyle w:val="FootnoteReference"/>
          <w:sz w:val="16"/>
        </w:rPr>
        <w:footnoteRef/>
      </w:r>
      <w:r w:rsidRPr="00B33452">
        <w:rPr>
          <w:sz w:val="16"/>
          <w:lang w:val="de-DE"/>
        </w:rPr>
        <w:t xml:space="preserve"> </w:t>
      </w:r>
      <w:r w:rsidRPr="00B33452">
        <w:rPr>
          <w:sz w:val="16"/>
          <w:lang w:val="de-DE"/>
        </w:rPr>
        <w:t xml:space="preserve">(2001) </w:t>
      </w:r>
      <w:r w:rsidRPr="00B33452">
        <w:rPr>
          <w:sz w:val="16"/>
          <w:lang w:val="de-DE"/>
        </w:rPr>
        <w:t>30 EHRR 38</w:t>
      </w:r>
    </w:p>
  </w:footnote>
  <w:footnote w:id="11">
    <w:p w:rsidR="000D256C" w:rsidRPr="00B33452" w:rsidRDefault="000D256C">
      <w:pPr>
        <w:pStyle w:val="FootnoteText"/>
        <w:rPr>
          <w:sz w:val="16"/>
          <w:lang w:val="de-DE"/>
        </w:rPr>
      </w:pPr>
      <w:r w:rsidRPr="000D256C">
        <w:rPr>
          <w:rStyle w:val="FootnoteReference"/>
          <w:sz w:val="16"/>
        </w:rPr>
        <w:footnoteRef/>
      </w:r>
      <w:r w:rsidRPr="00B33452">
        <w:rPr>
          <w:sz w:val="16"/>
          <w:lang w:val="de-DE"/>
        </w:rPr>
        <w:t xml:space="preserve"> </w:t>
      </w:r>
      <w:r w:rsidRPr="00B33452">
        <w:rPr>
          <w:sz w:val="16"/>
          <w:lang w:val="de-DE"/>
        </w:rPr>
        <w:t xml:space="preserve">(1996) </w:t>
      </w:r>
      <w:r w:rsidRPr="00B33452">
        <w:rPr>
          <w:sz w:val="16"/>
          <w:lang w:val="de-DE"/>
        </w:rPr>
        <w:t>23 EHRR 553 at para. 62</w:t>
      </w:r>
    </w:p>
  </w:footnote>
  <w:footnote w:id="12">
    <w:p w:rsidR="000D256C" w:rsidRPr="000D256C" w:rsidRDefault="000D256C" w:rsidP="000D256C">
      <w:pPr>
        <w:pStyle w:val="FootnoteText"/>
        <w:rPr>
          <w:sz w:val="16"/>
        </w:rPr>
      </w:pPr>
      <w:r w:rsidRPr="000D256C">
        <w:rPr>
          <w:rStyle w:val="FootnoteReference"/>
          <w:sz w:val="16"/>
        </w:rPr>
        <w:footnoteRef/>
      </w:r>
      <w:r w:rsidRPr="000D256C">
        <w:rPr>
          <w:sz w:val="16"/>
        </w:rPr>
        <w:t xml:space="preserve"> Committee for the Prevention of Torture, (2000) Report, Strasbourg: Council of Europe para 41. See also Wilkinson at para 28.</w:t>
      </w:r>
    </w:p>
  </w:footnote>
  <w:footnote w:id="13">
    <w:p w:rsidR="000D256C" w:rsidRPr="000D256C" w:rsidRDefault="000D256C">
      <w:pPr>
        <w:pStyle w:val="FootnoteText"/>
        <w:rPr>
          <w:sz w:val="16"/>
        </w:rPr>
      </w:pPr>
      <w:r w:rsidRPr="000D256C">
        <w:rPr>
          <w:rStyle w:val="FootnoteReference"/>
          <w:sz w:val="16"/>
        </w:rPr>
        <w:footnoteRef/>
      </w:r>
      <w:r w:rsidRPr="000D256C">
        <w:rPr>
          <w:sz w:val="16"/>
        </w:rPr>
        <w:t xml:space="preserve"> (1999) 29 EHRR 403, at para 99</w:t>
      </w:r>
    </w:p>
  </w:footnote>
  <w:footnote w:id="14">
    <w:p w:rsidR="000D256C" w:rsidRPr="000D256C" w:rsidRDefault="000D256C">
      <w:pPr>
        <w:pStyle w:val="FootnoteText"/>
        <w:rPr>
          <w:sz w:val="16"/>
        </w:rPr>
      </w:pPr>
      <w:r w:rsidRPr="000D256C">
        <w:rPr>
          <w:rStyle w:val="FootnoteReference"/>
          <w:sz w:val="16"/>
        </w:rPr>
        <w:footnoteRef/>
      </w:r>
      <w:r w:rsidRPr="000D256C">
        <w:rPr>
          <w:sz w:val="16"/>
        </w:rPr>
        <w:t xml:space="preserve"> appl. 3021/96, para 92</w:t>
      </w:r>
    </w:p>
  </w:footnote>
  <w:footnote w:id="15">
    <w:p w:rsidR="004E2A62" w:rsidRPr="004E2A62" w:rsidRDefault="004E2A62">
      <w:pPr>
        <w:pStyle w:val="FootnoteText"/>
        <w:rPr>
          <w:sz w:val="16"/>
        </w:rPr>
      </w:pPr>
      <w:r w:rsidRPr="004E2A62">
        <w:rPr>
          <w:rStyle w:val="FootnoteReference"/>
          <w:sz w:val="16"/>
        </w:rPr>
        <w:footnoteRef/>
      </w:r>
      <w:r w:rsidRPr="004E2A62">
        <w:rPr>
          <w:sz w:val="16"/>
        </w:rPr>
        <w:t xml:space="preserve"> [2003] EWCA </w:t>
      </w:r>
      <w:proofErr w:type="spellStart"/>
      <w:r w:rsidRPr="004E2A62">
        <w:rPr>
          <w:sz w:val="16"/>
        </w:rPr>
        <w:t>Civ</w:t>
      </w:r>
      <w:proofErr w:type="spellEnd"/>
      <w:r w:rsidRPr="004E2A62">
        <w:rPr>
          <w:sz w:val="16"/>
        </w:rPr>
        <w:t xml:space="preserve"> 1036</w:t>
      </w:r>
    </w:p>
  </w:footnote>
  <w:footnote w:id="16">
    <w:p w:rsidR="004E2A62" w:rsidRPr="004E2A62" w:rsidRDefault="004E2A62">
      <w:pPr>
        <w:pStyle w:val="FootnoteText"/>
        <w:rPr>
          <w:sz w:val="16"/>
        </w:rPr>
      </w:pPr>
      <w:r w:rsidRPr="004E2A62">
        <w:rPr>
          <w:rStyle w:val="FootnoteReference"/>
          <w:sz w:val="16"/>
        </w:rPr>
        <w:footnoteRef/>
      </w:r>
      <w:r w:rsidRPr="004E2A62">
        <w:rPr>
          <w:sz w:val="16"/>
        </w:rPr>
        <w:t xml:space="preserve"> [2000] 1 MHLR 120</w:t>
      </w:r>
    </w:p>
  </w:footnote>
  <w:footnote w:id="17">
    <w:p w:rsidR="004E2A62" w:rsidRPr="004E2A62" w:rsidRDefault="004E2A62">
      <w:pPr>
        <w:pStyle w:val="FootnoteText"/>
        <w:rPr>
          <w:sz w:val="16"/>
        </w:rPr>
      </w:pPr>
      <w:r w:rsidRPr="004E2A62">
        <w:rPr>
          <w:rStyle w:val="FootnoteReference"/>
          <w:sz w:val="16"/>
        </w:rPr>
        <w:footnoteRef/>
      </w:r>
      <w:r w:rsidRPr="004E2A62">
        <w:rPr>
          <w:sz w:val="16"/>
        </w:rPr>
        <w:t xml:space="preserve"> </w:t>
      </w:r>
      <w:proofErr w:type="gramStart"/>
      <w:r w:rsidRPr="004E2A62">
        <w:rPr>
          <w:sz w:val="16"/>
        </w:rPr>
        <w:t>(1968) 1 EHRR 252 at para.</w:t>
      </w:r>
      <w:proofErr w:type="gramEnd"/>
      <w:r w:rsidRPr="004E2A62">
        <w:rPr>
          <w:sz w:val="16"/>
        </w:rPr>
        <w:t xml:space="preserve"> 9</w:t>
      </w:r>
    </w:p>
  </w:footnote>
  <w:footnote w:id="18">
    <w:p w:rsidR="004E2A62" w:rsidRPr="004E2A62" w:rsidRDefault="004E2A62">
      <w:pPr>
        <w:pStyle w:val="FootnoteText"/>
        <w:rPr>
          <w:sz w:val="16"/>
        </w:rPr>
      </w:pPr>
      <w:r w:rsidRPr="004E2A62">
        <w:rPr>
          <w:rStyle w:val="FootnoteReference"/>
          <w:sz w:val="16"/>
        </w:rPr>
        <w:footnoteRef/>
      </w:r>
      <w:r w:rsidRPr="004E2A62">
        <w:rPr>
          <w:sz w:val="16"/>
        </w:rPr>
        <w:t xml:space="preserve"> [2002] 1 All ER 1 (HL) at para 105</w:t>
      </w:r>
    </w:p>
  </w:footnote>
  <w:footnote w:id="19">
    <w:p w:rsidR="004E2A62" w:rsidRPr="004E2A62" w:rsidRDefault="004E2A62">
      <w:pPr>
        <w:pStyle w:val="FootnoteText"/>
        <w:rPr>
          <w:sz w:val="16"/>
        </w:rPr>
      </w:pPr>
      <w:r w:rsidRPr="004E2A62">
        <w:rPr>
          <w:rStyle w:val="FootnoteReference"/>
          <w:sz w:val="16"/>
        </w:rPr>
        <w:footnoteRef/>
      </w:r>
      <w:r w:rsidRPr="004E2A62">
        <w:rPr>
          <w:sz w:val="16"/>
        </w:rPr>
        <w:t xml:space="preserve"> [2002] MHLR 411</w:t>
      </w:r>
    </w:p>
  </w:footnote>
  <w:footnote w:id="20">
    <w:p w:rsidR="00B33452" w:rsidRPr="00B33452" w:rsidRDefault="00B33452">
      <w:pPr>
        <w:pStyle w:val="FootnoteText"/>
        <w:rPr>
          <w:sz w:val="16"/>
        </w:rPr>
      </w:pPr>
      <w:r w:rsidRPr="00B33452">
        <w:rPr>
          <w:rStyle w:val="FootnoteReference"/>
          <w:sz w:val="16"/>
        </w:rPr>
        <w:footnoteRef/>
      </w:r>
      <w:r w:rsidRPr="00B33452">
        <w:rPr>
          <w:sz w:val="16"/>
        </w:rPr>
        <w:t xml:space="preserve"> [1994] 1 WLR 290</w:t>
      </w:r>
    </w:p>
  </w:footnote>
  <w:footnote w:id="21">
    <w:p w:rsidR="00B33452" w:rsidRPr="00B33452" w:rsidRDefault="00B33452">
      <w:pPr>
        <w:pStyle w:val="FootnoteText"/>
        <w:rPr>
          <w:sz w:val="16"/>
        </w:rPr>
      </w:pPr>
      <w:r w:rsidRPr="00B33452">
        <w:rPr>
          <w:rStyle w:val="FootnoteReference"/>
          <w:sz w:val="16"/>
        </w:rPr>
        <w:footnoteRef/>
      </w:r>
      <w:r w:rsidRPr="00B33452">
        <w:rPr>
          <w:sz w:val="16"/>
        </w:rPr>
        <w:t xml:space="preserve"> [1995] 1 All ER 683 (CA)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1B8A"/>
    <w:multiLevelType w:val="hybridMultilevel"/>
    <w:tmpl w:val="47CCD54C"/>
    <w:lvl w:ilvl="0" w:tplc="8878F7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F103B"/>
    <w:multiLevelType w:val="hybridMultilevel"/>
    <w:tmpl w:val="B044C312"/>
    <w:lvl w:ilvl="0" w:tplc="8878F7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402E8"/>
    <w:multiLevelType w:val="hybridMultilevel"/>
    <w:tmpl w:val="661CA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75"/>
    <w:rsid w:val="000D256C"/>
    <w:rsid w:val="002B30B5"/>
    <w:rsid w:val="002E44DB"/>
    <w:rsid w:val="003A0C75"/>
    <w:rsid w:val="004C6FAC"/>
    <w:rsid w:val="004E2A62"/>
    <w:rsid w:val="00612BE7"/>
    <w:rsid w:val="007F76FA"/>
    <w:rsid w:val="00B33452"/>
    <w:rsid w:val="00C428A2"/>
    <w:rsid w:val="00CB453F"/>
    <w:rsid w:val="00F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28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8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8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C6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28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8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8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C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6AFD-EEE7-40C6-AFA2-1C00F072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7357</Words>
  <Characters>41937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49196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7</cp:revision>
  <dcterms:created xsi:type="dcterms:W3CDTF">2014-10-16T14:36:00Z</dcterms:created>
  <dcterms:modified xsi:type="dcterms:W3CDTF">2014-10-16T15:27:00Z</dcterms:modified>
</cp:coreProperties>
</file>