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6" w:rsidRPr="00991046" w:rsidRDefault="00991046" w:rsidP="00991046">
      <w:pPr>
        <w:rPr>
          <w:b/>
          <w:bCs/>
          <w:i/>
          <w:iCs/>
          <w:sz w:val="40"/>
          <w:szCs w:val="40"/>
        </w:rPr>
      </w:pPr>
      <w:r w:rsidRPr="00991046">
        <w:rPr>
          <w:b/>
          <w:bCs/>
          <w:i/>
          <w:iCs/>
          <w:sz w:val="40"/>
          <w:szCs w:val="40"/>
        </w:rPr>
        <w:t>One Code to rule them all, one code to bind them: the seclusion of detained patients.</w:t>
      </w:r>
    </w:p>
    <w:p w:rsidR="00991046" w:rsidRPr="00991046" w:rsidRDefault="00991046" w:rsidP="00991046">
      <w:pPr>
        <w:rPr>
          <w:sz w:val="28"/>
        </w:rPr>
      </w:pPr>
      <w:r w:rsidRPr="00991046">
        <w:rPr>
          <w:i/>
          <w:iCs/>
          <w:sz w:val="28"/>
        </w:rPr>
        <w:t>Simon Foster</w:t>
      </w:r>
      <w:r>
        <w:rPr>
          <w:rStyle w:val="FootnoteReference"/>
          <w:i/>
          <w:iCs/>
          <w:sz w:val="28"/>
        </w:rPr>
        <w:footnoteReference w:id="1"/>
      </w:r>
    </w:p>
    <w:p w:rsidR="00991046" w:rsidRDefault="00991046" w:rsidP="00991046">
      <w:pPr>
        <w:rPr>
          <w:b/>
          <w:bCs/>
        </w:rPr>
      </w:pPr>
    </w:p>
    <w:p w:rsidR="00991046" w:rsidRPr="00991046" w:rsidRDefault="00991046" w:rsidP="00991046">
      <w:pPr>
        <w:rPr>
          <w:b/>
          <w:bCs/>
        </w:rPr>
      </w:pPr>
      <w:r w:rsidRPr="00991046">
        <w:rPr>
          <w:b/>
          <w:bCs/>
        </w:rPr>
        <w:t xml:space="preserve">R v Ashworth Hospital Authority (now Mersey Care NHS Trust) ex parte </w:t>
      </w:r>
      <w:proofErr w:type="spellStart"/>
      <w:proofErr w:type="gramStart"/>
      <w:r w:rsidRPr="00991046">
        <w:rPr>
          <w:b/>
          <w:bCs/>
        </w:rPr>
        <w:t>Munjaz</w:t>
      </w:r>
      <w:proofErr w:type="spellEnd"/>
      <w:proofErr w:type="gramEnd"/>
      <w:r>
        <w:rPr>
          <w:b/>
          <w:bCs/>
        </w:rPr>
        <w:br/>
      </w:r>
      <w:r w:rsidRPr="00991046">
        <w:rPr>
          <w:b/>
          <w:bCs/>
        </w:rPr>
        <w:t xml:space="preserve">[2005] UKHL 58 (On appeal from [2003] EWCA </w:t>
      </w:r>
      <w:proofErr w:type="spellStart"/>
      <w:r w:rsidRPr="00991046">
        <w:rPr>
          <w:b/>
          <w:bCs/>
        </w:rPr>
        <w:t>Civ</w:t>
      </w:r>
      <w:proofErr w:type="spellEnd"/>
      <w:r w:rsidRPr="00991046">
        <w:rPr>
          <w:b/>
          <w:bCs/>
        </w:rPr>
        <w:t xml:space="preserve"> 1036)</w:t>
      </w:r>
    </w:p>
    <w:p w:rsidR="00991046" w:rsidRDefault="00991046" w:rsidP="00991046">
      <w:pPr>
        <w:rPr>
          <w:b/>
          <w:bCs/>
        </w:rPr>
      </w:pPr>
    </w:p>
    <w:p w:rsidR="00991046" w:rsidRPr="00991046" w:rsidRDefault="00991046" w:rsidP="00991046">
      <w:pPr>
        <w:rPr>
          <w:b/>
          <w:bCs/>
          <w:sz w:val="24"/>
        </w:rPr>
      </w:pPr>
      <w:r w:rsidRPr="00991046">
        <w:rPr>
          <w:b/>
          <w:bCs/>
          <w:sz w:val="24"/>
        </w:rPr>
        <w:t>Introduction</w:t>
      </w:r>
    </w:p>
    <w:p w:rsidR="00991046" w:rsidRPr="00991046" w:rsidRDefault="00991046" w:rsidP="00991046">
      <w:r w:rsidRPr="00991046">
        <w:t>The issue in this appeal was whether a hospital could lawfully implement a seclusion policy which</w:t>
      </w:r>
      <w:r>
        <w:t xml:space="preserve"> </w:t>
      </w:r>
      <w:r w:rsidRPr="00991046">
        <w:t>departed from the framework in the Mental Health Act Code of Practice, 1999 revision (“the Code”).</w:t>
      </w:r>
      <w:r>
        <w:t xml:space="preserve"> </w:t>
      </w:r>
      <w:r w:rsidRPr="00991046">
        <w:t>However, the significance of the case is much wider, going to the status of the Code as a whole.</w:t>
      </w:r>
    </w:p>
    <w:p w:rsidR="00991046" w:rsidRDefault="00991046" w:rsidP="00991046">
      <w:pPr>
        <w:rPr>
          <w:b/>
          <w:bCs/>
        </w:rPr>
      </w:pPr>
    </w:p>
    <w:p w:rsidR="00991046" w:rsidRPr="00991046" w:rsidRDefault="00991046" w:rsidP="00991046">
      <w:pPr>
        <w:rPr>
          <w:b/>
          <w:bCs/>
          <w:sz w:val="24"/>
        </w:rPr>
      </w:pPr>
      <w:r w:rsidRPr="00991046">
        <w:rPr>
          <w:b/>
          <w:bCs/>
          <w:sz w:val="24"/>
        </w:rPr>
        <w:t>The facts</w:t>
      </w:r>
    </w:p>
    <w:p w:rsidR="00991046" w:rsidRPr="00991046" w:rsidRDefault="00991046" w:rsidP="00991046">
      <w:r w:rsidRPr="00991046">
        <w:t xml:space="preserve">Colonel </w:t>
      </w:r>
      <w:proofErr w:type="spellStart"/>
      <w:r w:rsidRPr="00991046">
        <w:t>Munjaz</w:t>
      </w:r>
      <w:proofErr w:type="spellEnd"/>
      <w:r w:rsidRPr="00991046">
        <w:t>, a man in his late 50s, is a patient at Ashworth high security hospital. In 1999</w:t>
      </w:r>
      <w:r>
        <w:t xml:space="preserve"> </w:t>
      </w:r>
      <w:r w:rsidRPr="00991046">
        <w:t>Ashworth introduced a written policy governing the seclusion of patients detained there which</w:t>
      </w:r>
      <w:r>
        <w:t xml:space="preserve"> </w:t>
      </w:r>
      <w:r w:rsidRPr="00991046">
        <w:t>diverged considerably from the framework in the Code, particularly with regard to the frequency</w:t>
      </w:r>
      <w:r>
        <w:t xml:space="preserve"> </w:t>
      </w:r>
      <w:r w:rsidRPr="00991046">
        <w:t xml:space="preserve">of review. Mr </w:t>
      </w:r>
      <w:proofErr w:type="spellStart"/>
      <w:r w:rsidRPr="00991046">
        <w:t>Munjaz</w:t>
      </w:r>
      <w:proofErr w:type="spellEnd"/>
      <w:r w:rsidRPr="00991046">
        <w:t xml:space="preserve"> was subjected to seclusion on a number of occasions. He brought judicial</w:t>
      </w:r>
      <w:r>
        <w:t xml:space="preserve"> </w:t>
      </w:r>
      <w:r w:rsidRPr="00991046">
        <w:t>review proceedings, challenging both the decisions to seclude him and the legality of Ashworth’s</w:t>
      </w:r>
      <w:r>
        <w:t xml:space="preserve"> </w:t>
      </w:r>
      <w:r w:rsidRPr="00991046">
        <w:t xml:space="preserve">policy as a whole. The court did not permit the claim in respect of Mr </w:t>
      </w:r>
      <w:proofErr w:type="spellStart"/>
      <w:r w:rsidRPr="00991046">
        <w:t>Munjaz’s</w:t>
      </w:r>
      <w:proofErr w:type="spellEnd"/>
      <w:r w:rsidRPr="00991046">
        <w:t xml:space="preserve"> own seclusion to</w:t>
      </w:r>
      <w:r>
        <w:t xml:space="preserve"> </w:t>
      </w:r>
      <w:r w:rsidRPr="00991046">
        <w:t>be pursued, but in 2000 Jackson J ruled that the provisions for review in Ashworth’s policy were</w:t>
      </w:r>
      <w:r>
        <w:t xml:space="preserve"> </w:t>
      </w:r>
      <w:r w:rsidRPr="00991046">
        <w:t xml:space="preserve">not ones which a reasonable authority could adopt: </w:t>
      </w:r>
      <w:r w:rsidRPr="00991046">
        <w:rPr>
          <w:i/>
          <w:iCs/>
        </w:rPr>
        <w:t>R v Ashworth Special Hospital Trust ex parte</w:t>
      </w:r>
      <w:r>
        <w:rPr>
          <w:i/>
          <w:iCs/>
        </w:rPr>
        <w:t xml:space="preserve"> </w:t>
      </w:r>
      <w:proofErr w:type="spellStart"/>
      <w:r w:rsidRPr="00991046">
        <w:rPr>
          <w:i/>
          <w:iCs/>
        </w:rPr>
        <w:t>Munjaz</w:t>
      </w:r>
      <w:proofErr w:type="spellEnd"/>
      <w:r w:rsidRPr="00991046">
        <w:rPr>
          <w:i/>
          <w:iCs/>
        </w:rPr>
        <w:t xml:space="preserve"> </w:t>
      </w:r>
      <w:r w:rsidRPr="00991046">
        <w:t>[2000] MHLR 183.</w:t>
      </w:r>
    </w:p>
    <w:p w:rsidR="00991046" w:rsidRPr="00991046" w:rsidRDefault="00991046" w:rsidP="00991046">
      <w:r w:rsidRPr="00991046">
        <w:t>Ashworth revised its seclusion policy. The new policy, which still diverged considerably from that</w:t>
      </w:r>
      <w:r>
        <w:t xml:space="preserve"> </w:t>
      </w:r>
      <w:r w:rsidRPr="00991046">
        <w:t>in the Code, was put into effect in December 2002.</w:t>
      </w:r>
    </w:p>
    <w:p w:rsidR="00991046" w:rsidRDefault="00991046" w:rsidP="00991046">
      <w:r w:rsidRPr="00991046">
        <w:t xml:space="preserve">In July 2001 Mr </w:t>
      </w:r>
      <w:proofErr w:type="spellStart"/>
      <w:r w:rsidRPr="00991046">
        <w:t>Munjaz</w:t>
      </w:r>
      <w:proofErr w:type="spellEnd"/>
      <w:r w:rsidRPr="00991046">
        <w:t xml:space="preserve"> had brought fresh judicial review proceedings to challenge Ashworth’s</w:t>
      </w:r>
      <w:r>
        <w:t xml:space="preserve"> </w:t>
      </w:r>
      <w:r w:rsidRPr="00991046">
        <w:t>failure to amend its policy as required by the judge; the claim was amended to challenge</w:t>
      </w:r>
      <w:r>
        <w:t xml:space="preserve"> </w:t>
      </w:r>
      <w:r w:rsidRPr="00991046">
        <w:t xml:space="preserve">Ashworth’s new policy. Mr </w:t>
      </w:r>
      <w:proofErr w:type="spellStart"/>
      <w:r w:rsidRPr="00991046">
        <w:t>Munjaz</w:t>
      </w:r>
      <w:proofErr w:type="spellEnd"/>
      <w:r w:rsidRPr="00991046">
        <w:t xml:space="preserve"> also initially challenged the use of seclusion in his case but this</w:t>
      </w:r>
      <w:r>
        <w:t xml:space="preserve"> </w:t>
      </w:r>
      <w:r w:rsidRPr="00991046">
        <w:t>aspect of his claim was not pursued.</w:t>
      </w:r>
    </w:p>
    <w:p w:rsidR="00991046" w:rsidRPr="00991046" w:rsidRDefault="00991046" w:rsidP="00991046"/>
    <w:p w:rsidR="00991046" w:rsidRPr="00991046" w:rsidRDefault="00991046" w:rsidP="00991046">
      <w:pPr>
        <w:rPr>
          <w:b/>
          <w:bCs/>
          <w:sz w:val="24"/>
        </w:rPr>
      </w:pPr>
      <w:r w:rsidRPr="00991046">
        <w:rPr>
          <w:b/>
          <w:bCs/>
          <w:sz w:val="24"/>
        </w:rPr>
        <w:t>The law</w:t>
      </w:r>
    </w:p>
    <w:p w:rsidR="00991046" w:rsidRPr="00991046" w:rsidRDefault="00991046" w:rsidP="00991046">
      <w:r w:rsidRPr="00991046">
        <w:t>Section 118 of the Mental Health Act 1983 provides:</w:t>
      </w:r>
    </w:p>
    <w:p w:rsidR="00991046" w:rsidRDefault="00991046" w:rsidP="00991046">
      <w:pPr>
        <w:pStyle w:val="ListParagraph"/>
        <w:numPr>
          <w:ilvl w:val="0"/>
          <w:numId w:val="1"/>
        </w:numPr>
      </w:pPr>
      <w:r w:rsidRPr="00991046">
        <w:lastRenderedPageBreak/>
        <w:t>The Secretary of State shall prepare, and from time to time revise, a code of practice–</w:t>
      </w:r>
    </w:p>
    <w:p w:rsidR="0030017D" w:rsidRDefault="00991046" w:rsidP="00991046">
      <w:pPr>
        <w:pStyle w:val="ListParagraph"/>
        <w:numPr>
          <w:ilvl w:val="1"/>
          <w:numId w:val="1"/>
        </w:numPr>
      </w:pPr>
      <w:r w:rsidRPr="00991046">
        <w:t>for the guidance of registered medical practitioners, managers and staff of hospitals,</w:t>
      </w:r>
      <w:r>
        <w:t xml:space="preserve"> </w:t>
      </w:r>
      <w:r w:rsidRPr="00991046">
        <w:t>independent hospitals and care homes and approved social workers in relation to the</w:t>
      </w:r>
      <w:r>
        <w:t xml:space="preserve"> </w:t>
      </w:r>
      <w:r w:rsidRPr="00991046">
        <w:t>admission of patients to hospitals and registered establishments under this Act and to</w:t>
      </w:r>
      <w:r>
        <w:t xml:space="preserve"> </w:t>
      </w:r>
      <w:r w:rsidRPr="00991046">
        <w:t>guardianship and after-care under supervision under this Act; and</w:t>
      </w:r>
    </w:p>
    <w:p w:rsidR="0098781F" w:rsidRPr="0098781F" w:rsidRDefault="0098781F" w:rsidP="0098781F">
      <w:pPr>
        <w:pStyle w:val="ListParagraph"/>
        <w:numPr>
          <w:ilvl w:val="1"/>
          <w:numId w:val="1"/>
        </w:numPr>
      </w:pPr>
      <w:proofErr w:type="gramStart"/>
      <w:r w:rsidRPr="0098781F">
        <w:t>for</w:t>
      </w:r>
      <w:proofErr w:type="gramEnd"/>
      <w:r w:rsidRPr="0098781F">
        <w:t xml:space="preserve"> the guidance of registered medical practitioners and members of other professions</w:t>
      </w:r>
      <w:r>
        <w:t xml:space="preserve"> </w:t>
      </w:r>
      <w:r w:rsidRPr="0098781F">
        <w:t>in relation to the medical treatment of patients suffering from mental disorder.</w:t>
      </w:r>
    </w:p>
    <w:p w:rsidR="0098781F" w:rsidRPr="0098781F" w:rsidRDefault="0098781F" w:rsidP="0098781F">
      <w:r w:rsidRPr="0098781F">
        <w:t>From the Introduction to the Mental Health Act 1983 Code of Practice (1999 edition), paragraph 1:</w:t>
      </w:r>
    </w:p>
    <w:p w:rsidR="0098781F" w:rsidRPr="0098781F" w:rsidRDefault="0098781F" w:rsidP="0098781F">
      <w:pPr>
        <w:ind w:left="567" w:right="521"/>
        <w:rPr>
          <w:i/>
          <w:iCs/>
        </w:rPr>
      </w:pPr>
      <w:r w:rsidRPr="0098781F">
        <w:rPr>
          <w:i/>
          <w:iCs/>
        </w:rPr>
        <w:t>“... The Act does not impose a legal duty to comply with the Code but as it is a statutory</w:t>
      </w:r>
      <w:r>
        <w:rPr>
          <w:i/>
          <w:iCs/>
        </w:rPr>
        <w:t xml:space="preserve"> </w:t>
      </w:r>
      <w:r w:rsidRPr="0098781F">
        <w:rPr>
          <w:i/>
          <w:iCs/>
        </w:rPr>
        <w:t>document, failure to follow it could be referred to in evidence in legal proceedings.”</w:t>
      </w:r>
    </w:p>
    <w:p w:rsidR="0098781F" w:rsidRDefault="0098781F" w:rsidP="0098781F">
      <w:pPr>
        <w:rPr>
          <w:b/>
          <w:bCs/>
        </w:rPr>
      </w:pPr>
    </w:p>
    <w:p w:rsidR="0098781F" w:rsidRPr="0098781F" w:rsidRDefault="0098781F" w:rsidP="0098781F">
      <w:pPr>
        <w:rPr>
          <w:b/>
          <w:bCs/>
        </w:rPr>
      </w:pPr>
      <w:r w:rsidRPr="0098781F">
        <w:rPr>
          <w:b/>
          <w:bCs/>
        </w:rPr>
        <w:t>Seclusion in the Code (extracts)</w:t>
      </w:r>
    </w:p>
    <w:p w:rsidR="0098781F" w:rsidRPr="0098781F" w:rsidRDefault="0098781F" w:rsidP="0098781F">
      <w:pPr>
        <w:ind w:left="1440" w:hanging="720"/>
      </w:pPr>
      <w:r>
        <w:t xml:space="preserve">19.16 </w:t>
      </w:r>
      <w:r>
        <w:tab/>
      </w:r>
      <w:r w:rsidRPr="0098781F">
        <w:t>Seclusion is the supervised confinement of a patient in a room, which may be locked to</w:t>
      </w:r>
      <w:r>
        <w:t xml:space="preserve"> </w:t>
      </w:r>
      <w:r w:rsidRPr="0098781F">
        <w:t>protect others from significant harm. Its sole aim is to contain severely disturbed</w:t>
      </w:r>
      <w:r>
        <w:t xml:space="preserve"> </w:t>
      </w:r>
      <w:r w:rsidRPr="0098781F">
        <w:t>behaviour which is likely to cause harm to others.</w:t>
      </w:r>
      <w:r>
        <w:br/>
      </w:r>
      <w:r>
        <w:br/>
      </w:r>
      <w:r w:rsidRPr="0098781F">
        <w:t>Seclusion should be used:</w:t>
      </w:r>
    </w:p>
    <w:p w:rsidR="0098781F" w:rsidRDefault="0098781F" w:rsidP="0098781F">
      <w:pPr>
        <w:pStyle w:val="ListParagraph"/>
        <w:numPr>
          <w:ilvl w:val="0"/>
          <w:numId w:val="4"/>
        </w:numPr>
      </w:pPr>
      <w:r w:rsidRPr="0098781F">
        <w:t>as a last resort;</w:t>
      </w:r>
    </w:p>
    <w:p w:rsidR="0098781F" w:rsidRPr="0098781F" w:rsidRDefault="0098781F" w:rsidP="0098781F">
      <w:pPr>
        <w:pStyle w:val="ListParagraph"/>
        <w:numPr>
          <w:ilvl w:val="0"/>
          <w:numId w:val="4"/>
        </w:numPr>
      </w:pPr>
      <w:proofErr w:type="gramStart"/>
      <w:r w:rsidRPr="0098781F">
        <w:t>for</w:t>
      </w:r>
      <w:proofErr w:type="gramEnd"/>
      <w:r w:rsidRPr="0098781F">
        <w:t xml:space="preserve"> the shortest possible time.</w:t>
      </w:r>
    </w:p>
    <w:p w:rsidR="0098781F" w:rsidRDefault="0098781F" w:rsidP="0098781F">
      <w:pPr>
        <w:ind w:left="720" w:firstLine="720"/>
      </w:pPr>
      <w:r w:rsidRPr="0098781F">
        <w:t>Seclusion should not be used:</w:t>
      </w:r>
    </w:p>
    <w:p w:rsidR="0098781F" w:rsidRDefault="0098781F" w:rsidP="0098781F">
      <w:pPr>
        <w:pStyle w:val="ListParagraph"/>
        <w:numPr>
          <w:ilvl w:val="0"/>
          <w:numId w:val="5"/>
        </w:numPr>
      </w:pPr>
      <w:r w:rsidRPr="0098781F">
        <w:t>as a punishment or threat;</w:t>
      </w:r>
    </w:p>
    <w:p w:rsidR="0098781F" w:rsidRDefault="0098781F" w:rsidP="0098781F">
      <w:pPr>
        <w:pStyle w:val="ListParagraph"/>
        <w:numPr>
          <w:ilvl w:val="0"/>
          <w:numId w:val="5"/>
        </w:numPr>
      </w:pPr>
      <w:r w:rsidRPr="0098781F">
        <w:t>as part of a treatment programme;</w:t>
      </w:r>
    </w:p>
    <w:p w:rsidR="0098781F" w:rsidRDefault="0098781F" w:rsidP="0098781F">
      <w:pPr>
        <w:pStyle w:val="ListParagraph"/>
        <w:numPr>
          <w:ilvl w:val="0"/>
          <w:numId w:val="5"/>
        </w:numPr>
      </w:pPr>
      <w:r w:rsidRPr="0098781F">
        <w:t>because of shortage of staff;</w:t>
      </w:r>
    </w:p>
    <w:p w:rsidR="0098781F" w:rsidRPr="0098781F" w:rsidRDefault="0098781F" w:rsidP="0098781F">
      <w:pPr>
        <w:pStyle w:val="ListParagraph"/>
        <w:numPr>
          <w:ilvl w:val="0"/>
          <w:numId w:val="5"/>
        </w:numPr>
      </w:pPr>
      <w:proofErr w:type="gramStart"/>
      <w:r w:rsidRPr="0098781F">
        <w:t>where</w:t>
      </w:r>
      <w:proofErr w:type="gramEnd"/>
      <w:r w:rsidRPr="0098781F">
        <w:t xml:space="preserve"> there is any risk of suicide or self-harm.</w:t>
      </w:r>
    </w:p>
    <w:p w:rsidR="0098781F" w:rsidRPr="0098781F" w:rsidRDefault="0098781F" w:rsidP="0098781F">
      <w:r w:rsidRPr="0098781F">
        <w:t>................................</w:t>
      </w:r>
    </w:p>
    <w:p w:rsidR="0098781F" w:rsidRPr="0098781F" w:rsidRDefault="0098781F" w:rsidP="0098781F">
      <w:pPr>
        <w:ind w:firstLine="720"/>
        <w:rPr>
          <w:i/>
          <w:iCs/>
        </w:rPr>
      </w:pPr>
      <w:r w:rsidRPr="0098781F">
        <w:rPr>
          <w:i/>
          <w:iCs/>
        </w:rPr>
        <w:t>Procedure for seclusion</w:t>
      </w:r>
    </w:p>
    <w:p w:rsidR="0098781F" w:rsidRPr="0098781F" w:rsidRDefault="0098781F" w:rsidP="0098781F">
      <w:pPr>
        <w:ind w:left="1440" w:hanging="720"/>
      </w:pPr>
      <w:r w:rsidRPr="0098781F">
        <w:t xml:space="preserve">19.18 </w:t>
      </w:r>
      <w:r>
        <w:tab/>
      </w:r>
      <w:r w:rsidRPr="0098781F">
        <w:t>The decision to use seclusion can be made in the first instance by a doctor or the nurse</w:t>
      </w:r>
      <w:r>
        <w:t xml:space="preserve"> </w:t>
      </w:r>
      <w:r w:rsidRPr="0098781F">
        <w:t xml:space="preserve">in charge. Where the decision is taken by someone other than a doctor, the </w:t>
      </w:r>
      <w:proofErr w:type="spellStart"/>
      <w:r w:rsidRPr="0098781F">
        <w:t>rmo</w:t>
      </w:r>
      <w:proofErr w:type="spellEnd"/>
      <w:r w:rsidRPr="0098781F">
        <w:t xml:space="preserve"> or duty</w:t>
      </w:r>
      <w:r>
        <w:t xml:space="preserve"> </w:t>
      </w:r>
      <w:r w:rsidRPr="0098781F">
        <w:t>doctor should be notified at once and should attend immediately unless the seclusion is</w:t>
      </w:r>
      <w:r>
        <w:t xml:space="preserve"> </w:t>
      </w:r>
      <w:r w:rsidRPr="0098781F">
        <w:t>only for a very brief period (no more than five minutes).</w:t>
      </w:r>
    </w:p>
    <w:p w:rsidR="0098781F" w:rsidRPr="0098781F" w:rsidRDefault="0098781F" w:rsidP="008C5A8C">
      <w:pPr>
        <w:ind w:left="1440" w:hanging="720"/>
      </w:pPr>
      <w:r w:rsidRPr="0098781F">
        <w:t xml:space="preserve">19.19 </w:t>
      </w:r>
      <w:r w:rsidR="008C5A8C">
        <w:tab/>
      </w:r>
      <w:r w:rsidRPr="0098781F">
        <w:t>A nurse should be readily available within sight and sound of the seclusion room at all</w:t>
      </w:r>
      <w:r w:rsidR="008C5A8C">
        <w:t xml:space="preserve"> </w:t>
      </w:r>
      <w:r w:rsidRPr="0098781F">
        <w:t>times throughout the period of the patient’s seclusion, and present at all times with a</w:t>
      </w:r>
      <w:r w:rsidR="008C5A8C">
        <w:t xml:space="preserve"> </w:t>
      </w:r>
      <w:r w:rsidRPr="0098781F">
        <w:t>patient who has been sedated.</w:t>
      </w:r>
    </w:p>
    <w:p w:rsidR="0098781F" w:rsidRPr="0098781F" w:rsidRDefault="0098781F" w:rsidP="008C5A8C">
      <w:pPr>
        <w:ind w:left="1440" w:hanging="720"/>
      </w:pPr>
      <w:r w:rsidRPr="0098781F">
        <w:t xml:space="preserve">19.20 </w:t>
      </w:r>
      <w:r w:rsidR="008C5A8C">
        <w:tab/>
      </w:r>
      <w:r w:rsidRPr="0098781F">
        <w:t>The aim of observation is to monitor the condition and behaviour of the patient and to</w:t>
      </w:r>
      <w:r w:rsidR="008C5A8C">
        <w:t xml:space="preserve"> </w:t>
      </w:r>
      <w:r w:rsidRPr="0098781F">
        <w:t xml:space="preserve">identify the time at which seclusion can be terminated. The level should be </w:t>
      </w:r>
      <w:r w:rsidRPr="0098781F">
        <w:lastRenderedPageBreak/>
        <w:t>decided on</w:t>
      </w:r>
      <w:r w:rsidR="008C5A8C">
        <w:t xml:space="preserve"> </w:t>
      </w:r>
      <w:r w:rsidRPr="0098781F">
        <w:t>an individual basis and the patient should be observed continuously. A documented</w:t>
      </w:r>
      <w:r w:rsidR="008C5A8C">
        <w:t xml:space="preserve"> </w:t>
      </w:r>
      <w:r w:rsidRPr="0098781F">
        <w:t>report must be made at least every 15 minutes.</w:t>
      </w:r>
    </w:p>
    <w:p w:rsidR="0098781F" w:rsidRDefault="0098781F" w:rsidP="008C5A8C">
      <w:pPr>
        <w:ind w:firstLine="720"/>
      </w:pPr>
      <w:r w:rsidRPr="0098781F">
        <w:t xml:space="preserve">19.21 </w:t>
      </w:r>
      <w:r w:rsidR="008C5A8C">
        <w:tab/>
      </w:r>
      <w:r w:rsidRPr="0098781F">
        <w:t>The need to continue seclusion should be reviewed:</w:t>
      </w:r>
    </w:p>
    <w:p w:rsidR="0098781F" w:rsidRDefault="0098781F" w:rsidP="0098781F">
      <w:pPr>
        <w:pStyle w:val="ListParagraph"/>
        <w:numPr>
          <w:ilvl w:val="0"/>
          <w:numId w:val="6"/>
        </w:numPr>
      </w:pPr>
      <w:r w:rsidRPr="0098781F">
        <w:t>every 2 hours by 2 nurses (1 of whom was not involved in the decision to seclude), and</w:t>
      </w:r>
    </w:p>
    <w:p w:rsidR="0098781F" w:rsidRPr="0098781F" w:rsidRDefault="0098781F" w:rsidP="0098781F">
      <w:pPr>
        <w:pStyle w:val="ListParagraph"/>
        <w:numPr>
          <w:ilvl w:val="0"/>
          <w:numId w:val="6"/>
        </w:numPr>
      </w:pPr>
      <w:proofErr w:type="gramStart"/>
      <w:r w:rsidRPr="0098781F">
        <w:t>every</w:t>
      </w:r>
      <w:proofErr w:type="gramEnd"/>
      <w:r w:rsidRPr="0098781F">
        <w:t xml:space="preserve"> 4 hours by a doctor.</w:t>
      </w:r>
    </w:p>
    <w:p w:rsidR="0098781F" w:rsidRDefault="0098781F" w:rsidP="008C5A8C">
      <w:pPr>
        <w:ind w:left="1440"/>
      </w:pPr>
      <w:r w:rsidRPr="0098781F">
        <w:t>A multi-disciplinary review should be completed by a consultant or other senior doctor,</w:t>
      </w:r>
      <w:r w:rsidR="008C5A8C">
        <w:t xml:space="preserve"> </w:t>
      </w:r>
      <w:r w:rsidRPr="0098781F">
        <w:t>nurses and other professionals, who were not involved in the incident which led to the</w:t>
      </w:r>
      <w:r w:rsidR="008C5A8C">
        <w:t xml:space="preserve"> </w:t>
      </w:r>
      <w:r w:rsidRPr="0098781F">
        <w:t>seclusion if the seclusion continues for more than:</w:t>
      </w:r>
    </w:p>
    <w:p w:rsidR="0098781F" w:rsidRDefault="0098781F" w:rsidP="0098781F">
      <w:pPr>
        <w:pStyle w:val="ListParagraph"/>
        <w:numPr>
          <w:ilvl w:val="0"/>
          <w:numId w:val="7"/>
        </w:numPr>
      </w:pPr>
      <w:r w:rsidRPr="0098781F">
        <w:t>8 hours consecutively; or</w:t>
      </w:r>
    </w:p>
    <w:p w:rsidR="0098781F" w:rsidRDefault="0098781F" w:rsidP="0098781F">
      <w:pPr>
        <w:pStyle w:val="ListParagraph"/>
        <w:numPr>
          <w:ilvl w:val="0"/>
          <w:numId w:val="7"/>
        </w:numPr>
      </w:pPr>
      <w:r w:rsidRPr="0098781F">
        <w:t>12 hours intermittently over a period of 48 hours.</w:t>
      </w:r>
    </w:p>
    <w:p w:rsidR="008C5A8C" w:rsidRDefault="008C5A8C" w:rsidP="008C5A8C"/>
    <w:p w:rsidR="008C5A8C" w:rsidRPr="008C5A8C" w:rsidRDefault="008C5A8C" w:rsidP="008C5A8C">
      <w:pPr>
        <w:rPr>
          <w:b/>
          <w:bCs/>
          <w:sz w:val="24"/>
        </w:rPr>
      </w:pPr>
      <w:r w:rsidRPr="008C5A8C">
        <w:rPr>
          <w:b/>
          <w:bCs/>
          <w:sz w:val="24"/>
        </w:rPr>
        <w:t>Ashworth’s 2002 Seclusion Policy (extracts)</w:t>
      </w:r>
    </w:p>
    <w:p w:rsidR="008C5A8C" w:rsidRPr="008C5A8C" w:rsidRDefault="008C5A8C" w:rsidP="008C5A8C">
      <w:pPr>
        <w:ind w:firstLine="720"/>
        <w:rPr>
          <w:i/>
          <w:iCs/>
        </w:rPr>
      </w:pPr>
      <w:r w:rsidRPr="008C5A8C">
        <w:rPr>
          <w:i/>
          <w:iCs/>
        </w:rPr>
        <w:t xml:space="preserve">2. </w:t>
      </w:r>
      <w:r>
        <w:rPr>
          <w:i/>
          <w:iCs/>
        </w:rPr>
        <w:tab/>
      </w:r>
      <w:r w:rsidRPr="008C5A8C">
        <w:rPr>
          <w:i/>
          <w:iCs/>
        </w:rPr>
        <w:t>Introduction</w:t>
      </w:r>
    </w:p>
    <w:p w:rsidR="008C5A8C" w:rsidRPr="008C5A8C" w:rsidRDefault="008C5A8C" w:rsidP="008C5A8C">
      <w:pPr>
        <w:ind w:left="1440" w:hanging="720"/>
      </w:pPr>
      <w:r w:rsidRPr="008C5A8C">
        <w:t xml:space="preserve">2.4 </w:t>
      </w:r>
      <w:r>
        <w:tab/>
      </w:r>
      <w:r w:rsidRPr="008C5A8C">
        <w:t>... The Code of Practice revised in March 1999 was written to encompass a wide range of</w:t>
      </w:r>
      <w:r>
        <w:t xml:space="preserve"> </w:t>
      </w:r>
      <w:r w:rsidRPr="008C5A8C">
        <w:t>mental health services and does not specifically consider the special situation of a high</w:t>
      </w:r>
      <w:r>
        <w:t xml:space="preserve"> </w:t>
      </w:r>
      <w:r w:rsidRPr="008C5A8C">
        <w:t>security hospital.</w:t>
      </w:r>
    </w:p>
    <w:p w:rsidR="008C5A8C" w:rsidRPr="008C5A8C" w:rsidRDefault="008C5A8C" w:rsidP="008C5A8C">
      <w:pPr>
        <w:ind w:firstLine="720"/>
      </w:pPr>
      <w:proofErr w:type="gramStart"/>
      <w:r w:rsidRPr="008C5A8C">
        <w:t xml:space="preserve">3.1 </w:t>
      </w:r>
      <w:r>
        <w:tab/>
      </w:r>
      <w:r w:rsidRPr="008C5A8C">
        <w:t>(Repeats almost verbatim para 19.17 of the Code.)</w:t>
      </w:r>
      <w:proofErr w:type="gramEnd"/>
    </w:p>
    <w:p w:rsidR="008C5A8C" w:rsidRPr="008C5A8C" w:rsidRDefault="008C5A8C" w:rsidP="008C5A8C">
      <w:pPr>
        <w:ind w:left="1440" w:hanging="720"/>
      </w:pPr>
      <w:proofErr w:type="gramStart"/>
      <w:r w:rsidRPr="008C5A8C">
        <w:t xml:space="preserve">4.1 </w:t>
      </w:r>
      <w:r>
        <w:tab/>
      </w:r>
      <w:proofErr w:type="spellStart"/>
      <w:r w:rsidRPr="008C5A8C">
        <w:t>ff</w:t>
      </w:r>
      <w:proofErr w:type="spellEnd"/>
      <w:r w:rsidRPr="008C5A8C">
        <w:t xml:space="preserve"> (Repeats para 19.16 of the Code with regard to the definition of seclusion and when</w:t>
      </w:r>
      <w:r>
        <w:t xml:space="preserve"> </w:t>
      </w:r>
      <w:r w:rsidRPr="008C5A8C">
        <w:t>seclusion should be used.)</w:t>
      </w:r>
      <w:proofErr w:type="gramEnd"/>
    </w:p>
    <w:p w:rsidR="008C5A8C" w:rsidRPr="008C5A8C" w:rsidRDefault="008C5A8C" w:rsidP="008C5A8C">
      <w:pPr>
        <w:ind w:firstLine="720"/>
      </w:pPr>
      <w:r w:rsidRPr="008C5A8C">
        <w:t>...</w:t>
      </w:r>
    </w:p>
    <w:p w:rsidR="008C5A8C" w:rsidRPr="008C5A8C" w:rsidRDefault="008C5A8C" w:rsidP="008C5A8C">
      <w:pPr>
        <w:ind w:firstLine="720"/>
        <w:rPr>
          <w:i/>
          <w:iCs/>
        </w:rPr>
      </w:pPr>
      <w:r w:rsidRPr="008C5A8C">
        <w:rPr>
          <w:i/>
          <w:iCs/>
        </w:rPr>
        <w:t xml:space="preserve">9. </w:t>
      </w:r>
      <w:r>
        <w:rPr>
          <w:i/>
          <w:iCs/>
        </w:rPr>
        <w:tab/>
      </w:r>
      <w:r w:rsidRPr="008C5A8C">
        <w:rPr>
          <w:i/>
          <w:iCs/>
        </w:rPr>
        <w:t>Review</w:t>
      </w:r>
    </w:p>
    <w:p w:rsidR="008C5A8C" w:rsidRPr="008C5A8C" w:rsidRDefault="008C5A8C" w:rsidP="008C5A8C">
      <w:pPr>
        <w:ind w:left="1440" w:hanging="720"/>
      </w:pPr>
      <w:r w:rsidRPr="008C5A8C">
        <w:t xml:space="preserve">9.1 </w:t>
      </w:r>
      <w:r>
        <w:tab/>
      </w:r>
      <w:r w:rsidRPr="008C5A8C">
        <w:t>The RMO is responsible for the use of seclusion. Regular reviews must take place</w:t>
      </w:r>
      <w:r>
        <w:t xml:space="preserve"> </w:t>
      </w:r>
      <w:r w:rsidRPr="008C5A8C">
        <w:t>involving the RMO or deputy and Ward Manager or deputy. The details of these are given</w:t>
      </w:r>
      <w:r>
        <w:t xml:space="preserve"> </w:t>
      </w:r>
      <w:r w:rsidRPr="008C5A8C">
        <w:t>below.</w:t>
      </w:r>
    </w:p>
    <w:p w:rsidR="008C5A8C" w:rsidRPr="008C5A8C" w:rsidRDefault="008C5A8C" w:rsidP="008C5A8C">
      <w:pPr>
        <w:ind w:left="1440" w:hanging="720"/>
      </w:pPr>
      <w:r w:rsidRPr="008C5A8C">
        <w:t xml:space="preserve">9.2 </w:t>
      </w:r>
      <w:r>
        <w:tab/>
      </w:r>
      <w:r w:rsidRPr="008C5A8C">
        <w:t>If a doctor was not present at the time of seclusion, he must initiate a review on arrival</w:t>
      </w:r>
      <w:r>
        <w:t xml:space="preserve"> </w:t>
      </w:r>
      <w:r w:rsidRPr="008C5A8C">
        <w:t>within one hour and then at:</w:t>
      </w:r>
    </w:p>
    <w:p w:rsidR="008C5A8C" w:rsidRPr="008C5A8C" w:rsidRDefault="008C5A8C" w:rsidP="008C5A8C">
      <w:pPr>
        <w:ind w:firstLine="720"/>
      </w:pPr>
      <w:r w:rsidRPr="008C5A8C">
        <w:t>9.2.1</w:t>
      </w:r>
      <w:r>
        <w:tab/>
      </w:r>
      <w:r w:rsidRPr="008C5A8C">
        <w:t>First day-medical review at 4, 8, 12 and 24 hours;</w:t>
      </w:r>
    </w:p>
    <w:p w:rsidR="008C5A8C" w:rsidRPr="008C5A8C" w:rsidRDefault="008C5A8C" w:rsidP="008C5A8C">
      <w:pPr>
        <w:ind w:firstLine="720"/>
      </w:pPr>
      <w:r w:rsidRPr="008C5A8C">
        <w:t>9.2.2</w:t>
      </w:r>
      <w:r>
        <w:tab/>
      </w:r>
      <w:r w:rsidRPr="008C5A8C">
        <w:t>Day 2 to day 7 – twice per day;</w:t>
      </w:r>
    </w:p>
    <w:p w:rsidR="008C5A8C" w:rsidRPr="008C5A8C" w:rsidRDefault="008C5A8C" w:rsidP="008C5A8C">
      <w:pPr>
        <w:ind w:firstLine="720"/>
      </w:pPr>
      <w:r w:rsidRPr="008C5A8C">
        <w:t>9.2.3</w:t>
      </w:r>
      <w:r>
        <w:tab/>
      </w:r>
      <w:r w:rsidRPr="008C5A8C">
        <w:t>Day 8 onwards:</w:t>
      </w:r>
    </w:p>
    <w:p w:rsidR="008C5A8C" w:rsidRPr="008C5A8C" w:rsidRDefault="008C5A8C" w:rsidP="008C5A8C">
      <w:pPr>
        <w:ind w:left="1440"/>
      </w:pPr>
      <w:r w:rsidRPr="008C5A8C">
        <w:t>[</w:t>
      </w:r>
      <w:proofErr w:type="spellStart"/>
      <w:r w:rsidRPr="008C5A8C">
        <w:t>i</w:t>
      </w:r>
      <w:proofErr w:type="spellEnd"/>
      <w:r w:rsidRPr="008C5A8C">
        <w:t>] daily review by Ward Manager or Site Manager from different ward;</w:t>
      </w:r>
      <w:r>
        <w:br/>
      </w:r>
      <w:r w:rsidRPr="008C5A8C">
        <w:t>[ii] three medical reviews ever</w:t>
      </w:r>
      <w:r>
        <w:t>y 7 days (one being by the RMO);</w:t>
      </w:r>
      <w:r>
        <w:br/>
      </w:r>
      <w:r w:rsidRPr="008C5A8C">
        <w:lastRenderedPageBreak/>
        <w:t>[iii] weekly review by multi-disciplinary patient care team to include RMO;</w:t>
      </w:r>
      <w:r>
        <w:br/>
      </w:r>
      <w:r w:rsidRPr="008C5A8C">
        <w:t>[iv] review by Seclusion Monitoring Group as per paragraph 10 below</w:t>
      </w:r>
    </w:p>
    <w:p w:rsidR="008C5A8C" w:rsidRPr="008C5A8C" w:rsidRDefault="008C5A8C" w:rsidP="008C5A8C">
      <w:pPr>
        <w:ind w:firstLine="720"/>
      </w:pPr>
      <w:r w:rsidRPr="008C5A8C">
        <w:t>...</w:t>
      </w:r>
    </w:p>
    <w:p w:rsidR="008C5A8C" w:rsidRPr="008C5A8C" w:rsidRDefault="008C5A8C" w:rsidP="008C5A8C">
      <w:pPr>
        <w:ind w:firstLine="720"/>
        <w:rPr>
          <w:i/>
          <w:iCs/>
        </w:rPr>
      </w:pPr>
      <w:r w:rsidRPr="008C5A8C">
        <w:rPr>
          <w:i/>
          <w:iCs/>
        </w:rPr>
        <w:t xml:space="preserve">11 </w:t>
      </w:r>
      <w:r>
        <w:rPr>
          <w:i/>
          <w:iCs/>
        </w:rPr>
        <w:tab/>
      </w:r>
      <w:r w:rsidRPr="008C5A8C">
        <w:rPr>
          <w:i/>
          <w:iCs/>
        </w:rPr>
        <w:t>The use of seclusion for patients posing management problems</w:t>
      </w:r>
    </w:p>
    <w:p w:rsidR="008C5A8C" w:rsidRPr="008C5A8C" w:rsidRDefault="008C5A8C" w:rsidP="008C5A8C">
      <w:pPr>
        <w:ind w:left="1440" w:hanging="720"/>
      </w:pPr>
      <w:r w:rsidRPr="008C5A8C">
        <w:t xml:space="preserve">11.1 </w:t>
      </w:r>
      <w:r>
        <w:tab/>
      </w:r>
      <w:r w:rsidRPr="008C5A8C">
        <w:t>Any patient for whom the clinical team has to institute seclusion in excess of seven days,</w:t>
      </w:r>
      <w:r>
        <w:t xml:space="preserve"> </w:t>
      </w:r>
      <w:r w:rsidRPr="008C5A8C">
        <w:t>will be individually brought to the attention of the Medical Director or in their absence</w:t>
      </w:r>
      <w:r>
        <w:t xml:space="preserve"> </w:t>
      </w:r>
      <w:r w:rsidRPr="008C5A8C">
        <w:t>the Executive Nurse Director, by the chairperson of the patient’s clinical team, with a</w:t>
      </w:r>
      <w:r>
        <w:t xml:space="preserve"> </w:t>
      </w:r>
      <w:r w:rsidRPr="008C5A8C">
        <w:t>resume of the reasons for the continuing use of seclusion, the care and treatment which</w:t>
      </w:r>
      <w:r>
        <w:t xml:space="preserve"> </w:t>
      </w:r>
      <w:r w:rsidRPr="008C5A8C">
        <w:t>the patient will be receiving and what is hoped will be achieved.</w:t>
      </w:r>
    </w:p>
    <w:p w:rsidR="008C5A8C" w:rsidRPr="008C5A8C" w:rsidRDefault="008C5A8C" w:rsidP="008C5A8C">
      <w:pPr>
        <w:ind w:firstLine="720"/>
      </w:pPr>
      <w:r w:rsidRPr="008C5A8C">
        <w:t>...</w:t>
      </w:r>
    </w:p>
    <w:p w:rsidR="008C5A8C" w:rsidRPr="008C5A8C" w:rsidRDefault="008C5A8C" w:rsidP="008C5A8C">
      <w:pPr>
        <w:ind w:left="1440" w:hanging="720"/>
      </w:pPr>
      <w:r w:rsidRPr="008C5A8C">
        <w:t xml:space="preserve">11.7 </w:t>
      </w:r>
      <w:r>
        <w:tab/>
      </w:r>
      <w:r w:rsidRPr="008C5A8C">
        <w:t xml:space="preserve">Each patient’s case will be reviewed weekly by the clinical team and a written </w:t>
      </w:r>
      <w:proofErr w:type="gramStart"/>
      <w:r w:rsidRPr="008C5A8C">
        <w:t xml:space="preserve">report </w:t>
      </w:r>
      <w:r>
        <w:t xml:space="preserve"> s</w:t>
      </w:r>
      <w:r w:rsidRPr="008C5A8C">
        <w:t>ent</w:t>
      </w:r>
      <w:proofErr w:type="gramEnd"/>
      <w:r>
        <w:t xml:space="preserve"> </w:t>
      </w:r>
      <w:r w:rsidRPr="008C5A8C">
        <w:t>monthly to the Seclusion Monitoring Group...</w:t>
      </w:r>
    </w:p>
    <w:p w:rsidR="008C5A8C" w:rsidRPr="008C5A8C" w:rsidRDefault="008C5A8C" w:rsidP="008C5A8C">
      <w:pPr>
        <w:ind w:left="1440" w:hanging="720"/>
      </w:pPr>
      <w:r w:rsidRPr="008C5A8C">
        <w:t xml:space="preserve">11.8 </w:t>
      </w:r>
      <w:r>
        <w:tab/>
      </w:r>
      <w:r w:rsidRPr="008C5A8C">
        <w:t>After six months, the Medical Director and Executive Nurse Director will participate in</w:t>
      </w:r>
      <w:r>
        <w:t xml:space="preserve"> </w:t>
      </w:r>
      <w:r w:rsidRPr="008C5A8C">
        <w:t>a clinical team review. The case will then be discussed at the Executive Team Meeting.</w:t>
      </w:r>
    </w:p>
    <w:p w:rsidR="008C5A8C" w:rsidRDefault="008C5A8C" w:rsidP="008C5A8C">
      <w:pPr>
        <w:ind w:left="1440" w:hanging="720"/>
      </w:pPr>
      <w:r w:rsidRPr="008C5A8C">
        <w:t xml:space="preserve">11.9 </w:t>
      </w:r>
      <w:r>
        <w:tab/>
      </w:r>
      <w:r w:rsidRPr="008C5A8C">
        <w:t>The Mental Health Act Commission will be informed if seclusion continues beyond 7</w:t>
      </w:r>
      <w:r>
        <w:t xml:space="preserve"> </w:t>
      </w:r>
      <w:r w:rsidRPr="008C5A8C">
        <w:t>days and will receive progress reports on a regular basis.</w:t>
      </w:r>
    </w:p>
    <w:p w:rsidR="00444358" w:rsidRDefault="00444358" w:rsidP="008C5A8C">
      <w:pPr>
        <w:ind w:left="1440" w:hanging="720"/>
      </w:pPr>
    </w:p>
    <w:p w:rsidR="00444358" w:rsidRPr="00444358" w:rsidRDefault="00444358" w:rsidP="00444358">
      <w:pPr>
        <w:rPr>
          <w:b/>
          <w:bCs/>
          <w:sz w:val="24"/>
        </w:rPr>
      </w:pPr>
      <w:r w:rsidRPr="00444358">
        <w:rPr>
          <w:b/>
          <w:bCs/>
          <w:sz w:val="24"/>
        </w:rPr>
        <w:t>The first instance hearing</w:t>
      </w:r>
    </w:p>
    <w:p w:rsidR="00444358" w:rsidRPr="00444358" w:rsidRDefault="00444358" w:rsidP="00444358">
      <w:r w:rsidRPr="00444358">
        <w:t>The Secretary of State for Health submitted a statement to the effect that the Code was guidance</w:t>
      </w:r>
      <w:r>
        <w:t xml:space="preserve"> </w:t>
      </w:r>
      <w:r w:rsidRPr="00444358">
        <w:t>only, and that he did not object to Ashworth introducing its own policy on seclusion. In the light</w:t>
      </w:r>
      <w:r>
        <w:t xml:space="preserve"> </w:t>
      </w:r>
      <w:r w:rsidRPr="00444358">
        <w:t xml:space="preserve">of this, Sullivan J dismissed Mr </w:t>
      </w:r>
      <w:proofErr w:type="spellStart"/>
      <w:r w:rsidRPr="00444358">
        <w:t>Munjaz’s</w:t>
      </w:r>
      <w:proofErr w:type="spellEnd"/>
      <w:r w:rsidRPr="00444358">
        <w:t xml:space="preserve"> claim: </w:t>
      </w:r>
      <w:r w:rsidRPr="00444358">
        <w:rPr>
          <w:i/>
          <w:iCs/>
        </w:rPr>
        <w:t>R (</w:t>
      </w:r>
      <w:proofErr w:type="spellStart"/>
      <w:r w:rsidRPr="00444358">
        <w:rPr>
          <w:i/>
          <w:iCs/>
        </w:rPr>
        <w:t>Munjaz</w:t>
      </w:r>
      <w:proofErr w:type="spellEnd"/>
      <w:r w:rsidRPr="00444358">
        <w:rPr>
          <w:i/>
          <w:iCs/>
        </w:rPr>
        <w:t xml:space="preserve">) v Ashworth Hospital Authority </w:t>
      </w:r>
      <w:r w:rsidRPr="00444358">
        <w:t>[2002]</w:t>
      </w:r>
      <w:r>
        <w:t xml:space="preserve"> </w:t>
      </w:r>
      <w:r w:rsidRPr="00444358">
        <w:t>EWHC (Admin) 1521. The judge declared that there was no issue estoppel in judicial review</w:t>
      </w:r>
      <w:r>
        <w:t xml:space="preserve"> </w:t>
      </w:r>
      <w:r w:rsidRPr="00444358">
        <w:t>proceedings, so it was open to Ashworth to come to different conclusions from those reached by</w:t>
      </w:r>
      <w:r>
        <w:t xml:space="preserve"> </w:t>
      </w:r>
      <w:r w:rsidRPr="00444358">
        <w:t>Jackson J in 2000.</w:t>
      </w:r>
    </w:p>
    <w:p w:rsidR="00444358" w:rsidRPr="00444358" w:rsidRDefault="00444358" w:rsidP="00444358">
      <w:r w:rsidRPr="00444358">
        <w:t xml:space="preserve">In August 2002, in </w:t>
      </w:r>
      <w:r w:rsidRPr="00444358">
        <w:rPr>
          <w:i/>
          <w:iCs/>
        </w:rPr>
        <w:t xml:space="preserve">S v Airedale NHS Trust </w:t>
      </w:r>
      <w:r w:rsidRPr="00444358">
        <w:t>[2002] EWHC Admin 1980, Stanley Burton J dismissed</w:t>
      </w:r>
      <w:r>
        <w:t xml:space="preserve"> </w:t>
      </w:r>
      <w:r w:rsidRPr="00444358">
        <w:t xml:space="preserve">another patient’s challenge to seclusion </w:t>
      </w:r>
      <w:proofErr w:type="spellStart"/>
      <w:r w:rsidRPr="00444358">
        <w:t>outwith</w:t>
      </w:r>
      <w:proofErr w:type="spellEnd"/>
      <w:r w:rsidRPr="00444358">
        <w:t xml:space="preserve"> the framework of the Code, on similar grounds to</w:t>
      </w:r>
      <w:r>
        <w:t xml:space="preserve"> </w:t>
      </w:r>
      <w:r w:rsidRPr="00444358">
        <w:t>Sullivan J.</w:t>
      </w:r>
    </w:p>
    <w:p w:rsidR="00444358" w:rsidRPr="00444358" w:rsidRDefault="00444358" w:rsidP="00444358">
      <w:r w:rsidRPr="00444358">
        <w:t>Both patients appealed.</w:t>
      </w:r>
    </w:p>
    <w:p w:rsidR="00444358" w:rsidRDefault="00444358" w:rsidP="00444358">
      <w:pPr>
        <w:rPr>
          <w:b/>
          <w:bCs/>
        </w:rPr>
      </w:pPr>
    </w:p>
    <w:p w:rsidR="00444358" w:rsidRPr="00444358" w:rsidRDefault="00444358" w:rsidP="00444358">
      <w:pPr>
        <w:rPr>
          <w:b/>
          <w:bCs/>
          <w:sz w:val="24"/>
        </w:rPr>
      </w:pPr>
      <w:r w:rsidRPr="00444358">
        <w:rPr>
          <w:b/>
          <w:bCs/>
          <w:sz w:val="24"/>
        </w:rPr>
        <w:t>The Court of Appeal judgment</w:t>
      </w:r>
    </w:p>
    <w:p w:rsidR="00444358" w:rsidRPr="00444358" w:rsidRDefault="00444358" w:rsidP="00444358">
      <w:r w:rsidRPr="00444358">
        <w:t>The appeals were heard together, with the Secretary of State, Mind and the Mental Health Act</w:t>
      </w:r>
      <w:r>
        <w:t xml:space="preserve"> </w:t>
      </w:r>
      <w:r w:rsidRPr="00444358">
        <w:t>Commission (which submitted written evidence only) being joined as interveners. Both appeals</w:t>
      </w:r>
      <w:r>
        <w:t xml:space="preserve"> </w:t>
      </w:r>
      <w:r w:rsidRPr="00444358">
        <w:t xml:space="preserve">were allowed: [2003] EWCA </w:t>
      </w:r>
      <w:proofErr w:type="spellStart"/>
      <w:r w:rsidRPr="00444358">
        <w:t>Civ</w:t>
      </w:r>
      <w:proofErr w:type="spellEnd"/>
      <w:r w:rsidRPr="00444358">
        <w:t xml:space="preserve"> 1036.</w:t>
      </w:r>
    </w:p>
    <w:p w:rsidR="00444358" w:rsidRPr="00444358" w:rsidRDefault="00444358" w:rsidP="00444358">
      <w:r w:rsidRPr="00444358">
        <w:t>Hale LJ made the following findings, inter alia:</w:t>
      </w:r>
    </w:p>
    <w:p w:rsidR="00444358" w:rsidRDefault="00444358" w:rsidP="00444358">
      <w:pPr>
        <w:pStyle w:val="ListParagraph"/>
        <w:numPr>
          <w:ilvl w:val="0"/>
          <w:numId w:val="8"/>
        </w:numPr>
      </w:pPr>
      <w:r w:rsidRPr="00444358">
        <w:lastRenderedPageBreak/>
        <w:t>The power to seclude a patient was implied from the power to detain, or possibly from</w:t>
      </w:r>
      <w:r>
        <w:t xml:space="preserve"> </w:t>
      </w:r>
      <w:r w:rsidRPr="00444358">
        <w:t>common law necessity. This did not mean that all uses of seclusion were lawful.</w:t>
      </w:r>
    </w:p>
    <w:p w:rsidR="00444358" w:rsidRDefault="00444358" w:rsidP="00444358">
      <w:pPr>
        <w:pStyle w:val="ListParagraph"/>
        <w:numPr>
          <w:ilvl w:val="0"/>
          <w:numId w:val="8"/>
        </w:numPr>
      </w:pPr>
      <w:r w:rsidRPr="00444358">
        <w:t>Seclusion in the Code was within the scope of sections 118(1</w:t>
      </w:r>
      <w:proofErr w:type="gramStart"/>
      <w:r w:rsidRPr="00444358">
        <w:t>)(</w:t>
      </w:r>
      <w:proofErr w:type="gramEnd"/>
      <w:r w:rsidRPr="00444358">
        <w:t>a) and 118(1)(b) of the 1983</w:t>
      </w:r>
      <w:r>
        <w:t xml:space="preserve"> </w:t>
      </w:r>
      <w:r w:rsidRPr="00444358">
        <w:t>Act.</w:t>
      </w:r>
    </w:p>
    <w:p w:rsidR="00444358" w:rsidRDefault="00444358" w:rsidP="00444358">
      <w:pPr>
        <w:pStyle w:val="ListParagraph"/>
        <w:numPr>
          <w:ilvl w:val="0"/>
          <w:numId w:val="8"/>
        </w:numPr>
      </w:pPr>
      <w:r w:rsidRPr="00444358">
        <w:t>Seclusion did not in itself constitute inhuman or degrading treatment, but there was always a</w:t>
      </w:r>
      <w:r>
        <w:t xml:space="preserve"> </w:t>
      </w:r>
      <w:r w:rsidRPr="00444358">
        <w:t>risk that it could be in breach of Article 3 ECHR.</w:t>
      </w:r>
      <w:r>
        <w:rPr>
          <w:rStyle w:val="FootnoteReference"/>
        </w:rPr>
        <w:footnoteReference w:id="2"/>
      </w:r>
    </w:p>
    <w:p w:rsidR="00444358" w:rsidRDefault="00444358" w:rsidP="00444358">
      <w:pPr>
        <w:pStyle w:val="ListParagraph"/>
        <w:numPr>
          <w:ilvl w:val="0"/>
          <w:numId w:val="8"/>
        </w:numPr>
      </w:pPr>
      <w:r w:rsidRPr="00444358">
        <w:t>Seclusion infringed article 8(1)</w:t>
      </w:r>
      <w:r>
        <w:rPr>
          <w:rStyle w:val="FootnoteReference"/>
        </w:rPr>
        <w:footnoteReference w:id="3"/>
      </w:r>
      <w:r w:rsidRPr="00444358">
        <w:t xml:space="preserve"> unless it could be justified under article 8(2)</w:t>
      </w:r>
      <w:r>
        <w:rPr>
          <w:rStyle w:val="FootnoteReference"/>
        </w:rPr>
        <w:footnoteReference w:id="4"/>
      </w:r>
      <w:r w:rsidRPr="00444358">
        <w:t>.</w:t>
      </w:r>
    </w:p>
    <w:p w:rsidR="00444358" w:rsidRDefault="00444358" w:rsidP="00444358">
      <w:pPr>
        <w:pStyle w:val="ListParagraph"/>
        <w:numPr>
          <w:ilvl w:val="0"/>
          <w:numId w:val="8"/>
        </w:numPr>
      </w:pPr>
      <w:r w:rsidRPr="00444358">
        <w:t>Article 5</w:t>
      </w:r>
      <w:r>
        <w:rPr>
          <w:rStyle w:val="FootnoteReference"/>
        </w:rPr>
        <w:footnoteReference w:id="5"/>
      </w:r>
      <w:r w:rsidRPr="00444358">
        <w:t xml:space="preserve"> was not concerned with the conditions of detention: this was left to articles 3 and 8.</w:t>
      </w:r>
    </w:p>
    <w:p w:rsidR="00444358" w:rsidRPr="00444358" w:rsidRDefault="00444358" w:rsidP="00444358">
      <w:pPr>
        <w:pStyle w:val="ListParagraph"/>
        <w:numPr>
          <w:ilvl w:val="0"/>
          <w:numId w:val="8"/>
        </w:numPr>
      </w:pPr>
      <w:r w:rsidRPr="00444358">
        <w:t>There was no statutory obligation for hospitals to follow the Code, but where there was a risk</w:t>
      </w:r>
      <w:r>
        <w:t xml:space="preserve"> </w:t>
      </w:r>
      <w:r w:rsidRPr="00444358">
        <w:t>that agents of the state would treat their patients in a way which contravened their Convention</w:t>
      </w:r>
      <w:r>
        <w:t xml:space="preserve"> </w:t>
      </w:r>
      <w:r w:rsidRPr="00444358">
        <w:t>rights, the state should take steps to prevent it. Thus the Code was not mere guidance, but</w:t>
      </w:r>
      <w:r>
        <w:t xml:space="preserve"> </w:t>
      </w:r>
      <w:r w:rsidRPr="00444358">
        <w:t>should be observed by all hospitals unless they had a good reason for departing from it in</w:t>
      </w:r>
      <w:r>
        <w:t xml:space="preserve"> </w:t>
      </w:r>
      <w:r w:rsidRPr="00444358">
        <w:t>relation to an individual patient.</w:t>
      </w:r>
    </w:p>
    <w:p w:rsidR="00444358" w:rsidRDefault="00444358" w:rsidP="00444358">
      <w:r w:rsidRPr="00444358">
        <w:t>Ashworth (but not Airedale Hospital) appealed to the House of Lords. The interveners and</w:t>
      </w:r>
      <w:r>
        <w:t xml:space="preserve"> </w:t>
      </w:r>
      <w:r w:rsidRPr="00444358">
        <w:t xml:space="preserve">arguments were as at the Court of Appeal, except that Mr </w:t>
      </w:r>
      <w:proofErr w:type="spellStart"/>
      <w:r w:rsidRPr="00444358">
        <w:t>Munjaz</w:t>
      </w:r>
      <w:proofErr w:type="spellEnd"/>
      <w:r w:rsidRPr="00444358">
        <w:t xml:space="preserve"> adopted Mind’s argument in</w:t>
      </w:r>
      <w:r>
        <w:t xml:space="preserve"> </w:t>
      </w:r>
      <w:r w:rsidRPr="00444358">
        <w:t>respect of Article 8.</w:t>
      </w:r>
    </w:p>
    <w:p w:rsidR="00444358" w:rsidRDefault="00444358" w:rsidP="00444358"/>
    <w:p w:rsidR="00444358" w:rsidRPr="00444358" w:rsidRDefault="00444358" w:rsidP="00444358">
      <w:pPr>
        <w:rPr>
          <w:b/>
          <w:bCs/>
          <w:sz w:val="24"/>
        </w:rPr>
      </w:pPr>
      <w:r w:rsidRPr="00444358">
        <w:rPr>
          <w:b/>
          <w:bCs/>
          <w:sz w:val="24"/>
        </w:rPr>
        <w:t>The House of Lords judgments</w:t>
      </w:r>
    </w:p>
    <w:p w:rsidR="00444358" w:rsidRPr="00444358" w:rsidRDefault="00444358" w:rsidP="00444358">
      <w:r w:rsidRPr="00444358">
        <w:t>Their Lordships heard the case over three days and delivered their opinions on 13th October 2005.</w:t>
      </w:r>
      <w:r>
        <w:t xml:space="preserve"> </w:t>
      </w:r>
      <w:r w:rsidRPr="00444358">
        <w:t xml:space="preserve">A majority of the House (3:2) allowed the appeal and dismissed Mr </w:t>
      </w:r>
      <w:proofErr w:type="spellStart"/>
      <w:r w:rsidRPr="00444358">
        <w:t>Munjaz’s</w:t>
      </w:r>
      <w:proofErr w:type="spellEnd"/>
      <w:r w:rsidRPr="00444358">
        <w:t xml:space="preserve"> application.</w:t>
      </w:r>
    </w:p>
    <w:p w:rsidR="00444358" w:rsidRPr="00444358" w:rsidRDefault="00444358" w:rsidP="00444358">
      <w:r w:rsidRPr="00444358">
        <w:rPr>
          <w:b/>
          <w:bCs/>
        </w:rPr>
        <w:t xml:space="preserve">Lord Bingham of Cornhill </w:t>
      </w:r>
      <w:r w:rsidRPr="00444358">
        <w:t>gave the leading judgment.</w:t>
      </w:r>
    </w:p>
    <w:p w:rsidR="00444358" w:rsidRPr="00444358" w:rsidRDefault="00444358" w:rsidP="00444358">
      <w:r w:rsidRPr="00444358">
        <w:t>The first question for consideration was whether the Code (sic) fell within section 118(1) of the</w:t>
      </w:r>
      <w:r>
        <w:t xml:space="preserve"> </w:t>
      </w:r>
      <w:r w:rsidRPr="00444358">
        <w:t>1983 Act. His Lordship accepted the Court of Appeal’s conclusion. “Admission” could not</w:t>
      </w:r>
      <w:r>
        <w:t xml:space="preserve"> </w:t>
      </w:r>
      <w:r w:rsidRPr="00444358">
        <w:t>sensibly be read as referring only to the process of admission, to the exclusion of all that followed.</w:t>
      </w:r>
      <w:r>
        <w:t xml:space="preserve"> </w:t>
      </w:r>
      <w:r w:rsidRPr="00444358">
        <w:t>Similarly, “medical treatment” as defined in section 145(1) of the 1983 Act was wide enough to</w:t>
      </w:r>
      <w:r>
        <w:t xml:space="preserve"> </w:t>
      </w:r>
      <w:r w:rsidRPr="00444358">
        <w:t>cover the nursing and caring for a patient in seclusion, even though seclusion could not properly</w:t>
      </w:r>
      <w:r>
        <w:t xml:space="preserve"> </w:t>
      </w:r>
      <w:r w:rsidRPr="00444358">
        <w:t>form part of a treatment programme.</w:t>
      </w:r>
    </w:p>
    <w:p w:rsidR="00444358" w:rsidRPr="00444358" w:rsidRDefault="00444358" w:rsidP="00444358">
      <w:r w:rsidRPr="00444358">
        <w:t>The Code described itself as guidance. There was a categorical difference between guidance and</w:t>
      </w:r>
      <w:r>
        <w:t xml:space="preserve"> </w:t>
      </w:r>
      <w:r w:rsidRPr="00444358">
        <w:t xml:space="preserve">instruction. In response Mr </w:t>
      </w:r>
      <w:proofErr w:type="spellStart"/>
      <w:r w:rsidRPr="00444358">
        <w:t>Munjaz</w:t>
      </w:r>
      <w:proofErr w:type="spellEnd"/>
      <w:r w:rsidRPr="00444358">
        <w:t xml:space="preserve"> laid emphasis on the consultation which preceded the drawing</w:t>
      </w:r>
      <w:r>
        <w:t xml:space="preserve"> </w:t>
      </w:r>
      <w:r w:rsidRPr="00444358">
        <w:t>up of the Code, on the parliamentary sanction it received, on its issue by the Secretary of State</w:t>
      </w:r>
      <w:r>
        <w:t xml:space="preserve"> </w:t>
      </w:r>
      <w:r w:rsidRPr="00444358">
        <w:t>and on the high importance of protecting detained mental patients, a vulnerable and defenceless</w:t>
      </w:r>
      <w:r>
        <w:t xml:space="preserve"> </w:t>
      </w:r>
      <w:r w:rsidRPr="00444358">
        <w:t>sector of society, from any risk of abuse.</w:t>
      </w:r>
    </w:p>
    <w:p w:rsidR="00444358" w:rsidRPr="00444358" w:rsidRDefault="00444358" w:rsidP="00444358">
      <w:r w:rsidRPr="00444358">
        <w:lastRenderedPageBreak/>
        <w:t>It was plain that the Code did not have the binding effect which a statutory provision or statutory</w:t>
      </w:r>
      <w:r>
        <w:t xml:space="preserve"> </w:t>
      </w:r>
      <w:r w:rsidRPr="00444358">
        <w:t xml:space="preserve">instrument would have. But the matters relied on by Mr </w:t>
      </w:r>
      <w:proofErr w:type="spellStart"/>
      <w:r w:rsidRPr="00444358">
        <w:t>Munjaz</w:t>
      </w:r>
      <w:proofErr w:type="spellEnd"/>
      <w:r w:rsidRPr="00444358">
        <w:t xml:space="preserve"> showed that the guidance should</w:t>
      </w:r>
      <w:r>
        <w:t xml:space="preserve"> </w:t>
      </w:r>
      <w:r w:rsidRPr="00444358">
        <w:t>be given great weight. It was guidance which any hospital should consider with great care, and from</w:t>
      </w:r>
      <w:r>
        <w:t xml:space="preserve"> </w:t>
      </w:r>
      <w:r w:rsidRPr="00444358">
        <w:t>which it should depart only if it had cogent reasons for doing so.</w:t>
      </w:r>
    </w:p>
    <w:p w:rsidR="00444358" w:rsidRPr="00444358" w:rsidRDefault="00444358" w:rsidP="00444358">
      <w:r w:rsidRPr="00444358">
        <w:t>The evidence adduced by the Trust made clear that the Code had been carefully considered. It was</w:t>
      </w:r>
      <w:r>
        <w:t xml:space="preserve"> </w:t>
      </w:r>
      <w:r w:rsidRPr="00444358">
        <w:t>entitled to take account of three matters in particular. First, the Code was directed to the generality</w:t>
      </w:r>
      <w:r>
        <w:t xml:space="preserve"> </w:t>
      </w:r>
      <w:r w:rsidRPr="00444358">
        <w:t>of hospitals and did not address the special problems of high security hospitals. Secondly, it did</w:t>
      </w:r>
      <w:r>
        <w:t xml:space="preserve"> </w:t>
      </w:r>
      <w:r w:rsidRPr="00444358">
        <w:t>not recognise the special position of patients whom it was necessary to seclude for longer than a</w:t>
      </w:r>
      <w:r>
        <w:t xml:space="preserve"> </w:t>
      </w:r>
      <w:r w:rsidRPr="00444358">
        <w:t>very few days. Thirdly, the statutory scheme deliberately left the final decision to those who bore</w:t>
      </w:r>
      <w:r>
        <w:t xml:space="preserve"> </w:t>
      </w:r>
      <w:r w:rsidRPr="00444358">
        <w:t>the responsibility for detaining, treating, nursing and caring for the patients.</w:t>
      </w:r>
    </w:p>
    <w:p w:rsidR="00444358" w:rsidRPr="00444358" w:rsidRDefault="00444358" w:rsidP="00444358">
      <w:r w:rsidRPr="00444358">
        <w:t>There were differences of practice, not all of them fully explained, between Ashworth, Broadmoor</w:t>
      </w:r>
      <w:r>
        <w:t xml:space="preserve"> </w:t>
      </w:r>
      <w:r w:rsidRPr="00444358">
        <w:t xml:space="preserve">and </w:t>
      </w:r>
      <w:proofErr w:type="spellStart"/>
      <w:r w:rsidRPr="00444358">
        <w:t>Rampton</w:t>
      </w:r>
      <w:proofErr w:type="spellEnd"/>
      <w:r>
        <w:rPr>
          <w:rStyle w:val="FootnoteReference"/>
        </w:rPr>
        <w:footnoteReference w:id="6"/>
      </w:r>
      <w:r w:rsidRPr="00444358">
        <w:t>. It was not, however, for the courts to resolve debatable issues of professional</w:t>
      </w:r>
      <w:r>
        <w:t xml:space="preserve"> </w:t>
      </w:r>
      <w:r w:rsidRPr="00444358">
        <w:t>practice but to rule on issues of law. If a practice was supported by cogent reasoned justification,</w:t>
      </w:r>
      <w:r>
        <w:t xml:space="preserve"> </w:t>
      </w:r>
      <w:r w:rsidRPr="00444358">
        <w:t>the court was not entitled to condemn it as unlawful.</w:t>
      </w:r>
    </w:p>
    <w:p w:rsidR="00444358" w:rsidRPr="00444358" w:rsidRDefault="00444358" w:rsidP="00444358">
      <w:pPr>
        <w:rPr>
          <w:b/>
          <w:i/>
          <w:iCs/>
        </w:rPr>
      </w:pPr>
      <w:r w:rsidRPr="00444358">
        <w:rPr>
          <w:b/>
          <w:i/>
          <w:iCs/>
        </w:rPr>
        <w:t>Ashworth’s policy and the European Convention</w:t>
      </w:r>
    </w:p>
    <w:p w:rsidR="00444358" w:rsidRPr="00444358" w:rsidRDefault="00444358" w:rsidP="00444358">
      <w:r w:rsidRPr="00444358">
        <w:t xml:space="preserve">Mr </w:t>
      </w:r>
      <w:proofErr w:type="spellStart"/>
      <w:r w:rsidRPr="00444358">
        <w:t>Munjaz</w:t>
      </w:r>
      <w:proofErr w:type="spellEnd"/>
      <w:r w:rsidRPr="00444358">
        <w:t xml:space="preserve"> did not contend that his own seclusion had been unlawful. Thus it was necessary to</w:t>
      </w:r>
      <w:r>
        <w:t xml:space="preserve"> </w:t>
      </w:r>
      <w:r w:rsidRPr="00444358">
        <w:t>consider the compatibility with the Convention of the policy as a policy. For this purpose the</w:t>
      </w:r>
      <w:r>
        <w:t xml:space="preserve"> </w:t>
      </w:r>
      <w:r w:rsidRPr="00444358">
        <w:t>Code was irrelevant: if the policy was incompatible, consistency with the Code would not save it;</w:t>
      </w:r>
      <w:r>
        <w:t xml:space="preserve"> </w:t>
      </w:r>
      <w:r w:rsidRPr="00444358">
        <w:t>if it was compatible, it required no support from the Code.</w:t>
      </w:r>
    </w:p>
    <w:p w:rsidR="00444358" w:rsidRDefault="00444358" w:rsidP="00444358">
      <w:r w:rsidRPr="00444358">
        <w:t>It was to be assumed that the Ashworth policy was followed in the hospital. Seclusion was</w:t>
      </w:r>
      <w:r>
        <w:t xml:space="preserve"> </w:t>
      </w:r>
      <w:r w:rsidRPr="00444358">
        <w:t>universally recognised to be an unwelcome necessity of last resort. It was justified only when</w:t>
      </w:r>
      <w:r>
        <w:t xml:space="preserve"> </w:t>
      </w:r>
      <w:r w:rsidRPr="00444358">
        <w:t>necessary to protect others, and then for the shortest period necessary for that purpose. The</w:t>
      </w:r>
      <w:r>
        <w:t xml:space="preserve"> </w:t>
      </w:r>
      <w:r w:rsidRPr="00444358">
        <w:t>potential injury which seclusion could cause to the psychological and physical well-being of a</w:t>
      </w:r>
      <w:r>
        <w:t xml:space="preserve"> </w:t>
      </w:r>
      <w:r w:rsidRPr="00444358">
        <w:t>patient was universally recognised.</w:t>
      </w:r>
    </w:p>
    <w:p w:rsidR="00F66B33" w:rsidRPr="00F66B33" w:rsidRDefault="00F66B33" w:rsidP="00F66B33">
      <w:r w:rsidRPr="00F66B33">
        <w:t>The internal distribution of powers within member states was not regulated by the Convention. If</w:t>
      </w:r>
      <w:r>
        <w:t xml:space="preserve"> </w:t>
      </w:r>
      <w:r w:rsidRPr="00F66B33">
        <w:t>Parliament chose to establish a framework of binding statutory provision, and to supplement</w:t>
      </w:r>
      <w:r>
        <w:t xml:space="preserve"> </w:t>
      </w:r>
      <w:r w:rsidRPr="00F66B33">
        <w:t>those provisions by a Code which would guide but not bind local managers and healthcare</w:t>
      </w:r>
      <w:r>
        <w:t xml:space="preserve"> </w:t>
      </w:r>
      <w:r w:rsidRPr="00F66B33">
        <w:t>professionals, there was nothing in the Convention which invalidated that decision.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3</w:t>
      </w:r>
    </w:p>
    <w:p w:rsidR="00F66B33" w:rsidRPr="00F66B33" w:rsidRDefault="00F66B33" w:rsidP="00F66B33">
      <w:r w:rsidRPr="00F66B33">
        <w:t>The Trust must not subject patients at Ashworth to treatment prohibited by article 3 or adopt a</w:t>
      </w:r>
      <w:r>
        <w:t xml:space="preserve"> </w:t>
      </w:r>
      <w:r w:rsidRPr="00F66B33">
        <w:t>policy which exposed patients to a significant risk of such treatment. The policy, considered as a</w:t>
      </w:r>
      <w:r>
        <w:t xml:space="preserve"> </w:t>
      </w:r>
      <w:r w:rsidRPr="00F66B33">
        <w:t>whole and properly operated, would be sufficient to prevent any possible breach of the article 3</w:t>
      </w:r>
      <w:r>
        <w:t xml:space="preserve"> </w:t>
      </w:r>
      <w:r w:rsidRPr="00F66B33">
        <w:t>rights of a patient secluded beyond 7 days, and there was no evidence that the frequency of medical</w:t>
      </w:r>
      <w:r>
        <w:t xml:space="preserve"> </w:t>
      </w:r>
      <w:r w:rsidRPr="00F66B33">
        <w:t>reviews provided in the policy risked any breach of those rights.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5</w:t>
      </w:r>
    </w:p>
    <w:p w:rsidR="00F66B33" w:rsidRPr="00F66B33" w:rsidRDefault="00F66B33" w:rsidP="00F66B33">
      <w:r w:rsidRPr="00F66B33">
        <w:t>While Article 5 may avail a person detained in an institution of an inappropriate type it could not</w:t>
      </w:r>
      <w:r>
        <w:t xml:space="preserve"> </w:t>
      </w:r>
      <w:r w:rsidRPr="00F66B33">
        <w:t>found a complaint directed to the category of institution within an appropriate system. The</w:t>
      </w:r>
      <w:r>
        <w:t xml:space="preserve"> </w:t>
      </w:r>
      <w:r w:rsidRPr="00F66B33">
        <w:lastRenderedPageBreak/>
        <w:t xml:space="preserve">approach to residual liberty which appears to have prevailed in Canada (see </w:t>
      </w:r>
      <w:r w:rsidRPr="00F66B33">
        <w:rPr>
          <w:i/>
          <w:iCs/>
        </w:rPr>
        <w:t>Miller v The Queen</w:t>
      </w:r>
      <w:r>
        <w:rPr>
          <w:i/>
          <w:iCs/>
        </w:rPr>
        <w:t xml:space="preserve"> </w:t>
      </w:r>
      <w:r w:rsidRPr="00F66B33">
        <w:t>(1985) 24 DLR 4th 9) did not reflect the jurisprudence of the European Court. Improper use of</w:t>
      </w:r>
      <w:r>
        <w:t xml:space="preserve"> </w:t>
      </w:r>
      <w:r w:rsidRPr="00F66B33">
        <w:t>seclusion might found complaints under Article 3 or Article 8, and Article 5(4) provided that a</w:t>
      </w:r>
      <w:r>
        <w:t xml:space="preserve"> </w:t>
      </w:r>
      <w:r w:rsidRPr="00F66B33">
        <w:t>successful challenge would result in an order that the detainee should be released, not that the</w:t>
      </w:r>
      <w:r>
        <w:t xml:space="preserve"> </w:t>
      </w:r>
      <w:r w:rsidRPr="00F66B33">
        <w:t>conditions of his detention be varied.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8</w:t>
      </w:r>
    </w:p>
    <w:p w:rsidR="00F66B33" w:rsidRPr="00F66B33" w:rsidRDefault="00F66B33" w:rsidP="00F66B33">
      <w:r w:rsidRPr="00F66B33">
        <w:t>It was obvious that seclusion, improperly used, might violate a patient’s Article 8 right in a serious</w:t>
      </w:r>
      <w:r>
        <w:t xml:space="preserve"> </w:t>
      </w:r>
      <w:r w:rsidRPr="00F66B33">
        <w:t>and damaging way. This appeal, however, was directed to the compatibility of the Ashworth policy</w:t>
      </w:r>
      <w:r>
        <w:t xml:space="preserve"> </w:t>
      </w:r>
      <w:r w:rsidRPr="00F66B33">
        <w:t>with the Convention. His Lordship had some difficulty in appreciating how seclusion could be said</w:t>
      </w:r>
      <w:r>
        <w:t xml:space="preserve"> </w:t>
      </w:r>
      <w:r w:rsidRPr="00F66B33">
        <w:t>to show any lack of respect for a patient’s private and family life, home or correspondence if it was</w:t>
      </w:r>
      <w:r>
        <w:t xml:space="preserve"> </w:t>
      </w:r>
      <w:r w:rsidRPr="00F66B33">
        <w:t>used as the only means of protecting others from violence or intimidation and for the shortest</w:t>
      </w:r>
      <w:r>
        <w:t xml:space="preserve"> </w:t>
      </w:r>
      <w:r w:rsidRPr="00F66B33">
        <w:t>period necessary. A detained patient, when in his right mind or during lucid intervals, would</w:t>
      </w:r>
      <w:r>
        <w:t xml:space="preserve"> </w:t>
      </w:r>
      <w:r w:rsidRPr="00F66B33">
        <w:t>recognise that his best interests were served by his being prevented from acting in such a way.</w:t>
      </w:r>
    </w:p>
    <w:p w:rsidR="00F66B33" w:rsidRPr="00F66B33" w:rsidRDefault="00F66B33" w:rsidP="00F66B33">
      <w:r w:rsidRPr="00F66B33">
        <w:t>If it was accepted that seclusion engaged article 8(1), it was necessary to consider justification</w:t>
      </w:r>
      <w:r>
        <w:t xml:space="preserve"> </w:t>
      </w:r>
      <w:r w:rsidRPr="00F66B33">
        <w:t>under article 8(2). It was plainly necessary for the prevention of disorder or crime, for the</w:t>
      </w:r>
      <w:r>
        <w:t xml:space="preserve"> </w:t>
      </w:r>
      <w:r w:rsidRPr="00F66B33">
        <w:t>protection of health or morals, or for the protection of the rights and freedoms of others. Properly</w:t>
      </w:r>
      <w:r>
        <w:t xml:space="preserve"> </w:t>
      </w:r>
      <w:r w:rsidRPr="00F66B33">
        <w:t>used, seclusion would not be disproportionate because it would match the necessity giving rise to</w:t>
      </w:r>
      <w:r>
        <w:t xml:space="preserve"> </w:t>
      </w:r>
      <w:r w:rsidRPr="00F66B33">
        <w:t>it.</w:t>
      </w:r>
    </w:p>
    <w:p w:rsidR="00F66B33" w:rsidRDefault="00F66B33" w:rsidP="00F66B33">
      <w:r w:rsidRPr="00F66B33">
        <w:t>Mind had submitted that the interference was not “in accordance with the law” because it was not</w:t>
      </w:r>
      <w:r>
        <w:t xml:space="preserve"> </w:t>
      </w:r>
      <w:r w:rsidRPr="00F66B33">
        <w:t>prescribed by a binding general law. His Lordship could not accept this. The requirement was</w:t>
      </w:r>
      <w:r>
        <w:t xml:space="preserve"> </w:t>
      </w:r>
      <w:r w:rsidRPr="00F66B33">
        <w:t>directed to substance not form. It was intended to ensure that any interference was not random</w:t>
      </w:r>
      <w:r>
        <w:t xml:space="preserve"> </w:t>
      </w:r>
      <w:r w:rsidRPr="00F66B33">
        <w:t xml:space="preserve">and arbitrary but governed by clear pre-existing </w:t>
      </w:r>
      <w:proofErr w:type="gramStart"/>
      <w:r w:rsidRPr="00F66B33">
        <w:t>rules,</w:t>
      </w:r>
      <w:proofErr w:type="gramEnd"/>
      <w:r w:rsidRPr="00F66B33">
        <w:t xml:space="preserve"> and that the circumstances and procedures</w:t>
      </w:r>
      <w:r>
        <w:t xml:space="preserve"> </w:t>
      </w:r>
      <w:r w:rsidRPr="00F66B33">
        <w:t>adopted were predictable and foreseeable by those to whom they were applied. Given the broad</w:t>
      </w:r>
      <w:r>
        <w:t xml:space="preserve"> </w:t>
      </w:r>
      <w:r w:rsidRPr="00F66B33">
        <w:t>range of institutions in which patients may be treated for mental disorder, it was readily</w:t>
      </w:r>
      <w:r>
        <w:t xml:space="preserve"> </w:t>
      </w:r>
      <w:r w:rsidRPr="00F66B33">
        <w:t>understandable why a single set of rules was thought to be undesirable and perhaps impracticable.</w:t>
      </w:r>
      <w:r>
        <w:t xml:space="preserve"> </w:t>
      </w:r>
      <w:r w:rsidRPr="00F66B33">
        <w:t>The procedure adopted by the Trust did not permit arbitrary or random decision-making. The</w:t>
      </w:r>
      <w:r>
        <w:t xml:space="preserve"> </w:t>
      </w:r>
      <w:r w:rsidRPr="00F66B33">
        <w:t>rules were accessible, foreseeable and predictable. It could not be said that they were not in</w:t>
      </w:r>
      <w:r>
        <w:t xml:space="preserve"> </w:t>
      </w:r>
      <w:r w:rsidRPr="00F66B33">
        <w:t>accordance with or prescribed by law.</w:t>
      </w:r>
    </w:p>
    <w:p w:rsidR="00F66B33" w:rsidRPr="00F66B33" w:rsidRDefault="00F66B33" w:rsidP="00F66B33">
      <w:r w:rsidRPr="00F66B33">
        <w:t>The Court of Appeal had given the Code a stronger effect than was permissible. Their conclusion</w:t>
      </w:r>
      <w:r>
        <w:t xml:space="preserve"> </w:t>
      </w:r>
      <w:r w:rsidRPr="00F66B33">
        <w:t>gave the Code a weight which Parliament did not give it, which the Secretary of State did not</w:t>
      </w:r>
      <w:r>
        <w:t xml:space="preserve"> </w:t>
      </w:r>
      <w:r w:rsidRPr="00F66B33">
        <w:t>support and which the Convention context did not require.</w:t>
      </w:r>
    </w:p>
    <w:p w:rsidR="00F66B33" w:rsidRPr="00F66B33" w:rsidRDefault="00F66B33" w:rsidP="00F66B33">
      <w:r w:rsidRPr="00F66B33">
        <w:rPr>
          <w:b/>
          <w:bCs/>
        </w:rPr>
        <w:t xml:space="preserve">Lord </w:t>
      </w:r>
      <w:proofErr w:type="spellStart"/>
      <w:r w:rsidRPr="00F66B33">
        <w:rPr>
          <w:b/>
          <w:bCs/>
        </w:rPr>
        <w:t>Steyn</w:t>
      </w:r>
      <w:proofErr w:type="spellEnd"/>
      <w:r w:rsidRPr="00F66B33">
        <w:t>, dissenting, said that the Mental Health Act 1983 was out of date. It was left to so</w:t>
      </w:r>
      <w:r>
        <w:t>-</w:t>
      </w:r>
      <w:r w:rsidRPr="00F66B33">
        <w:t>called</w:t>
      </w:r>
      <w:r>
        <w:t xml:space="preserve"> </w:t>
      </w:r>
      <w:r w:rsidRPr="00F66B33">
        <w:t>soft law, in the form of a Code, to fill the gap.</w:t>
      </w:r>
    </w:p>
    <w:p w:rsidR="00F66B33" w:rsidRPr="00F66B33" w:rsidRDefault="00F66B33" w:rsidP="00F66B33">
      <w:r w:rsidRPr="00F66B33">
        <w:t>The judgment of the Court of Appeal had demonstrated a thorough understanding of this</w:t>
      </w:r>
      <w:r>
        <w:t xml:space="preserve"> </w:t>
      </w:r>
      <w:r w:rsidRPr="00F66B33">
        <w:t>sensitive and difficult branch of law. He agreed with the Court in respect of Articles 3 and 8 of the</w:t>
      </w:r>
      <w:r>
        <w:t xml:space="preserve"> </w:t>
      </w:r>
      <w:r w:rsidRPr="00F66B33">
        <w:t>ECHR, the status of the Code, and the conclusion that hospitals might not depart from the Code</w:t>
      </w:r>
      <w:r>
        <w:t xml:space="preserve"> </w:t>
      </w:r>
      <w:r w:rsidRPr="00F66B33">
        <w:t>as a matter of policy.</w:t>
      </w:r>
    </w:p>
    <w:p w:rsidR="00F66B33" w:rsidRPr="00F66B33" w:rsidRDefault="00F66B33" w:rsidP="00F66B33">
      <w:r w:rsidRPr="00F66B33">
        <w:t>The only part of their judgment which his Lordship would not adopt was in respect of Article 5.</w:t>
      </w:r>
      <w:r>
        <w:t xml:space="preserve"> </w:t>
      </w:r>
      <w:r w:rsidRPr="00F66B33">
        <w:t>Under English law a convicted prisoner retained all his civil rights which were not taken away</w:t>
      </w:r>
      <w:r>
        <w:t xml:space="preserve"> </w:t>
      </w:r>
      <w:r w:rsidRPr="00F66B33">
        <w:t>expressly or by necessary implication. To that extent he had a residual liberty. The reasoning in</w:t>
      </w:r>
      <w:r>
        <w:t xml:space="preserve"> </w:t>
      </w:r>
      <w:r w:rsidRPr="00F66B33">
        <w:rPr>
          <w:i/>
          <w:iCs/>
        </w:rPr>
        <w:t xml:space="preserve">Miller v The Queen </w:t>
      </w:r>
      <w:r w:rsidRPr="00F66B33">
        <w:t>(above) showed that where solitary confinement was unlawfully superimposed</w:t>
      </w:r>
      <w:r>
        <w:t xml:space="preserve"> </w:t>
      </w:r>
      <w:r w:rsidRPr="00F66B33">
        <w:lastRenderedPageBreak/>
        <w:t xml:space="preserve">upon a prison sentence it could amount to a “prison within a prison”. In </w:t>
      </w:r>
      <w:r w:rsidRPr="00F66B33">
        <w:rPr>
          <w:i/>
          <w:iCs/>
        </w:rPr>
        <w:t>R v Deputy Governor of</w:t>
      </w:r>
      <w:r>
        <w:rPr>
          <w:i/>
          <w:iCs/>
        </w:rPr>
        <w:t xml:space="preserve"> </w:t>
      </w:r>
      <w:proofErr w:type="spellStart"/>
      <w:r w:rsidRPr="00F66B33">
        <w:rPr>
          <w:i/>
          <w:iCs/>
        </w:rPr>
        <w:t>Parkhurst</w:t>
      </w:r>
      <w:proofErr w:type="spellEnd"/>
      <w:r w:rsidRPr="00F66B33">
        <w:rPr>
          <w:i/>
          <w:iCs/>
        </w:rPr>
        <w:t xml:space="preserve"> and others ex parte Hague </w:t>
      </w:r>
      <w:r w:rsidRPr="00F66B33">
        <w:t>[1992] 1 AC 58 the House of Lords had ruled out this concept,</w:t>
      </w:r>
      <w:r>
        <w:t xml:space="preserve"> </w:t>
      </w:r>
      <w:r w:rsidRPr="00F66B33">
        <w:t xml:space="preserve">but </w:t>
      </w:r>
      <w:r w:rsidRPr="00F66B33">
        <w:rPr>
          <w:i/>
          <w:iCs/>
        </w:rPr>
        <w:t xml:space="preserve">Hague </w:t>
      </w:r>
      <w:r w:rsidRPr="00F66B33">
        <w:t>predated the Human Rights Act 1998 and should no longer be treated as authoritative.</w:t>
      </w:r>
      <w:r>
        <w:t xml:space="preserve"> </w:t>
      </w:r>
      <w:r w:rsidRPr="00F66B33">
        <w:t>A fortiori it should not be applied to mentally disordered patients who were not guilty of any legal</w:t>
      </w:r>
      <w:r>
        <w:t xml:space="preserve"> </w:t>
      </w:r>
      <w:r w:rsidRPr="00F66B33">
        <w:t>or moral culpability.</w:t>
      </w:r>
    </w:p>
    <w:p w:rsidR="00F66B33" w:rsidRPr="00F66B33" w:rsidRDefault="00F66B33" w:rsidP="00F66B33">
      <w:r w:rsidRPr="00F66B33">
        <w:t>It would also be wrong to assume that under the jurisprudence of the ECHR residual liberty was</w:t>
      </w:r>
      <w:r>
        <w:t xml:space="preserve"> </w:t>
      </w:r>
      <w:r w:rsidRPr="00F66B33">
        <w:t xml:space="preserve">not protected. In </w:t>
      </w:r>
      <w:proofErr w:type="spellStart"/>
      <w:r w:rsidRPr="00F66B33">
        <w:rPr>
          <w:i/>
          <w:iCs/>
        </w:rPr>
        <w:t>Bollan</w:t>
      </w:r>
      <w:proofErr w:type="spellEnd"/>
      <w:r w:rsidRPr="00F66B33">
        <w:rPr>
          <w:i/>
          <w:iCs/>
        </w:rPr>
        <w:t xml:space="preserve"> v United Kingdom</w:t>
      </w:r>
      <w:r w:rsidRPr="00F66B33">
        <w:t>, App No 42117/98, 42117/98, the European Court of</w:t>
      </w:r>
      <w:r>
        <w:t xml:space="preserve"> </w:t>
      </w:r>
      <w:r w:rsidRPr="00F66B33">
        <w:t>Human Rights had said:</w:t>
      </w:r>
    </w:p>
    <w:p w:rsidR="00F66B33" w:rsidRPr="00F66B33" w:rsidRDefault="00F66B33" w:rsidP="00F66B33">
      <w:pPr>
        <w:ind w:left="567" w:right="521"/>
        <w:rPr>
          <w:i/>
          <w:iCs/>
        </w:rPr>
      </w:pPr>
      <w:r w:rsidRPr="00F66B33">
        <w:rPr>
          <w:i/>
          <w:iCs/>
        </w:rPr>
        <w:t>“...The court does not exclude that measures adopted within a prison may disclose interferences</w:t>
      </w:r>
      <w:r>
        <w:rPr>
          <w:i/>
          <w:iCs/>
        </w:rPr>
        <w:t xml:space="preserve"> </w:t>
      </w:r>
      <w:r w:rsidRPr="00F66B33">
        <w:rPr>
          <w:i/>
          <w:iCs/>
        </w:rPr>
        <w:t>with the right to liberty in exceptional circumstances.”</w:t>
      </w:r>
    </w:p>
    <w:p w:rsidR="00F66B33" w:rsidRPr="00F66B33" w:rsidRDefault="00F66B33" w:rsidP="00F66B33">
      <w:r w:rsidRPr="00F66B33">
        <w:t>If substantial and unjust seclusion of a mentally disordered patient could not be protected</w:t>
      </w:r>
      <w:r>
        <w:t xml:space="preserve"> </w:t>
      </w:r>
      <w:r w:rsidRPr="00F66B33">
        <w:t>effectively under Articles 3 and 8, it followed that a substantial period of unnecessary seclusion</w:t>
      </w:r>
      <w:r>
        <w:t xml:space="preserve"> </w:t>
      </w:r>
      <w:r w:rsidRPr="00F66B33">
        <w:t>could amount to an unjustified deprivation of liberty.</w:t>
      </w:r>
    </w:p>
    <w:p w:rsidR="00F66B33" w:rsidRPr="00F66B33" w:rsidRDefault="00F66B33" w:rsidP="00F66B33">
      <w:r w:rsidRPr="00F66B33">
        <w:t>It was wrong to focus exclusively or even primarily on the dictionary meaning of “guidance”. The</w:t>
      </w:r>
      <w:r>
        <w:t xml:space="preserve"> </w:t>
      </w:r>
      <w:r w:rsidRPr="00F66B33">
        <w:t>provision in section 118(2), and in the White Paper of 1981, for the Code to specify forms of</w:t>
      </w:r>
      <w:r>
        <w:t xml:space="preserve"> </w:t>
      </w:r>
      <w:r w:rsidRPr="00F66B33">
        <w:t>treatment was inconsistent with a free-for-all in which hospitals were at liberty to depart from the</w:t>
      </w:r>
      <w:r>
        <w:t xml:space="preserve"> </w:t>
      </w:r>
      <w:r w:rsidRPr="00F66B33">
        <w:t>Code as they considered right. Indeed, it seemed unlikely that Parliament would have authorised a</w:t>
      </w:r>
      <w:r>
        <w:t xml:space="preserve"> </w:t>
      </w:r>
      <w:r w:rsidRPr="00F66B33">
        <w:t>regime in which hospitals could as a matter of policy depart from the Code.</w:t>
      </w:r>
    </w:p>
    <w:p w:rsidR="00F66B33" w:rsidRPr="00F66B33" w:rsidRDefault="00F66B33" w:rsidP="00F66B33">
      <w:r w:rsidRPr="00F66B33">
        <w:t xml:space="preserve">The Court of Appeal had applied the dictum of </w:t>
      </w:r>
      <w:proofErr w:type="spellStart"/>
      <w:r w:rsidRPr="00F66B33">
        <w:t>Sedley</w:t>
      </w:r>
      <w:proofErr w:type="spellEnd"/>
      <w:r w:rsidRPr="00F66B33">
        <w:t xml:space="preserve"> J in </w:t>
      </w:r>
      <w:r w:rsidRPr="00F66B33">
        <w:rPr>
          <w:i/>
          <w:iCs/>
        </w:rPr>
        <w:t xml:space="preserve">R v Islington BC ex parte </w:t>
      </w:r>
      <w:proofErr w:type="spellStart"/>
      <w:r w:rsidRPr="00F66B33">
        <w:rPr>
          <w:i/>
          <w:iCs/>
        </w:rPr>
        <w:t>Rixon</w:t>
      </w:r>
      <w:proofErr w:type="spellEnd"/>
      <w:r w:rsidRPr="00F66B33">
        <w:rPr>
          <w:i/>
          <w:iCs/>
        </w:rPr>
        <w:t xml:space="preserve"> </w:t>
      </w:r>
      <w:r w:rsidRPr="00F66B33">
        <w:t>[1997]</w:t>
      </w:r>
      <w:r>
        <w:t xml:space="preserve"> </w:t>
      </w:r>
      <w:r w:rsidRPr="00F66B33">
        <w:t>ELR 66, at 71, that local authorities might only depart from the Secretary of State’s guidance for</w:t>
      </w:r>
      <w:r>
        <w:t xml:space="preserve"> </w:t>
      </w:r>
      <w:r w:rsidRPr="00F66B33">
        <w:t>good reason. In the present case fundamental rights were at stake and even before the Human</w:t>
      </w:r>
      <w:r>
        <w:t xml:space="preserve"> </w:t>
      </w:r>
      <w:r w:rsidRPr="00F66B33">
        <w:t>Rights Act 1998, an intense review on principles of proportionality was appropriate.</w:t>
      </w:r>
    </w:p>
    <w:p w:rsidR="00F66B33" w:rsidRPr="00F66B33" w:rsidRDefault="00F66B33" w:rsidP="00F66B33">
      <w:r w:rsidRPr="00F66B33">
        <w:t>The Court of Appeal had stated: “Hence we conclude that the Code should be observed by all</w:t>
      </w:r>
      <w:r>
        <w:t xml:space="preserve"> </w:t>
      </w:r>
      <w:r w:rsidRPr="00F66B33">
        <w:t>hospitals unless they have a good reason for departing from it in relation to an individual</w:t>
      </w:r>
      <w:r>
        <w:t xml:space="preserve"> </w:t>
      </w:r>
      <w:r w:rsidRPr="00F66B33">
        <w:t>patient...” Given the manifest dangers inherent in seclusion, and the extreme vulnerability of the</w:t>
      </w:r>
      <w:r>
        <w:t xml:space="preserve"> </w:t>
      </w:r>
      <w:r w:rsidRPr="00F66B33">
        <w:t>patients, this conclusion was sound.</w:t>
      </w:r>
    </w:p>
    <w:p w:rsidR="00F66B33" w:rsidRPr="00F66B33" w:rsidRDefault="00F66B33" w:rsidP="00F66B33">
      <w:r w:rsidRPr="00F66B33">
        <w:t>The endorsement of the Code by the Secretary of State made his virtual disowning of the Code</w:t>
      </w:r>
      <w:r>
        <w:t xml:space="preserve"> </w:t>
      </w:r>
      <w:r w:rsidRPr="00F66B33">
        <w:t>in these proceedings difficult to understand. The judgment of the majority of the House lowered</w:t>
      </w:r>
      <w:r>
        <w:t xml:space="preserve"> </w:t>
      </w:r>
      <w:r w:rsidRPr="00F66B33">
        <w:t>the protection offered by the law to mentally disordered patients.</w:t>
      </w:r>
    </w:p>
    <w:p w:rsidR="00F66B33" w:rsidRPr="00F66B33" w:rsidRDefault="00F66B33" w:rsidP="00F66B33">
      <w:r w:rsidRPr="00F66B33">
        <w:rPr>
          <w:b/>
          <w:bCs/>
        </w:rPr>
        <w:t xml:space="preserve">Lord Hope of </w:t>
      </w:r>
      <w:proofErr w:type="spellStart"/>
      <w:r w:rsidRPr="00F66B33">
        <w:rPr>
          <w:b/>
          <w:bCs/>
        </w:rPr>
        <w:t>Craighead</w:t>
      </w:r>
      <w:proofErr w:type="spellEnd"/>
      <w:r w:rsidRPr="00F66B33">
        <w:rPr>
          <w:b/>
          <w:bCs/>
        </w:rPr>
        <w:t xml:space="preserve"> </w:t>
      </w:r>
      <w:r w:rsidRPr="00F66B33">
        <w:t>concurred with Lord Bingham. One of the virtues of the Code was that</w:t>
      </w:r>
      <w:r>
        <w:t xml:space="preserve"> </w:t>
      </w:r>
      <w:r w:rsidRPr="00F66B33">
        <w:t>it was able to provide clear standards that were capable of being applied by all hospitals and all</w:t>
      </w:r>
      <w:r>
        <w:t xml:space="preserve"> </w:t>
      </w:r>
      <w:r w:rsidRPr="00F66B33">
        <w:t>healthcare facilities.</w:t>
      </w:r>
    </w:p>
    <w:p w:rsidR="00F66B33" w:rsidRPr="00F66B33" w:rsidRDefault="00F66B33" w:rsidP="00F66B33">
      <w:r w:rsidRPr="00F66B33">
        <w:t>In the introduction to its Seclusion Policy, it was noted that Ashworth Hospital admitted patients</w:t>
      </w:r>
      <w:r>
        <w:t xml:space="preserve"> </w:t>
      </w:r>
      <w:r w:rsidRPr="00F66B33">
        <w:t>who were considered to present a grave and immediate risk to the public which could not be</w:t>
      </w:r>
      <w:r>
        <w:t xml:space="preserve"> </w:t>
      </w:r>
      <w:r w:rsidRPr="00F66B33">
        <w:t>managed in conditions of lesser security. It was often the case that all other usual interventions</w:t>
      </w:r>
      <w:r>
        <w:t xml:space="preserve"> </w:t>
      </w:r>
      <w:r w:rsidRPr="00F66B33">
        <w:t>such as psychological interventions and alterations in drug treatment had been tried.</w:t>
      </w:r>
    </w:p>
    <w:p w:rsidR="00F66B33" w:rsidRPr="00F66B33" w:rsidRDefault="00F66B33" w:rsidP="00F66B33">
      <w:r w:rsidRPr="00F66B33">
        <w:t>Much of what was in the Policy complied with and elaborated upon the guidance which the Code</w:t>
      </w:r>
      <w:r>
        <w:t xml:space="preserve"> </w:t>
      </w:r>
      <w:r w:rsidRPr="00F66B33">
        <w:t>offered. The departure from that guidance was explained by Ashworth’s perception of what was</w:t>
      </w:r>
      <w:r>
        <w:t xml:space="preserve"> </w:t>
      </w:r>
      <w:r w:rsidRPr="00F66B33">
        <w:lastRenderedPageBreak/>
        <w:t>needed for the management of the patients detained there whose behaviour fell outside the normal</w:t>
      </w:r>
      <w:r>
        <w:t xml:space="preserve"> </w:t>
      </w:r>
      <w:r w:rsidRPr="00F66B33">
        <w:t>pattern of that exhibited by mental patients generally. There was a genuine and respectable</w:t>
      </w:r>
      <w:r>
        <w:t xml:space="preserve"> </w:t>
      </w:r>
      <w:r w:rsidRPr="00F66B33">
        <w:t>difference of view among those who were responsible for the formulation of policy in this difficult</w:t>
      </w:r>
      <w:r>
        <w:t xml:space="preserve"> </w:t>
      </w:r>
      <w:r w:rsidRPr="00F66B33">
        <w:t>and highly specialised field.</w:t>
      </w:r>
    </w:p>
    <w:p w:rsidR="00F66B33" w:rsidRPr="00F66B33" w:rsidRDefault="00F66B33" w:rsidP="00F66B33">
      <w:r w:rsidRPr="00F66B33">
        <w:t>In a letter to Ashworth’s solicitors, the Mental Health Act Commission had said that the Code had</w:t>
      </w:r>
      <w:r>
        <w:t xml:space="preserve"> </w:t>
      </w:r>
      <w:r w:rsidRPr="00F66B33">
        <w:t>perhaps been written on the assumption that seclusion should not normally still be in place after</w:t>
      </w:r>
      <w:r>
        <w:t xml:space="preserve"> </w:t>
      </w:r>
      <w:r w:rsidRPr="00F66B33">
        <w:t>three days, no matter how disturbed the patient might be at the time of seclusion; in that event</w:t>
      </w:r>
      <w:r>
        <w:t xml:space="preserve"> </w:t>
      </w:r>
      <w:r w:rsidRPr="00F66B33">
        <w:t>other methods of management should be resorted to. This dispute was not something on which</w:t>
      </w:r>
      <w:r>
        <w:t xml:space="preserve"> </w:t>
      </w:r>
      <w:r w:rsidRPr="00F66B33">
        <w:t>judges were competent to adjudicate.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Domestic law</w:t>
      </w:r>
    </w:p>
    <w:p w:rsidR="00F66B33" w:rsidRPr="00F66B33" w:rsidRDefault="00F66B33" w:rsidP="00F66B33">
      <w:r w:rsidRPr="00F66B33">
        <w:t>With regard to section 118(1) of the 1983 Act, the words “the admission of patients to hospitals”</w:t>
      </w:r>
      <w:r>
        <w:t xml:space="preserve"> </w:t>
      </w:r>
      <w:r w:rsidRPr="00F66B33">
        <w:t>could not be limited to the actual admission process. Seclusion was not part of the patient’s</w:t>
      </w:r>
      <w:r>
        <w:t xml:space="preserve"> </w:t>
      </w:r>
      <w:r w:rsidRPr="00F66B33">
        <w:t>treatment, but it fell well within the scope of the phrase “the medical treatment of patients</w:t>
      </w:r>
      <w:r>
        <w:t xml:space="preserve"> </w:t>
      </w:r>
      <w:r w:rsidRPr="00F66B33">
        <w:t>suffering from mental disorder”. The statutory basis for the guidance was to be found in section</w:t>
      </w:r>
      <w:r>
        <w:t xml:space="preserve"> </w:t>
      </w:r>
      <w:r w:rsidRPr="00F66B33">
        <w:t>118(1</w:t>
      </w:r>
      <w:proofErr w:type="gramStart"/>
      <w:r w:rsidRPr="00F66B33">
        <w:t>)(</w:t>
      </w:r>
      <w:proofErr w:type="gramEnd"/>
      <w:r w:rsidRPr="00F66B33">
        <w:t>b) of the 1983 Act.</w:t>
      </w:r>
    </w:p>
    <w:p w:rsidR="00F66B33" w:rsidRPr="00F66B33" w:rsidRDefault="00F66B33" w:rsidP="00F66B33">
      <w:r w:rsidRPr="00F66B33">
        <w:t>What did “guidance” mean in this context? There was no statutory obligation to comply with it.</w:t>
      </w:r>
      <w:r>
        <w:t xml:space="preserve"> </w:t>
      </w:r>
      <w:r w:rsidRPr="00F66B33">
        <w:t>But it could not be divorced from its statutory background, from the process of consultation and</w:t>
      </w:r>
      <w:r>
        <w:t xml:space="preserve"> </w:t>
      </w:r>
      <w:r w:rsidRPr="00F66B33">
        <w:t>from the Parliamentary procedure that had to be gone through. Statutory guidance of this kind</w:t>
      </w:r>
      <w:r>
        <w:t xml:space="preserve"> </w:t>
      </w:r>
      <w:r w:rsidRPr="00F66B33">
        <w:t>was less than a direction, but more than something to which those to whom it was addressed must</w:t>
      </w:r>
      <w:r>
        <w:t xml:space="preserve"> </w:t>
      </w:r>
      <w:r w:rsidRPr="00F66B33">
        <w:t>“have regard to”. He would go further than the Court of Appeal. Those to whom the Code was</w:t>
      </w:r>
      <w:r>
        <w:t xml:space="preserve"> </w:t>
      </w:r>
      <w:r w:rsidRPr="00F66B33">
        <w:t>addressed must give cogent reasons if in any respect they decided not to follow it. Those reasons</w:t>
      </w:r>
      <w:r>
        <w:t xml:space="preserve"> </w:t>
      </w:r>
      <w:r w:rsidRPr="00F66B33">
        <w:t>must be spelt out clearly, logically and convincingly.</w:t>
      </w:r>
    </w:p>
    <w:p w:rsidR="00F66B33" w:rsidRDefault="00F66B33" w:rsidP="00F66B33">
      <w:r w:rsidRPr="00F66B33">
        <w:t>There were ample grounds for thinking that good reasons had been demonstrated at Ashworth.</w:t>
      </w:r>
      <w:r>
        <w:t xml:space="preserve"> </w:t>
      </w:r>
      <w:r w:rsidRPr="00F66B33">
        <w:t>There was no doubt the situation there differed greatly from that in the generality of institutions</w:t>
      </w:r>
      <w:r>
        <w:t xml:space="preserve"> </w:t>
      </w:r>
      <w:r w:rsidRPr="00F66B33">
        <w:t>in which mental patients might find themselves. The Code did not address this problem, nor was</w:t>
      </w:r>
      <w:r>
        <w:t xml:space="preserve"> </w:t>
      </w:r>
      <w:r w:rsidRPr="00F66B33">
        <w:t>it designed to do so. Section 118(1) envisaged a single code of practice, not a series of codes</w:t>
      </w:r>
      <w:r>
        <w:t xml:space="preserve"> </w:t>
      </w:r>
      <w:r w:rsidRPr="00F66B33">
        <w:t>designed for different types of hospital. A balance was struck in the Policy between the need for</w:t>
      </w:r>
      <w:r>
        <w:t xml:space="preserve"> </w:t>
      </w:r>
      <w:r w:rsidRPr="00F66B33">
        <w:t>frequent medical reviews in the early stages and group monitoring in the longer term at less</w:t>
      </w:r>
      <w:r>
        <w:t xml:space="preserve"> </w:t>
      </w:r>
      <w:r w:rsidRPr="00F66B33">
        <w:t>frequent intervals, bearing in mind that some patients at Ashworth were dangerous not just for</w:t>
      </w:r>
      <w:r>
        <w:t xml:space="preserve"> </w:t>
      </w:r>
      <w:r w:rsidRPr="00F66B33">
        <w:t>short bursts but also for long periods, and the need to make the most efficient use of medical</w:t>
      </w:r>
      <w:r>
        <w:t xml:space="preserve"> </w:t>
      </w:r>
      <w:r w:rsidRPr="00F66B33">
        <w:t>resources at the hospital.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The Convention rights</w:t>
      </w:r>
    </w:p>
    <w:p w:rsidR="00F66B33" w:rsidRPr="00F66B33" w:rsidRDefault="00F66B33" w:rsidP="00F66B33">
      <w:r w:rsidRPr="00F66B33">
        <w:t>The proposition that it was the responsibility of the court to give the Code the weight and status</w:t>
      </w:r>
      <w:r>
        <w:t xml:space="preserve"> </w:t>
      </w:r>
      <w:r w:rsidRPr="00F66B33">
        <w:t>that it needed to secure the patients’ Convention rights was undoubtedly sound in principle. The</w:t>
      </w:r>
      <w:r>
        <w:t xml:space="preserve"> </w:t>
      </w:r>
      <w:r w:rsidRPr="00F66B33">
        <w:t>reasons for any departure from the Code must be subjected to particularly intense and careful</w:t>
      </w:r>
      <w:r>
        <w:t xml:space="preserve"> </w:t>
      </w:r>
      <w:r w:rsidRPr="00F66B33">
        <w:t>scrutiny.</w:t>
      </w:r>
    </w:p>
    <w:p w:rsidR="00F66B33" w:rsidRPr="00F66B33" w:rsidRDefault="00F66B33" w:rsidP="00F66B33">
      <w:r w:rsidRPr="00F66B33">
        <w:t>No complaint was made about the way the Policy had been implemented at Ashworth, nor that it</w:t>
      </w:r>
      <w:r>
        <w:t xml:space="preserve"> </w:t>
      </w:r>
      <w:r w:rsidRPr="00F66B33">
        <w:t>had been applied to the respondent in a way which had caused harm to him. There was no evidence</w:t>
      </w:r>
      <w:r>
        <w:t xml:space="preserve"> </w:t>
      </w:r>
      <w:r w:rsidRPr="00F66B33">
        <w:t>that any other patient had suffered as a result of the way the Policy had been implemented.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3</w:t>
      </w:r>
    </w:p>
    <w:p w:rsidR="00F66B33" w:rsidRPr="00F66B33" w:rsidRDefault="00F66B33" w:rsidP="00F66B33">
      <w:r w:rsidRPr="00F66B33">
        <w:lastRenderedPageBreak/>
        <w:t xml:space="preserve">Inhuman or degrading treatment must attain a minimum level of severity. In </w:t>
      </w:r>
      <w:r w:rsidRPr="00F66B33">
        <w:rPr>
          <w:i/>
          <w:iCs/>
        </w:rPr>
        <w:t>Osman v United</w:t>
      </w:r>
      <w:r>
        <w:rPr>
          <w:i/>
          <w:iCs/>
        </w:rPr>
        <w:t xml:space="preserve"> </w:t>
      </w:r>
      <w:r w:rsidRPr="00F66B33">
        <w:rPr>
          <w:i/>
          <w:iCs/>
        </w:rPr>
        <w:t xml:space="preserve">Kingdom </w:t>
      </w:r>
      <w:r w:rsidRPr="00F66B33">
        <w:t>(1998) 29 EHRR 245 the court had recognised that such obligations must be interpreted</w:t>
      </w:r>
      <w:r>
        <w:t xml:space="preserve"> </w:t>
      </w:r>
      <w:r w:rsidRPr="00F66B33">
        <w:t>in a way which did not impose an impossible or disproportionate burden on the authorities.</w:t>
      </w:r>
      <w:r>
        <w:t xml:space="preserve"> </w:t>
      </w:r>
      <w:r w:rsidRPr="00F66B33">
        <w:t>Regard must be had to the particular conditions, the stringency of the measure, its duration, the</w:t>
      </w:r>
      <w:r>
        <w:t xml:space="preserve"> </w:t>
      </w:r>
      <w:r w:rsidRPr="00F66B33">
        <w:t>objective pursued and its effect on the person concerned.</w:t>
      </w:r>
    </w:p>
    <w:p w:rsidR="00F66B33" w:rsidRPr="00F66B33" w:rsidRDefault="00F66B33" w:rsidP="00F66B33">
      <w:r w:rsidRPr="00F66B33">
        <w:t>The risk which must be considered was whether a patient might suffer ill-treatment of the required</w:t>
      </w:r>
      <w:r>
        <w:t xml:space="preserve"> </w:t>
      </w:r>
      <w:r w:rsidRPr="00F66B33">
        <w:t>level of severity as a result of having been kept in seclusion under Ashworth’s policy for longer</w:t>
      </w:r>
      <w:r>
        <w:t xml:space="preserve"> </w:t>
      </w:r>
      <w:r w:rsidRPr="00F66B33">
        <w:t>than would have been the case under the Code. Dr Davidson’s</w:t>
      </w:r>
      <w:r>
        <w:rPr>
          <w:rStyle w:val="FootnoteReference"/>
        </w:rPr>
        <w:footnoteReference w:id="7"/>
      </w:r>
      <w:r w:rsidRPr="00F66B33">
        <w:t xml:space="preserve"> report concluded that Ashworth’s</w:t>
      </w:r>
      <w:r>
        <w:t xml:space="preserve"> </w:t>
      </w:r>
      <w:r w:rsidRPr="00F66B33">
        <w:t>policy of fewer reviews after seven days increased the risk. But the evidence fell well short of</w:t>
      </w:r>
      <w:r>
        <w:t xml:space="preserve"> </w:t>
      </w:r>
      <w:r w:rsidRPr="00F66B33">
        <w:t>demonstrating that the Policy gave rise to a serious risk of ill-treatment of the required level of</w:t>
      </w:r>
      <w:r>
        <w:t xml:space="preserve"> </w:t>
      </w:r>
      <w:r w:rsidRPr="00F66B33">
        <w:t>severity. In view of the safeguards which it contained and the special circumstances that obtained</w:t>
      </w:r>
      <w:r>
        <w:t xml:space="preserve"> </w:t>
      </w:r>
      <w:r w:rsidRPr="00F66B33">
        <w:t>in the hospital it would be disproportionate for Ashworth to be compelled to abandon it in favour</w:t>
      </w:r>
      <w:r>
        <w:t xml:space="preserve"> </w:t>
      </w:r>
      <w:r w:rsidRPr="00F66B33">
        <w:t>of the Code.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5</w:t>
      </w:r>
    </w:p>
    <w:p w:rsidR="00F66B33" w:rsidRPr="00F66B33" w:rsidRDefault="00F66B33" w:rsidP="00F66B33">
      <w:r w:rsidRPr="00F66B33">
        <w:t>A person who was of unsound mind must be detained in a place which was appropriate for that</w:t>
      </w:r>
      <w:r>
        <w:t xml:space="preserve"> </w:t>
      </w:r>
      <w:r w:rsidRPr="00F66B33">
        <w:t xml:space="preserve">purpose: </w:t>
      </w:r>
      <w:proofErr w:type="spellStart"/>
      <w:r w:rsidRPr="00F66B33">
        <w:rPr>
          <w:i/>
          <w:iCs/>
        </w:rPr>
        <w:t>Aerts</w:t>
      </w:r>
      <w:proofErr w:type="spellEnd"/>
      <w:r w:rsidRPr="00F66B33">
        <w:rPr>
          <w:i/>
          <w:iCs/>
        </w:rPr>
        <w:t xml:space="preserve"> v Belgium </w:t>
      </w:r>
      <w:r w:rsidRPr="00F66B33">
        <w:t>(1998) 29 EHRR 50. Beyond that, article 5(1</w:t>
      </w:r>
      <w:proofErr w:type="gramStart"/>
      <w:r w:rsidRPr="00F66B33">
        <w:t>)(</w:t>
      </w:r>
      <w:proofErr w:type="gramEnd"/>
      <w:r w:rsidRPr="00F66B33">
        <w:t>e) was not concerned with</w:t>
      </w:r>
      <w:r>
        <w:t xml:space="preserve"> </w:t>
      </w:r>
      <w:r w:rsidRPr="00F66B33">
        <w:t>the patient’s treatment or the conditions of his detention. These matters must be dealt with under</w:t>
      </w:r>
      <w:r>
        <w:t xml:space="preserve"> </w:t>
      </w:r>
      <w:r w:rsidRPr="00F66B33">
        <w:t xml:space="preserve">articles 3 and 8. In </w:t>
      </w:r>
      <w:proofErr w:type="spellStart"/>
      <w:r w:rsidRPr="00F66B33">
        <w:rPr>
          <w:i/>
          <w:iCs/>
        </w:rPr>
        <w:t>Bollan</w:t>
      </w:r>
      <w:proofErr w:type="spellEnd"/>
      <w:r w:rsidRPr="00F66B33">
        <w:rPr>
          <w:i/>
          <w:iCs/>
        </w:rPr>
        <w:t xml:space="preserve"> v United Kingdom </w:t>
      </w:r>
      <w:r w:rsidRPr="00F66B33">
        <w:t>(above) the court had said that disciplinary steps</w:t>
      </w:r>
      <w:r>
        <w:t xml:space="preserve"> </w:t>
      </w:r>
      <w:r w:rsidRPr="00F66B33">
        <w:t>imposed on prisoners could not be considered a deprivation of liberty, but were modifications of</w:t>
      </w:r>
      <w:r>
        <w:t xml:space="preserve"> </w:t>
      </w:r>
      <w:r w:rsidRPr="00F66B33">
        <w:t>the conditions of detention. The seclusion of a patient at Ashworth did not amount to a separate</w:t>
      </w:r>
      <w:r>
        <w:t xml:space="preserve"> </w:t>
      </w:r>
      <w:r w:rsidRPr="00F66B33">
        <w:t>deprivation of liberty which engaged Article 5.</w:t>
      </w:r>
    </w:p>
    <w:p w:rsidR="00F66B33" w:rsidRPr="00F66B33" w:rsidRDefault="00F66B33" w:rsidP="00F66B33">
      <w:pPr>
        <w:rPr>
          <w:b/>
          <w:i/>
          <w:iCs/>
        </w:rPr>
      </w:pPr>
      <w:r w:rsidRPr="00F66B33">
        <w:rPr>
          <w:b/>
          <w:i/>
          <w:iCs/>
        </w:rPr>
        <w:t>Article 8</w:t>
      </w:r>
    </w:p>
    <w:p w:rsidR="00F66B33" w:rsidRPr="00F66B33" w:rsidRDefault="00F66B33" w:rsidP="00F66B33">
      <w:r w:rsidRPr="00F66B33">
        <w:t>Normal restrictions and limitations consequent upon prison life and discipline would not</w:t>
      </w:r>
      <w:r>
        <w:t xml:space="preserve"> </w:t>
      </w:r>
      <w:r w:rsidRPr="00F66B33">
        <w:t>constitute in principle a violation of this Article. The Committee of Ministers had recognised that</w:t>
      </w:r>
      <w:r>
        <w:t xml:space="preserve"> </w:t>
      </w:r>
      <w:r w:rsidRPr="00F66B33">
        <w:t>seclusion might be resorted to in appropriate circumstances.</w:t>
      </w:r>
    </w:p>
    <w:p w:rsidR="00F66B33" w:rsidRDefault="00F66B33" w:rsidP="00F66B33">
      <w:r w:rsidRPr="00F66B33">
        <w:t>Clearly there was a risk of a violation if this form of intervention was resorted to improperly or</w:t>
      </w:r>
      <w:r>
        <w:t xml:space="preserve"> </w:t>
      </w:r>
      <w:r w:rsidRPr="00F66B33">
        <w:t>for longer periods than the person’s mental condition justified. But there was no evidence that this</w:t>
      </w:r>
      <w:r>
        <w:t xml:space="preserve"> </w:t>
      </w:r>
      <w:r w:rsidRPr="00F66B33">
        <w:t>was happening at Ashworth. The whole purpose of the Policy was to define the standards which</w:t>
      </w:r>
      <w:r>
        <w:t xml:space="preserve"> </w:t>
      </w:r>
      <w:r w:rsidRPr="00F66B33">
        <w:t>must be followed and prevent abuse and arbitrariness. It was hard to see why, in these</w:t>
      </w:r>
      <w:r>
        <w:t xml:space="preserve"> </w:t>
      </w:r>
      <w:r w:rsidRPr="00F66B33">
        <w:t>circumstances, the Policy should itself be thought to be incompatible with Article 8(1).</w:t>
      </w:r>
    </w:p>
    <w:p w:rsidR="00F66B33" w:rsidRPr="00F66B33" w:rsidRDefault="00F66B33" w:rsidP="00F66B33">
      <w:r w:rsidRPr="00F66B33">
        <w:t>Assuming nevertheless that the Policy required to be justified under Article 8(2), his Lordship</w:t>
      </w:r>
      <w:r>
        <w:t xml:space="preserve"> </w:t>
      </w:r>
      <w:r w:rsidRPr="00F66B33">
        <w:t>would conclude that it satisfied those tests. The aim was to prevent disorder or crime. Its purpose</w:t>
      </w:r>
      <w:r>
        <w:t xml:space="preserve"> </w:t>
      </w:r>
      <w:r w:rsidRPr="00F66B33">
        <w:t>was to address the special considerations to be applied in a high security hospital, whose patients</w:t>
      </w:r>
      <w:r>
        <w:t xml:space="preserve"> </w:t>
      </w:r>
      <w:r w:rsidRPr="00F66B33">
        <w:t>were considered to present a grave and immediate risk to the public and might do so also to other</w:t>
      </w:r>
      <w:r>
        <w:t xml:space="preserve"> </w:t>
      </w:r>
      <w:r w:rsidRPr="00F66B33">
        <w:t>patients, staff and visitors. It also aimed to ensure that the procedure was resorted to in a way that</w:t>
      </w:r>
      <w:r>
        <w:t xml:space="preserve"> </w:t>
      </w:r>
      <w:r w:rsidRPr="00F66B33">
        <w:t>was proportionate and that, even in long-term cases, it was brought to an end as early as possible.</w:t>
      </w:r>
    </w:p>
    <w:p w:rsidR="00F66B33" w:rsidRPr="00F66B33" w:rsidRDefault="00F66B33" w:rsidP="00F66B33">
      <w:r w:rsidRPr="00F66B33">
        <w:t>The main thrust of Mind’s argument was that an interference with Article 8(1) could not be</w:t>
      </w:r>
      <w:r>
        <w:t xml:space="preserve"> </w:t>
      </w:r>
      <w:r w:rsidRPr="00F66B33">
        <w:t>justified unless it was “in accordance with the law”. “Law” in this context was not limited to</w:t>
      </w:r>
      <w:r>
        <w:t xml:space="preserve"> </w:t>
      </w:r>
      <w:r w:rsidRPr="00F66B33">
        <w:t xml:space="preserve">statutory </w:t>
      </w:r>
      <w:r w:rsidRPr="00F66B33">
        <w:lastRenderedPageBreak/>
        <w:t>enactment or to measures which had their base in a statute. It included the common law.</w:t>
      </w:r>
      <w:r>
        <w:t xml:space="preserve"> </w:t>
      </w:r>
      <w:r w:rsidRPr="00F66B33">
        <w:t>But the measure must be formulated with sufficient precision and be sufficiently accessible to</w:t>
      </w:r>
      <w:r>
        <w:t xml:space="preserve"> </w:t>
      </w:r>
      <w:r w:rsidRPr="00F66B33">
        <w:t>satisfy the criterion of foreseeability.</w:t>
      </w:r>
    </w:p>
    <w:p w:rsidR="00F66B33" w:rsidRPr="00F66B33" w:rsidRDefault="00F66B33" w:rsidP="00F66B33">
      <w:r w:rsidRPr="00F66B33">
        <w:t>The Policy satisfied these requirements. Its procedures were spelled out with the same clarity and</w:t>
      </w:r>
      <w:r>
        <w:t xml:space="preserve"> </w:t>
      </w:r>
      <w:r w:rsidRPr="00F66B33">
        <w:t>attention to detail as those in the Code. The Policy was published within the hospital so that it was</w:t>
      </w:r>
      <w:r>
        <w:t xml:space="preserve"> </w:t>
      </w:r>
      <w:r w:rsidRPr="00F66B33">
        <w:t>available to all who needed to see them. The way this form of intervention was managed at</w:t>
      </w:r>
      <w:r>
        <w:t xml:space="preserve"> </w:t>
      </w:r>
      <w:r w:rsidRPr="00F66B33">
        <w:t>Ashworth was entirely foreseeable.</w:t>
      </w:r>
    </w:p>
    <w:p w:rsidR="00F66B33" w:rsidRPr="00F66B33" w:rsidRDefault="00F66B33" w:rsidP="00F66B33">
      <w:r w:rsidRPr="00F66B33">
        <w:t>Mind argued that the Code would not have the force of law if it was open to Ashworth to depart</w:t>
      </w:r>
      <w:r>
        <w:t xml:space="preserve"> </w:t>
      </w:r>
      <w:r w:rsidRPr="00F66B33">
        <w:t>from it in formulating its own policy. The patient would not be able to foresee to a degree that was</w:t>
      </w:r>
      <w:r>
        <w:t xml:space="preserve"> </w:t>
      </w:r>
      <w:r w:rsidRPr="00F66B33">
        <w:t>reasonable how this form of intervention might be exercised. His Lordship did not accept this. But</w:t>
      </w:r>
      <w:r>
        <w:t xml:space="preserve"> </w:t>
      </w:r>
      <w:r w:rsidRPr="00F66B33">
        <w:t>the argument missed the point in any event, because the issue was not whether the Code was</w:t>
      </w:r>
      <w:r>
        <w:t xml:space="preserve"> </w:t>
      </w:r>
      <w:r w:rsidRPr="00F66B33">
        <w:t>incompatible or at risk of being so, but was directed to the lawfulness of Ashworth’s Policy.</w:t>
      </w:r>
    </w:p>
    <w:p w:rsidR="00F66B33" w:rsidRPr="00F66B33" w:rsidRDefault="00F66B33" w:rsidP="00F66B33">
      <w:r w:rsidRPr="00F66B33">
        <w:t>There was no reason why Ashworth was not free to depart from the Code as a matter of policy,</w:t>
      </w:r>
      <w:r>
        <w:t xml:space="preserve"> </w:t>
      </w:r>
      <w:r w:rsidRPr="00F66B33">
        <w:t>and not just in relation to individual patients or groups of patients. There was an obvious danger</w:t>
      </w:r>
      <w:r>
        <w:t xml:space="preserve"> </w:t>
      </w:r>
      <w:r w:rsidRPr="00F66B33">
        <w:t>that, if the Code could be departed from in the case of individual patients or groups of patients,</w:t>
      </w:r>
      <w:r>
        <w:t xml:space="preserve"> </w:t>
      </w:r>
      <w:r w:rsidRPr="00F66B33">
        <w:t>decisions to do this would be open to attack as being arbitrary. That was what Ashworth’s Policy</w:t>
      </w:r>
      <w:r>
        <w:t xml:space="preserve"> </w:t>
      </w:r>
      <w:r w:rsidRPr="00F66B33">
        <w:t>sought to avoid.</w:t>
      </w:r>
    </w:p>
    <w:p w:rsidR="00F66B33" w:rsidRPr="00F66B33" w:rsidRDefault="00F66B33" w:rsidP="00F66B33">
      <w:r w:rsidRPr="00F66B33">
        <w:t>It was the quality of the law that mattered rather than the form it took. Its qualities were measured</w:t>
      </w:r>
      <w:r>
        <w:t xml:space="preserve"> </w:t>
      </w:r>
      <w:r w:rsidRPr="00F66B33">
        <w:t>by its transparency, its accessibility, its predictability and its consistency. There was no doubt that</w:t>
      </w:r>
      <w:r>
        <w:t xml:space="preserve"> </w:t>
      </w:r>
      <w:r w:rsidRPr="00F66B33">
        <w:t>the Code satisfied these tests, although there was no statutory obligation to comply with it.</w:t>
      </w:r>
      <w:r>
        <w:t xml:space="preserve"> </w:t>
      </w:r>
      <w:r w:rsidRPr="00F66B33">
        <w:t>Ashworth’s Policy did so too. It was true that Ashworth could alter its Policy, but every departure</w:t>
      </w:r>
      <w:r>
        <w:t xml:space="preserve"> </w:t>
      </w:r>
      <w:r w:rsidRPr="00F66B33">
        <w:t>from the Code would have to be justified in the same way.</w:t>
      </w:r>
    </w:p>
    <w:p w:rsidR="00F66B33" w:rsidRPr="00F66B33" w:rsidRDefault="00F66B33" w:rsidP="00F66B33">
      <w:r w:rsidRPr="00F66B33">
        <w:t>Concerns that a departure from the Code would lead to widespread variations in practice and</w:t>
      </w:r>
      <w:r>
        <w:t xml:space="preserve"> </w:t>
      </w:r>
      <w:r w:rsidRPr="00F66B33">
        <w:t>undermine its status generally or that the House’s judgment lowered the protection afforded by the</w:t>
      </w:r>
      <w:r>
        <w:t xml:space="preserve"> </w:t>
      </w:r>
      <w:r w:rsidRPr="00F66B33">
        <w:t>law to mentally disordered patients were misplaced. Ashworth was the only place where a hospital</w:t>
      </w:r>
      <w:r>
        <w:t xml:space="preserve"> </w:t>
      </w:r>
      <w:r w:rsidRPr="00F66B33">
        <w:t>had departed from what the Code said about seclusion in favour of its own policy.</w:t>
      </w:r>
    </w:p>
    <w:p w:rsidR="00F66B33" w:rsidRPr="00F66B33" w:rsidRDefault="00F66B33" w:rsidP="00F66B33">
      <w:r w:rsidRPr="00F66B33">
        <w:rPr>
          <w:b/>
          <w:bCs/>
        </w:rPr>
        <w:t xml:space="preserve">Lord Scott of </w:t>
      </w:r>
      <w:proofErr w:type="spellStart"/>
      <w:r w:rsidRPr="00F66B33">
        <w:rPr>
          <w:b/>
          <w:bCs/>
        </w:rPr>
        <w:t>Foscote</w:t>
      </w:r>
      <w:proofErr w:type="spellEnd"/>
      <w:r w:rsidRPr="00F66B33">
        <w:rPr>
          <w:b/>
          <w:bCs/>
        </w:rPr>
        <w:t xml:space="preserve"> </w:t>
      </w:r>
      <w:r w:rsidRPr="00F66B33">
        <w:t>agreed with Lords Bingham and Hope. He also agreed with everything that</w:t>
      </w:r>
      <w:r>
        <w:t xml:space="preserve"> </w:t>
      </w:r>
      <w:r w:rsidRPr="00F66B33">
        <w:t>Lord Brown had written, except in relation to article 8, where he concluded that the Ashworth</w:t>
      </w:r>
      <w:r>
        <w:t xml:space="preserve"> </w:t>
      </w:r>
      <w:r w:rsidRPr="00F66B33">
        <w:t>policy did not have the necessary quality to render it compatible with the rule of law. This could</w:t>
      </w:r>
      <w:r>
        <w:t xml:space="preserve"> </w:t>
      </w:r>
      <w:r w:rsidRPr="00F66B33">
        <w:t>not be right. “The law”, for Article 8 purposes, did not consist only of statutes, directives,</w:t>
      </w:r>
      <w:r>
        <w:t xml:space="preserve"> </w:t>
      </w:r>
      <w:r w:rsidRPr="00F66B33">
        <w:t>statutory codes etc. It must include, also, the variety of duties and rights arising out of the</w:t>
      </w:r>
      <w:r>
        <w:t xml:space="preserve"> </w:t>
      </w:r>
      <w:r w:rsidRPr="00F66B33">
        <w:t>circumstances in which individuals and institutions found themselves that were imposed by the</w:t>
      </w:r>
      <w:r>
        <w:t xml:space="preserve"> </w:t>
      </w:r>
      <w:r w:rsidRPr="00F66B33">
        <w:t>common law.</w:t>
      </w:r>
    </w:p>
    <w:p w:rsidR="00767013" w:rsidRPr="00767013" w:rsidRDefault="00F66B33" w:rsidP="00767013">
      <w:r w:rsidRPr="00F66B33">
        <w:t>Ashworth owed a legal duty to the inmates of the hospital to take reasonable steps to protect him</w:t>
      </w:r>
      <w:r w:rsidR="00767013">
        <w:t xml:space="preserve"> </w:t>
      </w:r>
      <w:r w:rsidR="00767013" w:rsidRPr="00767013">
        <w:t>or her from injury by other inmates. Ashworth could not choose its patients. It had to accept them,</w:t>
      </w:r>
      <w:r w:rsidR="00767013">
        <w:t xml:space="preserve"> </w:t>
      </w:r>
      <w:r w:rsidR="00767013" w:rsidRPr="00767013">
        <w:t>detain them and look after them. All of them suffered from some degree of mental disturbance –</w:t>
      </w:r>
      <w:r w:rsidR="00767013">
        <w:t xml:space="preserve"> </w:t>
      </w:r>
      <w:r w:rsidR="00767013" w:rsidRPr="00767013">
        <w:t>otherwise they would not be there. Some of them from time to time presented a danger to other</w:t>
      </w:r>
      <w:r w:rsidR="00767013">
        <w:t xml:space="preserve"> </w:t>
      </w:r>
      <w:r w:rsidR="00767013" w:rsidRPr="00767013">
        <w:t>inmates. Placing a patient in seclusion where the danger was sufficiently acute was a step that</w:t>
      </w:r>
      <w:r w:rsidR="00767013">
        <w:t xml:space="preserve"> </w:t>
      </w:r>
      <w:r w:rsidR="00767013" w:rsidRPr="00767013">
        <w:t>Ashworth’s legal duty would require it to take. A dangerous patient’s Article 8 rights could not</w:t>
      </w:r>
      <w:r w:rsidR="00767013">
        <w:t xml:space="preserve"> </w:t>
      </w:r>
      <w:r w:rsidR="00767013" w:rsidRPr="00767013">
        <w:t>justifiably be pitched at a level that required the hospital to leave other patients in unacceptable</w:t>
      </w:r>
      <w:r w:rsidR="00767013">
        <w:t xml:space="preserve"> </w:t>
      </w:r>
      <w:r w:rsidR="00767013" w:rsidRPr="00767013">
        <w:t>danger of harm. Once it was accepted that Ashworth had no statutory obligation to have a</w:t>
      </w:r>
      <w:r w:rsidR="00767013">
        <w:t xml:space="preserve"> </w:t>
      </w:r>
      <w:r w:rsidR="00767013" w:rsidRPr="00767013">
        <w:t>seclusion policy that conformed in every respect to the Code and that its policy was rational and</w:t>
      </w:r>
      <w:r w:rsidR="00767013">
        <w:t xml:space="preserve"> </w:t>
      </w:r>
      <w:r w:rsidR="00767013" w:rsidRPr="00767013">
        <w:t xml:space="preserve">reasonable in </w:t>
      </w:r>
      <w:proofErr w:type="gramStart"/>
      <w:r w:rsidR="00767013" w:rsidRPr="00767013">
        <w:lastRenderedPageBreak/>
        <w:t>itself</w:t>
      </w:r>
      <w:proofErr w:type="gramEnd"/>
      <w:r w:rsidR="00767013" w:rsidRPr="00767013">
        <w:t>, there could be no room for any suggestion that its implementation for the</w:t>
      </w:r>
      <w:r w:rsidR="00767013">
        <w:t xml:space="preserve"> </w:t>
      </w:r>
      <w:r w:rsidR="00767013" w:rsidRPr="00767013">
        <w:t>safety of other inmates was otherwise than in accordance with the law.</w:t>
      </w:r>
    </w:p>
    <w:p w:rsidR="00767013" w:rsidRPr="00767013" w:rsidRDefault="00767013" w:rsidP="00767013">
      <w:r w:rsidRPr="00767013">
        <w:rPr>
          <w:b/>
          <w:bCs/>
        </w:rPr>
        <w:t>Lord Brown</w:t>
      </w:r>
      <w:r w:rsidRPr="00767013">
        <w:t>, dissenting, said that the Court of Appeal had declared that, in relation to seclusion,</w:t>
      </w:r>
      <w:r>
        <w:t xml:space="preserve"> </w:t>
      </w:r>
      <w:r w:rsidRPr="00767013">
        <w:t>the Code might only be departed from if there was good reason for the departure in the case of an</w:t>
      </w:r>
      <w:r>
        <w:t xml:space="preserve"> </w:t>
      </w:r>
      <w:r w:rsidRPr="00767013">
        <w:t>individual or a group of individuals sharing the same characteristics. A majority of the House had</w:t>
      </w:r>
      <w:r>
        <w:t xml:space="preserve"> </w:t>
      </w:r>
      <w:r w:rsidRPr="00767013">
        <w:t>concluded that the Code was guidance to be departed from only if the hospital had cogent reasons</w:t>
      </w:r>
      <w:r>
        <w:t xml:space="preserve"> </w:t>
      </w:r>
      <w:r w:rsidRPr="00767013">
        <w:t>for doing so. The difference between these positions must be that, where the Code embodied one</w:t>
      </w:r>
      <w:r>
        <w:t xml:space="preserve"> </w:t>
      </w:r>
      <w:r w:rsidRPr="00767013">
        <w:t>view and a hospital took another, the Court of Appeal would require the hospital to follow the</w:t>
      </w:r>
      <w:r>
        <w:t xml:space="preserve"> </w:t>
      </w:r>
      <w:r w:rsidRPr="00767013">
        <w:t>Code but the majority of the House would not.</w:t>
      </w:r>
    </w:p>
    <w:p w:rsidR="00767013" w:rsidRPr="00767013" w:rsidRDefault="00767013" w:rsidP="00767013">
      <w:r w:rsidRPr="00767013">
        <w:t>The case advanced by those who challenged Ashworth’s Policy was, first, that the United Kingdom</w:t>
      </w:r>
      <w:r w:rsidR="00B546F4">
        <w:t xml:space="preserve"> </w:t>
      </w:r>
      <w:r w:rsidRPr="00767013">
        <w:t>would be in breach of its obligations under the Convention if Ashworth were permitted to adopt</w:t>
      </w:r>
      <w:r w:rsidR="00B546F4">
        <w:t xml:space="preserve"> </w:t>
      </w:r>
      <w:r w:rsidRPr="00767013">
        <w:t>a policy of its own; second, to ensure compatibility with Convention rights, section 118 must be</w:t>
      </w:r>
      <w:r w:rsidR="00B546F4">
        <w:t xml:space="preserve"> </w:t>
      </w:r>
      <w:r w:rsidRPr="00767013">
        <w:t>construed to give greater weight to the Code; third, once the Code was given this additional weight,</w:t>
      </w:r>
      <w:r w:rsidR="00B546F4">
        <w:t xml:space="preserve"> </w:t>
      </w:r>
      <w:r w:rsidRPr="00767013">
        <w:t>Ashworth became disentitled to adopt a different policy of its own.</w:t>
      </w:r>
    </w:p>
    <w:p w:rsidR="00767013" w:rsidRPr="00767013" w:rsidRDefault="00767013" w:rsidP="00767013">
      <w:r w:rsidRPr="00767013">
        <w:t>The Court of Appeal had accepted the appellant’s case with regard to articles 3 and 8 but not as to</w:t>
      </w:r>
      <w:r w:rsidR="00B546F4">
        <w:t xml:space="preserve"> </w:t>
      </w:r>
      <w:r w:rsidRPr="00767013">
        <w:t>article 5. His Lordship agreed with regard to article 5. There was no evidence that the approach to</w:t>
      </w:r>
      <w:r w:rsidR="00B546F4">
        <w:t xml:space="preserve"> </w:t>
      </w:r>
      <w:r w:rsidRPr="00767013">
        <w:t>seclusion up and down the country created so plain a risk of article 3 violations that the Secretary</w:t>
      </w:r>
      <w:r w:rsidR="00B546F4">
        <w:t xml:space="preserve"> </w:t>
      </w:r>
      <w:r w:rsidRPr="00767013">
        <w:t>of State was bound to take corrective measures. There was further ground for rejecting the article</w:t>
      </w:r>
      <w:r w:rsidR="00B546F4">
        <w:t xml:space="preserve"> </w:t>
      </w:r>
      <w:r w:rsidRPr="00767013">
        <w:t>3 argument. The Secretary of State was obliged not to act incompatibly with a Convention right,</w:t>
      </w:r>
      <w:r w:rsidR="00B546F4">
        <w:t xml:space="preserve"> </w:t>
      </w:r>
      <w:r w:rsidRPr="00767013">
        <w:t>but was not obliged to ensure that other public authorities acted compatibly.</w:t>
      </w:r>
    </w:p>
    <w:p w:rsidR="00767013" w:rsidRPr="00767013" w:rsidRDefault="00767013" w:rsidP="00767013">
      <w:r w:rsidRPr="00767013">
        <w:t>On these issues his Lordship was in full agreement with the majority of the House. The issue</w:t>
      </w:r>
      <w:r w:rsidR="00B546F4">
        <w:t xml:space="preserve"> </w:t>
      </w:r>
      <w:r w:rsidRPr="00767013">
        <w:t>revolving around article 8, however, he found altogether more difficult. The first question was</w:t>
      </w:r>
      <w:r w:rsidR="00B546F4">
        <w:t xml:space="preserve"> </w:t>
      </w:r>
      <w:r w:rsidRPr="00767013">
        <w:t>whether seclusion engaged article 8 at all. There could surely be only one answer to that question.</w:t>
      </w:r>
      <w:r w:rsidR="00B546F4">
        <w:t xml:space="preserve"> </w:t>
      </w:r>
      <w:r w:rsidRPr="00767013">
        <w:t>It was unthinkable that a mental patient could be subjected to seclusion without such interference</w:t>
      </w:r>
      <w:r w:rsidR="00B546F4">
        <w:t xml:space="preserve"> </w:t>
      </w:r>
      <w:r w:rsidRPr="00767013">
        <w:t>being “in accordance with the law”.</w:t>
      </w:r>
    </w:p>
    <w:p w:rsidR="00F66B33" w:rsidRDefault="00767013" w:rsidP="00767013">
      <w:r w:rsidRPr="00767013">
        <w:t>The case therefore turned on article 8(2), and above all on the requirement that any interference be</w:t>
      </w:r>
      <w:r w:rsidR="00B546F4">
        <w:t xml:space="preserve"> </w:t>
      </w:r>
      <w:proofErr w:type="gramStart"/>
      <w:r w:rsidR="00B546F4">
        <w:t>e</w:t>
      </w:r>
      <w:r w:rsidRPr="00767013">
        <w:t>ffected</w:t>
      </w:r>
      <w:proofErr w:type="gramEnd"/>
      <w:r w:rsidRPr="00767013">
        <w:t xml:space="preserve"> “in accordance with the law”. Nobody could dispute that seclusion as a practice was</w:t>
      </w:r>
      <w:r w:rsidR="00B546F4">
        <w:t xml:space="preserve"> </w:t>
      </w:r>
      <w:r w:rsidRPr="00767013">
        <w:t>necessary. It could be justified under several of the grounds in article 8(2). But that was not a</w:t>
      </w:r>
      <w:r w:rsidR="00B546F4">
        <w:t xml:space="preserve"> </w:t>
      </w:r>
      <w:r w:rsidRPr="00767013">
        <w:t xml:space="preserve">sufficient answer to the complaint of interference with article 8 rights. In </w:t>
      </w:r>
      <w:r w:rsidRPr="00767013">
        <w:rPr>
          <w:i/>
          <w:iCs/>
        </w:rPr>
        <w:t>Malone v United Kingdom</w:t>
      </w:r>
      <w:r w:rsidR="00B546F4">
        <w:rPr>
          <w:i/>
          <w:iCs/>
        </w:rPr>
        <w:t xml:space="preserve"> </w:t>
      </w:r>
      <w:r w:rsidRPr="00767013">
        <w:t>(1984) 7 EHRR 14, nobody doubted the justification of phone-tapping but it was held not to have</w:t>
      </w:r>
      <w:r w:rsidR="00B546F4">
        <w:t xml:space="preserve"> </w:t>
      </w:r>
      <w:r w:rsidRPr="00767013">
        <w:t xml:space="preserve">been in accordance with the law. In </w:t>
      </w:r>
      <w:r w:rsidRPr="00767013">
        <w:rPr>
          <w:i/>
          <w:iCs/>
        </w:rPr>
        <w:t xml:space="preserve">Hewitt and Harman v United Kingdom </w:t>
      </w:r>
      <w:r w:rsidRPr="00767013">
        <w:t>(1991) 14 EHRR 657,</w:t>
      </w:r>
      <w:r w:rsidR="00B546F4">
        <w:t xml:space="preserve"> </w:t>
      </w:r>
      <w:r w:rsidRPr="00767013">
        <w:t>secret surveillance activities were based on a directive from the Home Secretary which did not have</w:t>
      </w:r>
      <w:r w:rsidR="00B546F4">
        <w:t xml:space="preserve"> </w:t>
      </w:r>
      <w:r w:rsidRPr="00767013">
        <w:t>the force of law: the European Commission of Human Rights had concluded that the directive did</w:t>
      </w:r>
      <w:r w:rsidR="00B546F4">
        <w:t xml:space="preserve"> </w:t>
      </w:r>
      <w:r w:rsidRPr="00767013">
        <w:t>not indicate with sufficient certainty the scope and manner of the authorities’ exercise of</w:t>
      </w:r>
      <w:r w:rsidR="00B546F4">
        <w:t xml:space="preserve"> </w:t>
      </w:r>
      <w:r w:rsidRPr="00767013">
        <w:t>discretion in carrying out their activities.</w:t>
      </w:r>
    </w:p>
    <w:p w:rsidR="008E0C4E" w:rsidRPr="008E0C4E" w:rsidRDefault="008E0C4E" w:rsidP="008E0C4E">
      <w:r w:rsidRPr="008E0C4E">
        <w:t>More was required by way of legal justification than that there existed a sufficient basis for the</w:t>
      </w:r>
      <w:r>
        <w:t xml:space="preserve"> </w:t>
      </w:r>
      <w:r w:rsidRPr="008E0C4E">
        <w:t>practice in domestic law. The phrase ‘in accordance with the law’ also related to the quality of the</w:t>
      </w:r>
      <w:r>
        <w:t xml:space="preserve"> </w:t>
      </w:r>
      <w:r w:rsidRPr="008E0C4E">
        <w:t>law, requiring it to be compatible with the rule of law. This encompassed notions of transparency,</w:t>
      </w:r>
      <w:r>
        <w:t xml:space="preserve"> </w:t>
      </w:r>
      <w:r w:rsidRPr="008E0C4E">
        <w:t>accessibility, predictability and consistency, to guard against the arbitrary use of power and to</w:t>
      </w:r>
      <w:r>
        <w:t xml:space="preserve"> </w:t>
      </w:r>
      <w:r w:rsidRPr="008E0C4E">
        <w:t>afford sufficient legal protection to those at risk of its abuse.</w:t>
      </w:r>
    </w:p>
    <w:p w:rsidR="008E0C4E" w:rsidRPr="008E0C4E" w:rsidRDefault="008E0C4E" w:rsidP="008E0C4E">
      <w:r w:rsidRPr="008E0C4E">
        <w:lastRenderedPageBreak/>
        <w:t>His Lordship had reluctantly concluded that the Code must be given something akin to the force</w:t>
      </w:r>
      <w:r>
        <w:t xml:space="preserve"> </w:t>
      </w:r>
      <w:r w:rsidRPr="008E0C4E">
        <w:t xml:space="preserve">of law with regard to seclusion. Without such </w:t>
      </w:r>
      <w:proofErr w:type="gramStart"/>
      <w:r w:rsidRPr="008E0C4E">
        <w:t>a Code</w:t>
      </w:r>
      <w:proofErr w:type="gramEnd"/>
      <w:r w:rsidRPr="008E0C4E">
        <w:t xml:space="preserve"> seclusion would not be regulated, save</w:t>
      </w:r>
      <w:r>
        <w:t xml:space="preserve"> </w:t>
      </w:r>
      <w:r w:rsidRPr="008E0C4E">
        <w:t>insofar as each hospital would be required to adopt, publish and practise a rational policy of its</w:t>
      </w:r>
      <w:r>
        <w:t xml:space="preserve"> </w:t>
      </w:r>
      <w:r w:rsidRPr="008E0C4E">
        <w:t>own. This, of course, was precisely what Ashworth had done. But by the same token, other</w:t>
      </w:r>
      <w:r>
        <w:t xml:space="preserve"> </w:t>
      </w:r>
      <w:r w:rsidRPr="008E0C4E">
        <w:t>hospitals might think it unnecessary to conduct reviews as frequently as in the Code. And there</w:t>
      </w:r>
      <w:r>
        <w:t xml:space="preserve"> </w:t>
      </w:r>
      <w:r w:rsidRPr="008E0C4E">
        <w:t>was nothing to stop Ashworth altering its policy whenever it thought it right to do so.</w:t>
      </w:r>
    </w:p>
    <w:p w:rsidR="008E0C4E" w:rsidRPr="008E0C4E" w:rsidRDefault="008E0C4E" w:rsidP="008E0C4E">
      <w:r w:rsidRPr="008E0C4E">
        <w:t>Although Ashworth ostensibly adopted the Code’s definition of seclusion, at most times about</w:t>
      </w:r>
      <w:r>
        <w:t xml:space="preserve"> </w:t>
      </w:r>
      <w:r w:rsidRPr="008E0C4E">
        <w:t>75% of the long-term secluded patients were being nursed in extended association. This different</w:t>
      </w:r>
      <w:r>
        <w:t xml:space="preserve"> </w:t>
      </w:r>
      <w:r w:rsidRPr="008E0C4E">
        <w:t>attitude resulted in widely differing approaches to the practice. One patient had been transferred</w:t>
      </w:r>
      <w:r>
        <w:t xml:space="preserve"> </w:t>
      </w:r>
      <w:r w:rsidRPr="008E0C4E">
        <w:t xml:space="preserve">from Ashworth to </w:t>
      </w:r>
      <w:proofErr w:type="spellStart"/>
      <w:r w:rsidRPr="008E0C4E">
        <w:t>Rampton</w:t>
      </w:r>
      <w:proofErr w:type="spellEnd"/>
      <w:r w:rsidRPr="008E0C4E">
        <w:t xml:space="preserve"> having been in seclusion for the best part of nine years. At </w:t>
      </w:r>
      <w:proofErr w:type="spellStart"/>
      <w:r w:rsidRPr="008E0C4E">
        <w:t>Rampton</w:t>
      </w:r>
      <w:proofErr w:type="spellEnd"/>
      <w:r>
        <w:t xml:space="preserve"> </w:t>
      </w:r>
      <w:r w:rsidRPr="008E0C4E">
        <w:t>his long-term seclusion had ceased, and although from time to time he had since been secluded,</w:t>
      </w:r>
      <w:r>
        <w:t xml:space="preserve"> </w:t>
      </w:r>
      <w:r w:rsidRPr="008E0C4E">
        <w:t>this had never been for as long as eight hours, or a total of twelve hours within any forty-eight hour</w:t>
      </w:r>
      <w:r>
        <w:t xml:space="preserve"> </w:t>
      </w:r>
      <w:r w:rsidRPr="008E0C4E">
        <w:t>period.</w:t>
      </w:r>
    </w:p>
    <w:p w:rsidR="008E0C4E" w:rsidRPr="008E0C4E" w:rsidRDefault="008E0C4E" w:rsidP="008E0C4E">
      <w:r w:rsidRPr="008E0C4E">
        <w:t>Under the ruling proposed by the majority of the House, patients and their carers must be</w:t>
      </w:r>
      <w:r>
        <w:t xml:space="preserve"> </w:t>
      </w:r>
      <w:r w:rsidRPr="008E0C4E">
        <w:t>reconciled to substantial departures from the Code by individual hospitals. Unless one looked to</w:t>
      </w:r>
      <w:r>
        <w:t xml:space="preserve"> </w:t>
      </w:r>
      <w:r w:rsidRPr="008E0C4E">
        <w:t>the Code for regulation carrying the force of law it was not to be found elsewhere. Hospital policies</w:t>
      </w:r>
      <w:r>
        <w:t xml:space="preserve"> </w:t>
      </w:r>
      <w:r w:rsidRPr="008E0C4E">
        <w:t>provided too insubstantial a foundation for a practice so potentially harmful and open to abuse as</w:t>
      </w:r>
      <w:r>
        <w:t xml:space="preserve"> </w:t>
      </w:r>
      <w:r w:rsidRPr="008E0C4E">
        <w:t>the seclusion of vulnerable patients.</w:t>
      </w:r>
    </w:p>
    <w:p w:rsidR="008E0C4E" w:rsidRDefault="008E0C4E" w:rsidP="008E0C4E">
      <w:r w:rsidRPr="008E0C4E">
        <w:t>The discordance of views in this case seemed both striking and unfortunate. The Joint</w:t>
      </w:r>
      <w:r>
        <w:t xml:space="preserve"> </w:t>
      </w:r>
      <w:r w:rsidRPr="008E0C4E">
        <w:t>Parliamentary Select Committee on Human Rights had recently expressed concerns about the low</w:t>
      </w:r>
      <w:r>
        <w:t xml:space="preserve"> </w:t>
      </w:r>
      <w:r w:rsidRPr="008E0C4E">
        <w:t>level of compliance with guidelines on seclusion. His Lordship hoped that it might prove possible</w:t>
      </w:r>
      <w:r>
        <w:t xml:space="preserve"> </w:t>
      </w:r>
      <w:r w:rsidRPr="008E0C4E">
        <w:t>to lay down a comprehensive and compulsory scheme for the regulation and review of seclusion</w:t>
      </w:r>
      <w:r>
        <w:t xml:space="preserve"> </w:t>
      </w:r>
      <w:r w:rsidRPr="008E0C4E">
        <w:t>which reflected not merely best practice generally but also such special problems as Ashworth</w:t>
      </w:r>
      <w:r>
        <w:t xml:space="preserve"> </w:t>
      </w:r>
      <w:r w:rsidRPr="008E0C4E">
        <w:t>experienced. Sooner or later, consensus must be reached upon the proper place of seclusion within</w:t>
      </w:r>
      <w:r>
        <w:t xml:space="preserve"> </w:t>
      </w:r>
      <w:r w:rsidRPr="008E0C4E">
        <w:t>mental hospitals. The issue had been a running sore for far too long.</w:t>
      </w:r>
    </w:p>
    <w:p w:rsidR="008E0C4E" w:rsidRPr="008E0C4E" w:rsidRDefault="008E0C4E" w:rsidP="008E0C4E"/>
    <w:p w:rsidR="008E0C4E" w:rsidRPr="008E0C4E" w:rsidRDefault="008E0C4E" w:rsidP="008E0C4E">
      <w:pPr>
        <w:rPr>
          <w:b/>
          <w:bCs/>
          <w:sz w:val="24"/>
        </w:rPr>
      </w:pPr>
      <w:r w:rsidRPr="008E0C4E">
        <w:rPr>
          <w:b/>
          <w:bCs/>
          <w:sz w:val="24"/>
        </w:rPr>
        <w:t>Comment</w:t>
      </w:r>
    </w:p>
    <w:p w:rsidR="008E0C4E" w:rsidRPr="008E0C4E" w:rsidRDefault="008E0C4E" w:rsidP="008E0C4E">
      <w:r w:rsidRPr="008E0C4E">
        <w:t>So, in respect of seclusion at least, the Code of Practice no longer has the enhanced status given it</w:t>
      </w:r>
      <w:r>
        <w:t xml:space="preserve"> </w:t>
      </w:r>
      <w:r w:rsidRPr="008E0C4E">
        <w:t>by the Court of Appeal. The majority judgment may be welcomed by those advising Trusts but is</w:t>
      </w:r>
      <w:r>
        <w:t xml:space="preserve"> </w:t>
      </w:r>
      <w:r w:rsidRPr="008E0C4E">
        <w:t>likely to alarm patients’ representatives, who have relied upon the Code as a basis for challenging</w:t>
      </w:r>
      <w:r>
        <w:t xml:space="preserve"> </w:t>
      </w:r>
      <w:r w:rsidRPr="008E0C4E">
        <w:t xml:space="preserve">practices they regard as oppressive. As </w:t>
      </w:r>
      <w:proofErr w:type="spellStart"/>
      <w:r w:rsidRPr="008E0C4E">
        <w:t>Saimo</w:t>
      </w:r>
      <w:proofErr w:type="spellEnd"/>
      <w:r w:rsidRPr="008E0C4E">
        <w:t xml:space="preserve"> </w:t>
      </w:r>
      <w:proofErr w:type="spellStart"/>
      <w:r w:rsidRPr="008E0C4E">
        <w:t>Chahal</w:t>
      </w:r>
      <w:proofErr w:type="spellEnd"/>
      <w:r w:rsidRPr="008E0C4E">
        <w:t xml:space="preserve"> points out in Legal Action [2006] April, pages</w:t>
      </w:r>
      <w:r>
        <w:t xml:space="preserve"> </w:t>
      </w:r>
      <w:r w:rsidRPr="008E0C4E">
        <w:t>20–22, seclusion “raises significant issues of concern pointing to human rights violations”. It is</w:t>
      </w:r>
      <w:r>
        <w:t xml:space="preserve"> </w:t>
      </w:r>
      <w:r w:rsidRPr="008E0C4E">
        <w:t>therefore important to look at the majority judgment in terms of both the legal arguments and also</w:t>
      </w:r>
      <w:r>
        <w:t xml:space="preserve"> </w:t>
      </w:r>
      <w:r w:rsidRPr="008E0C4E">
        <w:t>its practical implications.</w:t>
      </w:r>
    </w:p>
    <w:p w:rsidR="008E0C4E" w:rsidRPr="008E0C4E" w:rsidRDefault="008E0C4E" w:rsidP="008E0C4E">
      <w:r w:rsidRPr="008E0C4E">
        <w:t>There is a striking degree of unanimity between the Court of Appeal and their Lordships.</w:t>
      </w:r>
      <w:r>
        <w:t xml:space="preserve"> </w:t>
      </w:r>
      <w:r w:rsidRPr="008E0C4E">
        <w:t>Seclusion is justified in domestic law; the framework in the Code derives its authority from the</w:t>
      </w:r>
      <w:r>
        <w:t xml:space="preserve"> </w:t>
      </w:r>
      <w:r w:rsidRPr="008E0C4E">
        <w:t xml:space="preserve">1983 Act, probably as ‘treatment’ under </w:t>
      </w:r>
      <w:proofErr w:type="gramStart"/>
      <w:r w:rsidRPr="008E0C4E">
        <w:t>s.118(</w:t>
      </w:r>
      <w:proofErr w:type="gramEnd"/>
      <w:r w:rsidRPr="008E0C4E">
        <w:t>1)(b). However, it potentially violates Convention</w:t>
      </w:r>
      <w:r>
        <w:t xml:space="preserve"> </w:t>
      </w:r>
      <w:r w:rsidRPr="008E0C4E">
        <w:t>rights, so the court has an obligation to ensure that these are adequately protected. There is no</w:t>
      </w:r>
      <w:r>
        <w:t xml:space="preserve"> </w:t>
      </w:r>
      <w:r w:rsidRPr="008E0C4E">
        <w:t>evidence that seclusion in Ashworth or anywhere else attains a level of severity such as to engage</w:t>
      </w:r>
      <w:r>
        <w:t xml:space="preserve"> </w:t>
      </w:r>
      <w:r w:rsidRPr="008E0C4E">
        <w:t xml:space="preserve">article 3. Article </w:t>
      </w:r>
      <w:r w:rsidRPr="008E0C4E">
        <w:lastRenderedPageBreak/>
        <w:t xml:space="preserve">5(1) is not engaged either (Lord </w:t>
      </w:r>
      <w:proofErr w:type="spellStart"/>
      <w:r w:rsidRPr="008E0C4E">
        <w:t>Steyn</w:t>
      </w:r>
      <w:proofErr w:type="spellEnd"/>
      <w:r w:rsidRPr="008E0C4E">
        <w:t xml:space="preserve"> dissenting), as it concerns the conditions of</w:t>
      </w:r>
      <w:r>
        <w:t xml:space="preserve"> </w:t>
      </w:r>
      <w:r w:rsidRPr="008E0C4E">
        <w:t>detention only. Thus the case turns on the application of Article 8.</w:t>
      </w:r>
    </w:p>
    <w:p w:rsidR="008E0C4E" w:rsidRPr="008E0C4E" w:rsidRDefault="008E0C4E" w:rsidP="008E0C4E">
      <w:r w:rsidRPr="008E0C4E">
        <w:t>It is hard to understand why Lords Bingham and Hope struggle to bring seclusion within Article</w:t>
      </w:r>
      <w:r>
        <w:t xml:space="preserve"> </w:t>
      </w:r>
      <w:r w:rsidRPr="008E0C4E">
        <w:t>8(1). Both acknowledge its potential for harm; but Lord Bingham doubts whether Article 8(1) is</w:t>
      </w:r>
      <w:r>
        <w:t xml:space="preserve"> </w:t>
      </w:r>
      <w:r w:rsidRPr="008E0C4E">
        <w:t>engaged “if it is used as the only means of protecting others from violence or intimidation and for</w:t>
      </w:r>
      <w:r>
        <w:t xml:space="preserve"> </w:t>
      </w:r>
      <w:r w:rsidRPr="008E0C4E">
        <w:t>the shortest period necessary to that end” (para 32). Lord Hope states: “The whole purpose of the</w:t>
      </w:r>
      <w:r>
        <w:t xml:space="preserve"> </w:t>
      </w:r>
      <w:r w:rsidRPr="008E0C4E">
        <w:t>Policy ... is to define the standards which must be followed and prevent abuse and arbitrariness”</w:t>
      </w:r>
      <w:r>
        <w:t xml:space="preserve"> </w:t>
      </w:r>
      <w:r w:rsidRPr="008E0C4E">
        <w:t>(para 89). The logic is hard to follow. Surely what they say goes to justification under Article 8(2)?</w:t>
      </w:r>
      <w:r>
        <w:t xml:space="preserve"> </w:t>
      </w:r>
      <w:r w:rsidRPr="008E0C4E">
        <w:t>Or do they mean that they have such faith in the infallibility of the Ashworth regime that an article</w:t>
      </w:r>
      <w:r>
        <w:t xml:space="preserve"> </w:t>
      </w:r>
      <w:r w:rsidRPr="008E0C4E">
        <w:t xml:space="preserve">8 violation could never arise? (The cases Lord Hope cites – </w:t>
      </w:r>
      <w:proofErr w:type="spellStart"/>
      <w:r w:rsidRPr="008E0C4E">
        <w:rPr>
          <w:i/>
          <w:iCs/>
        </w:rPr>
        <w:t>Raninen</w:t>
      </w:r>
      <w:proofErr w:type="spellEnd"/>
      <w:r w:rsidRPr="008E0C4E">
        <w:rPr>
          <w:i/>
          <w:iCs/>
        </w:rPr>
        <w:t xml:space="preserve"> v Finland </w:t>
      </w:r>
      <w:r w:rsidRPr="008E0C4E">
        <w:t>(1997) 26 EHRR 563</w:t>
      </w:r>
      <w:r>
        <w:t xml:space="preserve"> </w:t>
      </w:r>
      <w:r w:rsidRPr="008E0C4E">
        <w:t xml:space="preserve">and </w:t>
      </w:r>
      <w:proofErr w:type="spellStart"/>
      <w:r w:rsidRPr="008E0C4E">
        <w:rPr>
          <w:i/>
          <w:iCs/>
        </w:rPr>
        <w:t>Herczegfalvy</w:t>
      </w:r>
      <w:proofErr w:type="spellEnd"/>
      <w:r w:rsidRPr="008E0C4E">
        <w:rPr>
          <w:i/>
          <w:iCs/>
        </w:rPr>
        <w:t xml:space="preserve"> v Austria </w:t>
      </w:r>
      <w:r w:rsidRPr="008E0C4E">
        <w:t>(1992) 15 EHRR 437 – are both concerned with mechanical restraint, a</w:t>
      </w:r>
      <w:r>
        <w:t xml:space="preserve"> </w:t>
      </w:r>
      <w:r w:rsidRPr="008E0C4E">
        <w:t>very different thing from extended seclusion.) Lord Brown is surely correct when he states (para</w:t>
      </w:r>
      <w:r>
        <w:t xml:space="preserve"> </w:t>
      </w:r>
      <w:r w:rsidRPr="008E0C4E">
        <w:t>118): “... as a practice it will inevitably sometimes engage article 8: there are bound to be occasions</w:t>
      </w:r>
      <w:r>
        <w:t xml:space="preserve"> </w:t>
      </w:r>
      <w:r w:rsidRPr="008E0C4E">
        <w:t>when the patient’s “personal autonomy” or “moral integrity” ... are undermined ...”</w:t>
      </w:r>
    </w:p>
    <w:p w:rsidR="008E0C4E" w:rsidRPr="008E0C4E" w:rsidRDefault="008E0C4E" w:rsidP="008E0C4E">
      <w:r w:rsidRPr="008E0C4E">
        <w:t>If article 8(1) is engaged, it must be correct that Ashworth’s policy cannot be challenged on</w:t>
      </w:r>
      <w:r>
        <w:t xml:space="preserve"> </w:t>
      </w:r>
      <w:r w:rsidRPr="008E0C4E">
        <w:t>grounds of its legitimate aim; and it is not necessary to have as rosy a view of Ashworth as Lords</w:t>
      </w:r>
      <w:r>
        <w:t xml:space="preserve"> </w:t>
      </w:r>
      <w:r w:rsidRPr="008E0C4E">
        <w:t>Bingham and Hope to accept that the proportionality of the use of seclusion will inevitably be a</w:t>
      </w:r>
      <w:r>
        <w:t xml:space="preserve"> </w:t>
      </w:r>
      <w:r w:rsidRPr="008E0C4E">
        <w:t xml:space="preserve">matter for the clinical judgement of the staff concerned (i.e. </w:t>
      </w:r>
      <w:proofErr w:type="spellStart"/>
      <w:r w:rsidRPr="008E0C4E">
        <w:rPr>
          <w:i/>
          <w:iCs/>
        </w:rPr>
        <w:t>Bolam</w:t>
      </w:r>
      <w:proofErr w:type="spellEnd"/>
      <w:r w:rsidRPr="008E0C4E">
        <w:rPr>
          <w:i/>
          <w:iCs/>
        </w:rPr>
        <w:t xml:space="preserve"> </w:t>
      </w:r>
      <w:r w:rsidRPr="008E0C4E">
        <w:t>strikes again).</w:t>
      </w:r>
    </w:p>
    <w:p w:rsidR="008E0C4E" w:rsidRPr="008E0C4E" w:rsidRDefault="008E0C4E" w:rsidP="008E0C4E">
      <w:r w:rsidRPr="008E0C4E">
        <w:t>“Accordance with the law” is another matter. Leaving aside Lord Scott, whose argument –</w:t>
      </w:r>
      <w:r>
        <w:t xml:space="preserve"> </w:t>
      </w:r>
      <w:r w:rsidRPr="008E0C4E">
        <w:t>‘Ashworth have a duty to protect other patients, so their policy must be lawful’ – begs too many</w:t>
      </w:r>
      <w:r>
        <w:t xml:space="preserve"> </w:t>
      </w:r>
      <w:r w:rsidRPr="008E0C4E">
        <w:t>questions (what if Ashworth said they had no choice but to shackle patients to their beds?), the</w:t>
      </w:r>
      <w:r>
        <w:t xml:space="preserve"> </w:t>
      </w:r>
      <w:r w:rsidRPr="008E0C4E">
        <w:t>Lords split 2:2 on the issue. On the one hand, the policy derives its authority from the Code, is</w:t>
      </w:r>
      <w:r>
        <w:t xml:space="preserve"> </w:t>
      </w:r>
      <w:r w:rsidRPr="008E0C4E">
        <w:t>accessible and foreseeable; on the other, patients need the certainty of knowing that wherever they</w:t>
      </w:r>
      <w:r>
        <w:t xml:space="preserve"> </w:t>
      </w:r>
      <w:r w:rsidRPr="008E0C4E">
        <w:t>are held they are governed by a single document which has been the subject of extensive</w:t>
      </w:r>
      <w:r>
        <w:t xml:space="preserve"> </w:t>
      </w:r>
      <w:r w:rsidRPr="008E0C4E">
        <w:t>consultation and endorsed by the Secretary of State.</w:t>
      </w:r>
    </w:p>
    <w:p w:rsidR="008E0C4E" w:rsidRPr="008E0C4E" w:rsidRDefault="008E0C4E" w:rsidP="008E0C4E">
      <w:r w:rsidRPr="008E0C4E">
        <w:t>One’s attitude to this probably depends on whether one accepts, with the majority of their</w:t>
      </w:r>
      <w:r>
        <w:t xml:space="preserve"> </w:t>
      </w:r>
      <w:r w:rsidRPr="008E0C4E">
        <w:t>Lordships, that Ashworth is a ‘special case’. Lord Brown is the only one to question why the</w:t>
      </w:r>
      <w:r>
        <w:t xml:space="preserve"> </w:t>
      </w:r>
      <w:r w:rsidRPr="008E0C4E">
        <w:t xml:space="preserve">practice at Ashworth is out of step with </w:t>
      </w:r>
      <w:proofErr w:type="spellStart"/>
      <w:r w:rsidRPr="008E0C4E">
        <w:t>Rampton</w:t>
      </w:r>
      <w:proofErr w:type="spellEnd"/>
      <w:r w:rsidRPr="008E0C4E">
        <w:t xml:space="preserve"> and Broadmoor, which (it might be thought)</w:t>
      </w:r>
      <w:r>
        <w:t xml:space="preserve"> </w:t>
      </w:r>
      <w:r w:rsidRPr="008E0C4E">
        <w:t>have broadly similar populations. Lord Bingham says that “it is not for the courts to resolve</w:t>
      </w:r>
      <w:r>
        <w:t xml:space="preserve"> </w:t>
      </w:r>
      <w:r w:rsidRPr="008E0C4E">
        <w:t>debatable issues of professional practice...”</w:t>
      </w:r>
    </w:p>
    <w:p w:rsidR="008E0C4E" w:rsidRPr="008E0C4E" w:rsidRDefault="008E0C4E" w:rsidP="008E0C4E">
      <w:r w:rsidRPr="008E0C4E">
        <w:t>But this issue is surely at the heart of the appeal: what are Ashworth in fact doing when they</w:t>
      </w:r>
      <w:r>
        <w:t xml:space="preserve"> </w:t>
      </w:r>
      <w:r w:rsidRPr="008E0C4E">
        <w:t>seclude a patient for weeks, months or even years? It is plainly something different from what is</w:t>
      </w:r>
      <w:r>
        <w:t xml:space="preserve"> </w:t>
      </w:r>
      <w:r w:rsidRPr="008E0C4E">
        <w:t>envisaged in the Code, which is expressed in terms of hours. Their Lordships agree that seclusion</w:t>
      </w:r>
      <w:r>
        <w:t xml:space="preserve"> </w:t>
      </w:r>
      <w:r w:rsidRPr="008E0C4E">
        <w:t>is covered by the definition of ‘treatment’ in s.145 MHA, and yet seem to take at face value</w:t>
      </w:r>
      <w:r>
        <w:t xml:space="preserve"> </w:t>
      </w:r>
      <w:r w:rsidRPr="008E0C4E">
        <w:t>Ashworth’s statement, following the Code, that they do not use seclusion as part of a patient’s</w:t>
      </w:r>
      <w:r>
        <w:t xml:space="preserve"> </w:t>
      </w:r>
      <w:r w:rsidRPr="008E0C4E">
        <w:t>treatment.</w:t>
      </w:r>
    </w:p>
    <w:p w:rsidR="008E0C4E" w:rsidRPr="008E0C4E" w:rsidRDefault="008E0C4E" w:rsidP="008E0C4E">
      <w:r w:rsidRPr="008E0C4E">
        <w:t>Lord Bingham gives the game away in para 23: “It has been the experience of the Trust that the</w:t>
      </w:r>
      <w:r>
        <w:t xml:space="preserve"> </w:t>
      </w:r>
      <w:r w:rsidRPr="008E0C4E">
        <w:t>condition of those secluded for more than a week does not change rapidly and that it is in any</w:t>
      </w:r>
      <w:r>
        <w:t xml:space="preserve"> </w:t>
      </w:r>
      <w:r w:rsidRPr="008E0C4E">
        <w:t>event unsafe to rely on an apparent improvement without allowing enough time to pass to give</w:t>
      </w:r>
      <w:r>
        <w:t xml:space="preserve"> </w:t>
      </w:r>
      <w:r w:rsidRPr="008E0C4E">
        <w:t>grounds for confidence that the improvement will endure.” In other words, patients are left in</w:t>
      </w:r>
      <w:r>
        <w:t xml:space="preserve"> </w:t>
      </w:r>
      <w:r w:rsidRPr="008E0C4E">
        <w:t>seclusion until they have learned to behave differently. Presumably the periods of extended</w:t>
      </w:r>
      <w:r>
        <w:t xml:space="preserve"> </w:t>
      </w:r>
      <w:r w:rsidRPr="008E0C4E">
        <w:t xml:space="preserve">association referred to </w:t>
      </w:r>
      <w:r w:rsidRPr="008E0C4E">
        <w:lastRenderedPageBreak/>
        <w:t>by Lord Brown are to test whether they are ready to return to the ward. In</w:t>
      </w:r>
      <w:r>
        <w:t xml:space="preserve"> </w:t>
      </w:r>
      <w:r w:rsidRPr="008E0C4E">
        <w:t>what way is this not ‘behaviour modification’, i.e. a form of treatment?</w:t>
      </w:r>
    </w:p>
    <w:p w:rsidR="008E0C4E" w:rsidRPr="008E0C4E" w:rsidRDefault="008E0C4E" w:rsidP="008E0C4E">
      <w:r w:rsidRPr="008E0C4E">
        <w:t>This is not to dispute that Ashworth has some very violent and aggressive patients, for whom the</w:t>
      </w:r>
      <w:r>
        <w:t xml:space="preserve"> </w:t>
      </w:r>
      <w:r w:rsidRPr="008E0C4E">
        <w:t>framework of seclusion in the Code may be inappropriate. Perhaps such patients indeed require a</w:t>
      </w:r>
      <w:r>
        <w:t xml:space="preserve"> </w:t>
      </w:r>
      <w:r w:rsidRPr="008E0C4E">
        <w:t>programme of individual behaviour modification, with its own procedure and review mechanisms.</w:t>
      </w:r>
      <w:r>
        <w:t xml:space="preserve"> </w:t>
      </w:r>
      <w:r w:rsidRPr="008E0C4E">
        <w:t>But it would be far more helpful if this could be acknowledged and a full debate held on an</w:t>
      </w:r>
      <w:r>
        <w:t xml:space="preserve"> </w:t>
      </w:r>
      <w:r w:rsidRPr="008E0C4E">
        <w:t>appropriate policy for all such patients, who are certainly not limited to Ashworth or even to the</w:t>
      </w:r>
      <w:r>
        <w:t xml:space="preserve"> </w:t>
      </w:r>
      <w:r w:rsidRPr="008E0C4E">
        <w:t>high security hospitals.</w:t>
      </w:r>
    </w:p>
    <w:p w:rsidR="009B556D" w:rsidRDefault="008E0C4E" w:rsidP="008E0C4E">
      <w:r w:rsidRPr="008E0C4E">
        <w:t>Lord Hope states (para 99) that the majority decision “should not be seen as an invitation to other</w:t>
      </w:r>
      <w:r>
        <w:t xml:space="preserve"> </w:t>
      </w:r>
      <w:r w:rsidRPr="008E0C4E">
        <w:t>hospitals ... to resort to their own policies ...” This seems optimistic. There is no obvious reason</w:t>
      </w:r>
      <w:r>
        <w:t xml:space="preserve"> </w:t>
      </w:r>
      <w:r w:rsidRPr="008E0C4E">
        <w:t>why other hospitals should not, if they wish, find ‘cogent reasons’ based on their unique</w:t>
      </w:r>
      <w:r>
        <w:t xml:space="preserve"> </w:t>
      </w:r>
      <w:r w:rsidRPr="008E0C4E">
        <w:t>circumstances to justify departing from the Code with regard to seclusion, or any other aspect of</w:t>
      </w:r>
      <w:r>
        <w:t xml:space="preserve"> </w:t>
      </w:r>
      <w:r w:rsidRPr="008E0C4E">
        <w:t xml:space="preserve">their care of </w:t>
      </w:r>
      <w:r>
        <w:t>d</w:t>
      </w:r>
      <w:r w:rsidRPr="008E0C4E">
        <w:t xml:space="preserve">etained patients which is not reinforced by statute. Whether readers think </w:t>
      </w:r>
      <w:proofErr w:type="gramStart"/>
      <w:r w:rsidRPr="008E0C4E">
        <w:t>this</w:t>
      </w:r>
      <w:r>
        <w:t xml:space="preserve"> </w:t>
      </w:r>
      <w:r w:rsidRPr="008E0C4E">
        <w:t>matters</w:t>
      </w:r>
      <w:proofErr w:type="gramEnd"/>
      <w:r w:rsidRPr="008E0C4E">
        <w:t xml:space="preserve"> will no doubt depend upon their professional standpoint.</w:t>
      </w:r>
      <w:bookmarkStart w:id="0" w:name="_GoBack"/>
      <w:bookmarkEnd w:id="0"/>
    </w:p>
    <w:sectPr w:rsidR="009B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13" w:rsidRDefault="00767013" w:rsidP="00991046">
      <w:pPr>
        <w:spacing w:after="0" w:line="240" w:lineRule="auto"/>
      </w:pPr>
      <w:r>
        <w:separator/>
      </w:r>
    </w:p>
  </w:endnote>
  <w:endnote w:type="continuationSeparator" w:id="0">
    <w:p w:rsidR="00767013" w:rsidRDefault="00767013" w:rsidP="0099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13" w:rsidRDefault="00767013" w:rsidP="00991046">
      <w:pPr>
        <w:spacing w:after="0" w:line="240" w:lineRule="auto"/>
      </w:pPr>
      <w:r>
        <w:separator/>
      </w:r>
    </w:p>
  </w:footnote>
  <w:footnote w:type="continuationSeparator" w:id="0">
    <w:p w:rsidR="00767013" w:rsidRDefault="00767013" w:rsidP="00991046">
      <w:pPr>
        <w:spacing w:after="0" w:line="240" w:lineRule="auto"/>
      </w:pPr>
      <w:r>
        <w:continuationSeparator/>
      </w:r>
    </w:p>
  </w:footnote>
  <w:footnote w:id="1">
    <w:p w:rsidR="00767013" w:rsidRPr="0098781F" w:rsidRDefault="00767013">
      <w:pPr>
        <w:pStyle w:val="FootnoteText"/>
        <w:rPr>
          <w:sz w:val="16"/>
        </w:rPr>
      </w:pPr>
      <w:r w:rsidRPr="0098781F">
        <w:rPr>
          <w:rStyle w:val="FootnoteReference"/>
          <w:sz w:val="16"/>
        </w:rPr>
        <w:footnoteRef/>
      </w:r>
      <w:r w:rsidRPr="0098781F">
        <w:rPr>
          <w:sz w:val="16"/>
        </w:rPr>
        <w:t xml:space="preserve"> Independent Legal Consultant; former head of Mind’s Legal Unit</w:t>
      </w:r>
    </w:p>
  </w:footnote>
  <w:footnote w:id="2">
    <w:p w:rsidR="00767013" w:rsidRPr="00444358" w:rsidRDefault="00767013" w:rsidP="00444358">
      <w:pPr>
        <w:pStyle w:val="FootnoteText"/>
        <w:rPr>
          <w:sz w:val="16"/>
        </w:rPr>
      </w:pPr>
      <w:r w:rsidRPr="00444358">
        <w:rPr>
          <w:rStyle w:val="FootnoteReference"/>
          <w:sz w:val="16"/>
        </w:rPr>
        <w:footnoteRef/>
      </w:r>
      <w:r w:rsidRPr="00444358">
        <w:rPr>
          <w:sz w:val="16"/>
        </w:rPr>
        <w:t xml:space="preserve"> “No one shall be subjected to torture or to inhuman or degrading treatment or punishment”</w:t>
      </w:r>
    </w:p>
  </w:footnote>
  <w:footnote w:id="3">
    <w:p w:rsidR="00767013" w:rsidRPr="00444358" w:rsidRDefault="00767013" w:rsidP="00444358">
      <w:pPr>
        <w:pStyle w:val="FootnoteText"/>
        <w:rPr>
          <w:sz w:val="16"/>
        </w:rPr>
      </w:pPr>
      <w:r w:rsidRPr="00444358">
        <w:rPr>
          <w:rStyle w:val="FootnoteReference"/>
          <w:sz w:val="16"/>
        </w:rPr>
        <w:footnoteRef/>
      </w:r>
      <w:r w:rsidRPr="00444358">
        <w:rPr>
          <w:sz w:val="16"/>
        </w:rPr>
        <w:t xml:space="preserve"> “Everyone has the right to respect for his private and family life, his home and his correspondence”</w:t>
      </w:r>
    </w:p>
  </w:footnote>
  <w:footnote w:id="4">
    <w:p w:rsidR="00767013" w:rsidRPr="00444358" w:rsidRDefault="00767013" w:rsidP="00444358">
      <w:pPr>
        <w:pStyle w:val="FootnoteText"/>
        <w:rPr>
          <w:sz w:val="16"/>
        </w:rPr>
      </w:pPr>
      <w:r w:rsidRPr="00444358">
        <w:rPr>
          <w:rStyle w:val="FootnoteReference"/>
          <w:sz w:val="16"/>
        </w:rPr>
        <w:footnoteRef/>
      </w:r>
      <w:r w:rsidRPr="00444358">
        <w:rPr>
          <w:sz w:val="16"/>
        </w:rPr>
        <w:t xml:space="preserve"> “There shall be no interference by a public authority with the exercise of this right except such as in accordance with the law as is necessary in a democratic society in the interests of national security, public safety or the economic </w:t>
      </w:r>
      <w:proofErr w:type="spellStart"/>
      <w:r w:rsidRPr="00444358">
        <w:rPr>
          <w:sz w:val="16"/>
        </w:rPr>
        <w:t>well being</w:t>
      </w:r>
      <w:proofErr w:type="spellEnd"/>
      <w:r w:rsidRPr="00444358">
        <w:rPr>
          <w:sz w:val="16"/>
        </w:rPr>
        <w:t xml:space="preserve"> of the country, for the prevention of disorder or crime, for the protection of</w:t>
      </w:r>
      <w:r>
        <w:rPr>
          <w:sz w:val="16"/>
        </w:rPr>
        <w:t xml:space="preserve"> </w:t>
      </w:r>
      <w:r w:rsidRPr="00444358">
        <w:rPr>
          <w:sz w:val="16"/>
        </w:rPr>
        <w:t>health or morals, or for the protection of the rights and freedom of others”</w:t>
      </w:r>
    </w:p>
  </w:footnote>
  <w:footnote w:id="5">
    <w:p w:rsidR="00767013" w:rsidRPr="00444358" w:rsidRDefault="00767013" w:rsidP="00444358">
      <w:pPr>
        <w:pStyle w:val="FootnoteText"/>
        <w:rPr>
          <w:sz w:val="16"/>
        </w:rPr>
      </w:pPr>
      <w:r w:rsidRPr="00444358">
        <w:rPr>
          <w:rStyle w:val="FootnoteReference"/>
          <w:sz w:val="16"/>
        </w:rPr>
        <w:footnoteRef/>
      </w:r>
      <w:r w:rsidRPr="00444358">
        <w:rPr>
          <w:sz w:val="16"/>
        </w:rPr>
        <w:t xml:space="preserve"> “Everyone has the right to liberty and security of person. No one shall be deprived of his liberty save in the following cases, and in accordance with a procedure prescribed by law: ... the lawful detention of persons... of unsound mind....”</w:t>
      </w:r>
    </w:p>
  </w:footnote>
  <w:footnote w:id="6">
    <w:p w:rsidR="00767013" w:rsidRDefault="00767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4358">
        <w:t>The three High Security Hospitals</w:t>
      </w:r>
    </w:p>
  </w:footnote>
  <w:footnote w:id="7">
    <w:p w:rsidR="00767013" w:rsidRPr="00F66B33" w:rsidRDefault="00767013" w:rsidP="00F66B33">
      <w:pPr>
        <w:pStyle w:val="FootnoteText"/>
        <w:rPr>
          <w:sz w:val="16"/>
        </w:rPr>
      </w:pPr>
      <w:r w:rsidRPr="00F66B33">
        <w:rPr>
          <w:rStyle w:val="FootnoteReference"/>
          <w:sz w:val="16"/>
        </w:rPr>
        <w:footnoteRef/>
      </w:r>
      <w:r w:rsidRPr="00F66B33">
        <w:rPr>
          <w:sz w:val="16"/>
        </w:rPr>
        <w:t xml:space="preserve"> Dr Davidson is a Consultant Forensic Psychiatrist, whose evidence had been adduced by Mr </w:t>
      </w:r>
      <w:proofErr w:type="spellStart"/>
      <w:r w:rsidRPr="00F66B33">
        <w:rPr>
          <w:sz w:val="16"/>
        </w:rPr>
        <w:t>Munjaz</w:t>
      </w:r>
      <w:proofErr w:type="spellEnd"/>
      <w:r w:rsidRPr="00F66B33">
        <w:rPr>
          <w:sz w:val="16"/>
        </w:rPr>
        <w:t xml:space="preserve"> in the Court of Appeal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C05"/>
    <w:multiLevelType w:val="hybridMultilevel"/>
    <w:tmpl w:val="10F4CD86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878F78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22FE"/>
    <w:multiLevelType w:val="hybridMultilevel"/>
    <w:tmpl w:val="6B8447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842C65"/>
    <w:multiLevelType w:val="hybridMultilevel"/>
    <w:tmpl w:val="A7EA5C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9D16F5F"/>
    <w:multiLevelType w:val="hybridMultilevel"/>
    <w:tmpl w:val="A9D49332"/>
    <w:lvl w:ilvl="0" w:tplc="02EC5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41B"/>
    <w:multiLevelType w:val="hybridMultilevel"/>
    <w:tmpl w:val="0DD26CB8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623B"/>
    <w:multiLevelType w:val="hybridMultilevel"/>
    <w:tmpl w:val="66F8A4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3C76459"/>
    <w:multiLevelType w:val="hybridMultilevel"/>
    <w:tmpl w:val="CC209B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CCA1768"/>
    <w:multiLevelType w:val="hybridMultilevel"/>
    <w:tmpl w:val="72581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6"/>
    <w:rsid w:val="0030017D"/>
    <w:rsid w:val="00444358"/>
    <w:rsid w:val="00767013"/>
    <w:rsid w:val="008C5A8C"/>
    <w:rsid w:val="008E0C4E"/>
    <w:rsid w:val="0098781F"/>
    <w:rsid w:val="00991046"/>
    <w:rsid w:val="009B556D"/>
    <w:rsid w:val="00B546F4"/>
    <w:rsid w:val="00F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10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10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10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1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FB96-F2A1-46D3-80A5-32ECC0DC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7</cp:revision>
  <dcterms:created xsi:type="dcterms:W3CDTF">2014-10-21T14:51:00Z</dcterms:created>
  <dcterms:modified xsi:type="dcterms:W3CDTF">2014-10-21T15:43:00Z</dcterms:modified>
</cp:coreProperties>
</file>