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5" w:rsidRPr="009117F5" w:rsidRDefault="009117F5" w:rsidP="009117F5">
      <w:pPr>
        <w:rPr>
          <w:sz w:val="56"/>
          <w:szCs w:val="56"/>
        </w:rPr>
      </w:pPr>
      <w:proofErr w:type="spellStart"/>
      <w:r w:rsidRPr="009117F5">
        <w:rPr>
          <w:sz w:val="56"/>
          <w:szCs w:val="56"/>
        </w:rPr>
        <w:t>Casenotes</w:t>
      </w:r>
      <w:proofErr w:type="spellEnd"/>
    </w:p>
    <w:p w:rsidR="009117F5" w:rsidRPr="009117F5" w:rsidRDefault="009117F5" w:rsidP="009117F5">
      <w:pPr>
        <w:rPr>
          <w:b/>
          <w:bCs/>
          <w:i/>
          <w:iCs/>
          <w:sz w:val="40"/>
        </w:rPr>
      </w:pPr>
      <w:r w:rsidRPr="009117F5">
        <w:rPr>
          <w:b/>
          <w:bCs/>
          <w:i/>
          <w:iCs/>
          <w:sz w:val="40"/>
        </w:rPr>
        <w:t>Human Rights and the Provision of Residential Care under the National Assistance Act 1948</w:t>
      </w:r>
    </w:p>
    <w:p w:rsidR="009117F5" w:rsidRPr="009117F5" w:rsidRDefault="009117F5" w:rsidP="009117F5">
      <w:pPr>
        <w:rPr>
          <w:sz w:val="28"/>
        </w:rPr>
      </w:pPr>
      <w:r w:rsidRPr="009117F5">
        <w:rPr>
          <w:b/>
          <w:bCs/>
          <w:i/>
          <w:iCs/>
          <w:sz w:val="28"/>
        </w:rPr>
        <w:t xml:space="preserve">Ralph </w:t>
      </w:r>
      <w:proofErr w:type="spellStart"/>
      <w:r w:rsidRPr="009117F5">
        <w:rPr>
          <w:b/>
          <w:bCs/>
          <w:i/>
          <w:iCs/>
          <w:sz w:val="28"/>
        </w:rPr>
        <w:t>Sandland</w:t>
      </w:r>
      <w:proofErr w:type="spellEnd"/>
      <w:r>
        <w:rPr>
          <w:rStyle w:val="FootnoteReference"/>
          <w:b/>
          <w:bCs/>
          <w:i/>
          <w:iCs/>
          <w:sz w:val="28"/>
        </w:rPr>
        <w:footnoteReference w:id="1"/>
      </w:r>
    </w:p>
    <w:p w:rsidR="009117F5" w:rsidRPr="009117F5" w:rsidRDefault="009117F5" w:rsidP="009117F5">
      <w:pPr>
        <w:rPr>
          <w:b/>
          <w:bCs/>
        </w:rPr>
      </w:pPr>
      <w:r w:rsidRPr="009117F5">
        <w:rPr>
          <w:b/>
          <w:bCs/>
        </w:rPr>
        <w:t>YL v Birmingham City Council and Others</w:t>
      </w:r>
      <w:r>
        <w:rPr>
          <w:b/>
          <w:bCs/>
        </w:rPr>
        <w:br/>
      </w:r>
      <w:r w:rsidRPr="009117F5">
        <w:rPr>
          <w:b/>
          <w:bCs/>
        </w:rPr>
        <w:t>House of Lords 20 June 2007</w:t>
      </w:r>
      <w:r>
        <w:rPr>
          <w:b/>
          <w:bCs/>
        </w:rPr>
        <w:br/>
      </w:r>
      <w:r w:rsidRPr="009117F5">
        <w:rPr>
          <w:b/>
          <w:bCs/>
        </w:rPr>
        <w:t>[2007] UKHL 27</w:t>
      </w:r>
    </w:p>
    <w:p w:rsidR="009117F5" w:rsidRDefault="009117F5" w:rsidP="009117F5">
      <w:pPr>
        <w:rPr>
          <w:b/>
          <w:bCs/>
        </w:rPr>
      </w:pPr>
    </w:p>
    <w:p w:rsidR="009117F5" w:rsidRPr="009117F5" w:rsidRDefault="009117F5" w:rsidP="009117F5">
      <w:pPr>
        <w:rPr>
          <w:b/>
          <w:bCs/>
          <w:sz w:val="24"/>
        </w:rPr>
      </w:pPr>
      <w:r w:rsidRPr="009117F5">
        <w:rPr>
          <w:b/>
          <w:bCs/>
          <w:sz w:val="24"/>
        </w:rPr>
        <w:t>Introduction</w:t>
      </w:r>
    </w:p>
    <w:p w:rsidR="009117F5" w:rsidRPr="009117F5" w:rsidRDefault="009117F5" w:rsidP="009117F5">
      <w:r w:rsidRPr="009117F5">
        <w:t>The ‘Welfare State’ was established in the 1940s to provide health, housing, education and welfare</w:t>
      </w:r>
      <w:r>
        <w:t xml:space="preserve"> </w:t>
      </w:r>
      <w:r w:rsidRPr="009117F5">
        <w:t>services ‘from the cradle to the grave’</w:t>
      </w:r>
      <w:r>
        <w:rPr>
          <w:rStyle w:val="FootnoteReference"/>
        </w:rPr>
        <w:footnoteReference w:id="2"/>
      </w:r>
      <w:r w:rsidRPr="009117F5">
        <w:t xml:space="preserve"> to those in need. One key piece of welfare state legislation was the</w:t>
      </w:r>
      <w:r>
        <w:t xml:space="preserve"> </w:t>
      </w:r>
      <w:r w:rsidRPr="009117F5">
        <w:rPr>
          <w:i/>
          <w:iCs/>
        </w:rPr>
        <w:t>National Assistance Act 1948</w:t>
      </w:r>
      <w:r w:rsidRPr="009117F5">
        <w:t>, which required the provision of a broad swathe of welfare services by local</w:t>
      </w:r>
      <w:r>
        <w:t xml:space="preserve"> </w:t>
      </w:r>
      <w:r w:rsidRPr="009117F5">
        <w:t>authorities. In particular, section 21(1)(a) of the 1948 Act placed a duty on local authorities to provide</w:t>
      </w:r>
      <w:r>
        <w:t xml:space="preserve"> </w:t>
      </w:r>
      <w:r w:rsidRPr="009117F5">
        <w:t>residential care for those in need by reason of age or ill health (and later also disability), or for any other</w:t>
      </w:r>
      <w:r>
        <w:t xml:space="preserve"> </w:t>
      </w:r>
      <w:r w:rsidRPr="009117F5">
        <w:t>reason, if the required care and accommodation was ‘not otherwise available to them’. Such</w:t>
      </w:r>
      <w:r>
        <w:t xml:space="preserve"> </w:t>
      </w:r>
      <w:r w:rsidRPr="009117F5">
        <w:t>accommodation, which was and remains means-tested (section 22), could be provided by the local</w:t>
      </w:r>
      <w:r>
        <w:t xml:space="preserve"> </w:t>
      </w:r>
      <w:r w:rsidRPr="009117F5">
        <w:t>authority in question or it could draw on the resources of another local authority or a voluntary</w:t>
      </w:r>
      <w:r>
        <w:t xml:space="preserve"> </w:t>
      </w:r>
      <w:r w:rsidRPr="009117F5">
        <w:t>organisation (sections 21(4) and 26 of the 1948 Act), in which case the local authority with responsibility</w:t>
      </w:r>
      <w:r>
        <w:t xml:space="preserve"> </w:t>
      </w:r>
      <w:r w:rsidRPr="009117F5">
        <w:t>would pay the provider direct and then recoup any means-tested contribution from the person provided</w:t>
      </w:r>
      <w:r>
        <w:t xml:space="preserve"> </w:t>
      </w:r>
      <w:r w:rsidRPr="009117F5">
        <w:t>with the accommodation.</w:t>
      </w:r>
    </w:p>
    <w:p w:rsidR="00C464D3" w:rsidRDefault="009117F5" w:rsidP="009117F5">
      <w:r w:rsidRPr="009117F5">
        <w:t>The policies implemented in the 1940s enjoyed bipartisan political support (at least in public) until the</w:t>
      </w:r>
      <w:r>
        <w:t xml:space="preserve"> </w:t>
      </w:r>
      <w:r w:rsidRPr="009117F5">
        <w:t>time of the Conservative administration of the 1980s and early 1990s, at which time there was a</w:t>
      </w:r>
      <w:r>
        <w:t xml:space="preserve"> </w:t>
      </w:r>
      <w:r w:rsidRPr="009117F5">
        <w:t>significant recasting of the relationship between the public and private sectors, with the introduction of</w:t>
      </w:r>
      <w:r>
        <w:t xml:space="preserve"> </w:t>
      </w:r>
      <w:r w:rsidRPr="009117F5">
        <w:t xml:space="preserve">a ‘mixed economy of care’. To this end the </w:t>
      </w:r>
      <w:r w:rsidRPr="009117F5">
        <w:rPr>
          <w:i/>
          <w:iCs/>
        </w:rPr>
        <w:t xml:space="preserve">National Health Service and Community Care Act 1990 </w:t>
      </w:r>
      <w:r w:rsidRPr="009117F5">
        <w:t>made</w:t>
      </w:r>
      <w:r>
        <w:t xml:space="preserve"> </w:t>
      </w:r>
      <w:r w:rsidRPr="009117F5">
        <w:t>significant changes to the 1948 Act. Now, the duty of a local authority is to ‘make arrangements for</w:t>
      </w:r>
      <w:r>
        <w:t xml:space="preserve"> </w:t>
      </w:r>
      <w:r w:rsidRPr="009117F5">
        <w:t>providing’ care and accommodation rather than having to provide it (although that remains a possibility:</w:t>
      </w:r>
      <w:r>
        <w:t xml:space="preserve"> </w:t>
      </w:r>
      <w:r w:rsidRPr="009117F5">
        <w:t>section 21(4)), and local authorities could henceforth utilise private providers of care and</w:t>
      </w:r>
      <w:r>
        <w:t xml:space="preserve"> </w:t>
      </w:r>
      <w:r w:rsidRPr="009117F5">
        <w:t>accommodation (section 26(1A)). In subsequent years the role of the private sector grew exponentially</w:t>
      </w:r>
      <w:r>
        <w:t xml:space="preserve"> </w:t>
      </w:r>
      <w:r w:rsidRPr="009117F5">
        <w:t>and these days it provides most residential care.</w:t>
      </w:r>
      <w:r>
        <w:rPr>
          <w:rStyle w:val="FootnoteReference"/>
        </w:rPr>
        <w:footnoteReference w:id="3"/>
      </w:r>
    </w:p>
    <w:p w:rsidR="001651CF" w:rsidRPr="001651CF" w:rsidRDefault="001651CF" w:rsidP="001651CF">
      <w:r w:rsidRPr="001651CF">
        <w:t>In part, the 1990 Act was a pragmatic response to the problem of under-supply of local authority or</w:t>
      </w:r>
      <w:r>
        <w:t xml:space="preserve"> </w:t>
      </w:r>
      <w:r w:rsidRPr="001651CF">
        <w:t>voluntary sector accommodation, which had led to a situation in which many persons had been</w:t>
      </w:r>
      <w:r>
        <w:t xml:space="preserve"> </w:t>
      </w:r>
      <w:r w:rsidRPr="001651CF">
        <w:t>accommodated in privately-run care homes with the costs of that accommodation met, at great expense</w:t>
      </w:r>
      <w:r>
        <w:t xml:space="preserve"> </w:t>
      </w:r>
      <w:r w:rsidRPr="001651CF">
        <w:t xml:space="preserve">to the public purse, through the benefits system; or as long-term patients in psychiatric </w:t>
      </w:r>
      <w:r w:rsidRPr="001651CF">
        <w:lastRenderedPageBreak/>
        <w:t>hospitals, again at</w:t>
      </w:r>
      <w:r>
        <w:t xml:space="preserve"> </w:t>
      </w:r>
      <w:r w:rsidRPr="001651CF">
        <w:t>considerable expense. In either case, it was far from clear that the services provided were in the best</w:t>
      </w:r>
      <w:r>
        <w:t xml:space="preserve"> </w:t>
      </w:r>
      <w:r w:rsidRPr="001651CF">
        <w:t>interests of the client or constituted the best use of public funds</w:t>
      </w:r>
      <w:r w:rsidR="00B73E4C">
        <w:rPr>
          <w:rStyle w:val="FootnoteReference"/>
        </w:rPr>
        <w:footnoteReference w:id="4"/>
      </w:r>
      <w:r w:rsidRPr="001651CF">
        <w:t>.</w:t>
      </w:r>
    </w:p>
    <w:p w:rsidR="001651CF" w:rsidRPr="001651CF" w:rsidRDefault="001651CF" w:rsidP="001651CF">
      <w:r w:rsidRPr="001651CF">
        <w:t>However, such pragmatic considerations were underpinned by an ideological agenda to ‘roll back the</w:t>
      </w:r>
      <w:r>
        <w:t xml:space="preserve"> </w:t>
      </w:r>
      <w:r w:rsidRPr="001651CF">
        <w:t>frontiers of the state’. At stake was the question of the proper responsibilities of the state for its vulnerable</w:t>
      </w:r>
      <w:r>
        <w:t xml:space="preserve"> </w:t>
      </w:r>
      <w:r w:rsidRPr="001651CF">
        <w:t xml:space="preserve">citizens and, as Lord Neuberger noted in </w:t>
      </w:r>
      <w:r w:rsidRPr="001651CF">
        <w:rPr>
          <w:i/>
          <w:iCs/>
        </w:rPr>
        <w:t>YL v Birmingham City Council</w:t>
      </w:r>
      <w:r w:rsidRPr="001651CF">
        <w:t>, ‘unattractive as it may be to some</w:t>
      </w:r>
      <w:r>
        <w:t xml:space="preserve"> </w:t>
      </w:r>
      <w:r w:rsidRPr="001651CF">
        <w:t>people, one of the purposes of contracting-out at least certain services previously performed by local</w:t>
      </w:r>
      <w:r>
        <w:t xml:space="preserve"> </w:t>
      </w:r>
      <w:r w:rsidRPr="001651CF">
        <w:t>authorities may be to avoid some of the legal constraints and disadvantages which apply to local</w:t>
      </w:r>
      <w:r>
        <w:t xml:space="preserve"> </w:t>
      </w:r>
      <w:r w:rsidRPr="001651CF">
        <w:t xml:space="preserve">authorities but not to private operators’. [152] This question was given a new impetus when the </w:t>
      </w:r>
      <w:r w:rsidRPr="001651CF">
        <w:rPr>
          <w:i/>
          <w:iCs/>
        </w:rPr>
        <w:t>Human</w:t>
      </w:r>
      <w:r>
        <w:rPr>
          <w:i/>
          <w:iCs/>
        </w:rPr>
        <w:t xml:space="preserve"> </w:t>
      </w:r>
      <w:r w:rsidRPr="001651CF">
        <w:rPr>
          <w:i/>
          <w:iCs/>
        </w:rPr>
        <w:t xml:space="preserve">Rights Act 1998 </w:t>
      </w:r>
      <w:r w:rsidRPr="001651CF">
        <w:t>came into force, because now the ‘legal constraints’ that might be avoided by contracting</w:t>
      </w:r>
      <w:r>
        <w:t xml:space="preserve"> </w:t>
      </w:r>
      <w:r w:rsidRPr="001651CF">
        <w:t>out might include the Convention rights brought into UK law by that Act, which are inescapable by a</w:t>
      </w:r>
      <w:r>
        <w:t xml:space="preserve"> </w:t>
      </w:r>
      <w:r w:rsidRPr="001651CF">
        <w:t>government body, or, in the terminology of section 6(1) of the 1998 Act a ‘public authority’.</w:t>
      </w:r>
    </w:p>
    <w:p w:rsidR="001651CF" w:rsidRDefault="001651CF" w:rsidP="001651CF">
      <w:r w:rsidRPr="001651CF">
        <w:t>Whether this was so is not, however, clear on the face of the Act, because although section 6(1) provides</w:t>
      </w:r>
      <w:r>
        <w:t xml:space="preserve"> </w:t>
      </w:r>
      <w:r w:rsidRPr="001651CF">
        <w:t>that ‘It is unlawful for a public authority to act in a way which is incompatible with a Convention right’,</w:t>
      </w:r>
      <w:r>
        <w:t xml:space="preserve"> </w:t>
      </w:r>
      <w:r w:rsidRPr="001651CF">
        <w:t>the scope of the concept of a ‘public authority’ was left to be defined by the courts. Section 6(3)(b)</w:t>
      </w:r>
      <w:r>
        <w:t xml:space="preserve"> </w:t>
      </w:r>
      <w:r w:rsidRPr="001651CF">
        <w:t>provides that, in addition to government bodies (often referred to as ‘core’ public authorities for these</w:t>
      </w:r>
      <w:r>
        <w:t xml:space="preserve"> </w:t>
      </w:r>
      <w:r w:rsidRPr="001651CF">
        <w:t>purposes) a public authority includes ‘any person certain of whose functions are functions of a public</w:t>
      </w:r>
      <w:r>
        <w:t xml:space="preserve"> </w:t>
      </w:r>
      <w:r w:rsidRPr="001651CF">
        <w:t>nature’ although this must be read together with section 6(5), which states that ‘In relation to a particular</w:t>
      </w:r>
      <w:r>
        <w:t xml:space="preserve"> </w:t>
      </w:r>
      <w:r w:rsidRPr="001651CF">
        <w:t>act, a person is not a public authority by virtue only of subsection (3)(b) if the nature of the act is private’.</w:t>
      </w:r>
      <w:r>
        <w:t xml:space="preserve"> </w:t>
      </w:r>
      <w:r w:rsidRPr="001651CF">
        <w:t>Those caught by section 6(3)(b) have come to be known as ‘hybrid’ public authorities, a phrase which</w:t>
      </w:r>
      <w:r>
        <w:t xml:space="preserve"> </w:t>
      </w:r>
      <w:r w:rsidRPr="001651CF">
        <w:t>attempts to capture the part public, part private, nature of the persons or bodies in question. In the years</w:t>
      </w:r>
      <w:r>
        <w:t xml:space="preserve"> </w:t>
      </w:r>
      <w:r w:rsidRPr="001651CF">
        <w:t>since 2000, the courts have adjudicated on the meaning and effect of these provisions in the context of</w:t>
      </w:r>
      <w:r>
        <w:t xml:space="preserve"> </w:t>
      </w:r>
      <w:r w:rsidRPr="001651CF">
        <w:t xml:space="preserve">the 1948 Act on a number of occasions, the most recent of which is the </w:t>
      </w:r>
      <w:r w:rsidRPr="001651CF">
        <w:rPr>
          <w:i/>
          <w:iCs/>
        </w:rPr>
        <w:t xml:space="preserve">YL </w:t>
      </w:r>
      <w:r w:rsidRPr="001651CF">
        <w:t>case, decided in June 2007,</w:t>
      </w:r>
      <w:r>
        <w:t xml:space="preserve"> </w:t>
      </w:r>
      <w:r w:rsidRPr="001651CF">
        <w:t>which is the subject of this note.</w:t>
      </w:r>
    </w:p>
    <w:p w:rsidR="001651CF" w:rsidRPr="001651CF" w:rsidRDefault="001651CF" w:rsidP="001651CF"/>
    <w:p w:rsidR="001651CF" w:rsidRPr="001651CF" w:rsidRDefault="001651CF" w:rsidP="001651CF">
      <w:pPr>
        <w:rPr>
          <w:b/>
          <w:bCs/>
          <w:sz w:val="24"/>
        </w:rPr>
      </w:pPr>
      <w:r w:rsidRPr="001651CF">
        <w:rPr>
          <w:b/>
          <w:bCs/>
          <w:sz w:val="24"/>
        </w:rPr>
        <w:t>The Facts</w:t>
      </w:r>
    </w:p>
    <w:p w:rsidR="001651CF" w:rsidRPr="001651CF" w:rsidRDefault="001651CF" w:rsidP="001651CF">
      <w:r w:rsidRPr="001651CF">
        <w:t>Shortly after New Year, 2006, YL, who was 84 years old and suffered from Alzheimer’s disease, moved into</w:t>
      </w:r>
      <w:r w:rsidR="000A5BD8">
        <w:t xml:space="preserve"> </w:t>
      </w:r>
      <w:r w:rsidRPr="001651CF">
        <w:t>a care home run by Southern Cross Ltd (‘SC’), her husband (83 years old) and her family being unable</w:t>
      </w:r>
      <w:r w:rsidR="000A5BD8">
        <w:t xml:space="preserve"> </w:t>
      </w:r>
      <w:r w:rsidRPr="001651CF">
        <w:t>to provide her with care at home any longer. Her placement was arranged, and largely funded, by her local</w:t>
      </w:r>
      <w:r w:rsidR="000A5BD8">
        <w:t xml:space="preserve"> </w:t>
      </w:r>
      <w:r w:rsidRPr="001651CF">
        <w:t>authority (‘LA’), in the performance of its duties under the Acts of 1990 and 1948. The placement</w:t>
      </w:r>
      <w:r w:rsidR="000A5BD8">
        <w:t xml:space="preserve"> </w:t>
      </w:r>
      <w:r w:rsidRPr="001651CF">
        <w:t>involved various legal agreements. A care home placement agreement, the parties to which were the LA,</w:t>
      </w:r>
      <w:r w:rsidR="000A5BD8">
        <w:t xml:space="preserve"> </w:t>
      </w:r>
      <w:r w:rsidRPr="001651CF">
        <w:t>SC, and YL, detailed the obligation of SC to provide care and accommodation to YL, YL’s obligation to</w:t>
      </w:r>
      <w:r w:rsidR="000A5BD8">
        <w:t xml:space="preserve"> </w:t>
      </w:r>
      <w:r w:rsidRPr="001651CF">
        <w:t>pay (a ‘top-up fee’) to the LA, and the LA’s obligation under its contract with SC, and towards YL as</w:t>
      </w:r>
      <w:r w:rsidR="000A5BD8">
        <w:t xml:space="preserve"> </w:t>
      </w:r>
      <w:r w:rsidRPr="001651CF">
        <w:t>required by the 1990 Act. A further agreement involving all three parties detailed the specific terms</w:t>
      </w:r>
      <w:r w:rsidR="000A5BD8">
        <w:t xml:space="preserve"> </w:t>
      </w:r>
      <w:r w:rsidRPr="001651CF">
        <w:t xml:space="preserve">under which YL was to be accommodated by SC. This provided that SC could give YL four </w:t>
      </w:r>
      <w:proofErr w:type="spellStart"/>
      <w:r w:rsidRPr="001651CF">
        <w:t>weeks notice</w:t>
      </w:r>
      <w:proofErr w:type="spellEnd"/>
      <w:r w:rsidR="000A5BD8">
        <w:t xml:space="preserve"> </w:t>
      </w:r>
      <w:r w:rsidRPr="001651CF">
        <w:t>to quit the accommodation if, inter alia, in the opinion of SC, YL’s continued residence was ‘seriously</w:t>
      </w:r>
      <w:r w:rsidR="000A5BD8">
        <w:t xml:space="preserve"> </w:t>
      </w:r>
      <w:r w:rsidRPr="001651CF">
        <w:t>detrimental to the home or the welfare of other residents’.</w:t>
      </w:r>
    </w:p>
    <w:p w:rsidR="00B73E4C" w:rsidRPr="00B73E4C" w:rsidRDefault="001651CF" w:rsidP="00B73E4C">
      <w:r w:rsidRPr="001651CF">
        <w:lastRenderedPageBreak/>
        <w:t>There was also a service provision contract between the LA and SC, under the terms of which SC agreed</w:t>
      </w:r>
      <w:r w:rsidR="00B73E4C">
        <w:t xml:space="preserve"> </w:t>
      </w:r>
      <w:r w:rsidR="00B73E4C" w:rsidRPr="00B73E4C">
        <w:t>to provide care and accommodation for residents placed with them by the LA, with the LA to pay an</w:t>
      </w:r>
      <w:r w:rsidR="00B73E4C">
        <w:t xml:space="preserve"> </w:t>
      </w:r>
      <w:r w:rsidR="00B73E4C" w:rsidRPr="00B73E4C">
        <w:t>agreed price per resident (60 of the 72 residents in the accommodation in question and 80% of the 29,000</w:t>
      </w:r>
      <w:r w:rsidR="00B73E4C">
        <w:t xml:space="preserve"> </w:t>
      </w:r>
      <w:r w:rsidR="00B73E4C" w:rsidRPr="00B73E4C">
        <w:t>residents accommodated by SC nationally were placed by local authorities under section 26(1A) of the</w:t>
      </w:r>
      <w:r w:rsidR="00B73E4C">
        <w:t xml:space="preserve"> </w:t>
      </w:r>
      <w:r w:rsidR="00B73E4C" w:rsidRPr="00B73E4C">
        <w:t>1948 Act). Further terms required that SC could give a person placed in its care home notice to quit ‘only</w:t>
      </w:r>
      <w:r w:rsidR="00B73E4C">
        <w:t xml:space="preserve"> </w:t>
      </w:r>
      <w:r w:rsidR="00B73E4C" w:rsidRPr="00B73E4C">
        <w:t>for a good reason’, and that SC and its employees would act at all times in a way compatible with the</w:t>
      </w:r>
      <w:r w:rsidR="00B73E4C">
        <w:t xml:space="preserve"> </w:t>
      </w:r>
      <w:r w:rsidR="00B73E4C" w:rsidRPr="00B73E4C">
        <w:t xml:space="preserve">Convention rights detailed in the </w:t>
      </w:r>
      <w:r w:rsidR="00B73E4C" w:rsidRPr="00B73E4C">
        <w:rPr>
          <w:i/>
          <w:iCs/>
        </w:rPr>
        <w:t>Human Rights Act 1998</w:t>
      </w:r>
      <w:r w:rsidR="00B73E4C" w:rsidRPr="00B73E4C">
        <w:t>.</w:t>
      </w:r>
    </w:p>
    <w:p w:rsidR="00B73E4C" w:rsidRDefault="00B73E4C" w:rsidP="00B73E4C">
      <w:r w:rsidRPr="00B73E4C">
        <w:t>In June 2006 YL was given notice to quit by SC because it alleged that YL’s husband and daughter were</w:t>
      </w:r>
      <w:r>
        <w:t xml:space="preserve"> </w:t>
      </w:r>
      <w:r w:rsidRPr="00B73E4C">
        <w:t>a disruptive influence in the home, although this was disputed. The Official Solicitor, on hearing that</w:t>
      </w:r>
      <w:r>
        <w:t xml:space="preserve"> </w:t>
      </w:r>
      <w:r w:rsidRPr="00B73E4C">
        <w:t>notice to quit had been given to YL, sought declarations from the High Court in respect of her best</w:t>
      </w:r>
      <w:r>
        <w:t xml:space="preserve"> </w:t>
      </w:r>
      <w:r w:rsidRPr="00B73E4C">
        <w:t>interests and the applicability of the 1998 Act to her case (if the Act was held to apply, YL’s Article 8</w:t>
      </w:r>
      <w:r>
        <w:t xml:space="preserve"> </w:t>
      </w:r>
      <w:r w:rsidRPr="00B73E4C">
        <w:t>rights would be at issue, along with those of her husband, who visited her every day). This latter question</w:t>
      </w:r>
      <w:r>
        <w:t xml:space="preserve"> </w:t>
      </w:r>
      <w:r w:rsidRPr="00B73E4C">
        <w:t>was heard as a preliminary issue. The High Court and subsequently the Court of Appeal held that SC was</w:t>
      </w:r>
      <w:r>
        <w:t xml:space="preserve"> </w:t>
      </w:r>
      <w:r w:rsidRPr="00B73E4C">
        <w:t>not performing ‘functions of a public nature’. YL appealed to the House of Lords.</w:t>
      </w:r>
    </w:p>
    <w:p w:rsidR="00B73E4C" w:rsidRPr="00B73E4C" w:rsidRDefault="00B73E4C" w:rsidP="00B73E4C"/>
    <w:p w:rsidR="00B73E4C" w:rsidRPr="00B73E4C" w:rsidRDefault="00B73E4C" w:rsidP="00B73E4C">
      <w:pPr>
        <w:rPr>
          <w:b/>
          <w:bCs/>
          <w:sz w:val="24"/>
        </w:rPr>
      </w:pPr>
      <w:r w:rsidRPr="00B73E4C">
        <w:rPr>
          <w:b/>
          <w:bCs/>
          <w:sz w:val="24"/>
        </w:rPr>
        <w:t>The Decision</w:t>
      </w:r>
    </w:p>
    <w:p w:rsidR="00B73E4C" w:rsidRDefault="00B73E4C" w:rsidP="00B73E4C">
      <w:r w:rsidRPr="00B73E4C">
        <w:t>The House of Lords also held, by a majority of three to two, that SC was not performing functions of a</w:t>
      </w:r>
      <w:r>
        <w:t xml:space="preserve"> </w:t>
      </w:r>
      <w:r w:rsidRPr="00B73E4C">
        <w:t>public nature and hence YL had no direct cause of action against SC under the Human Rights Act. The</w:t>
      </w:r>
      <w:r>
        <w:t xml:space="preserve"> </w:t>
      </w:r>
      <w:r w:rsidRPr="00B73E4C">
        <w:t xml:space="preserve">majority comprised Lords Scott, Neuberger and </w:t>
      </w:r>
      <w:proofErr w:type="spellStart"/>
      <w:r w:rsidRPr="00B73E4C">
        <w:t>Mance</w:t>
      </w:r>
      <w:proofErr w:type="spellEnd"/>
      <w:r w:rsidRPr="00B73E4C">
        <w:t>, with Lord Bingham and Baroness Hale in the</w:t>
      </w:r>
      <w:r>
        <w:t xml:space="preserve"> </w:t>
      </w:r>
      <w:r w:rsidRPr="00B73E4C">
        <w:t>minority.</w:t>
      </w:r>
    </w:p>
    <w:p w:rsidR="00B73E4C" w:rsidRPr="00B73E4C" w:rsidRDefault="00B73E4C" w:rsidP="00B73E4C"/>
    <w:p w:rsidR="00B73E4C" w:rsidRPr="00B73E4C" w:rsidRDefault="00B73E4C" w:rsidP="00B73E4C">
      <w:pPr>
        <w:rPr>
          <w:b/>
          <w:bCs/>
          <w:sz w:val="24"/>
        </w:rPr>
      </w:pPr>
      <w:r w:rsidRPr="00B73E4C">
        <w:rPr>
          <w:b/>
          <w:bCs/>
          <w:sz w:val="24"/>
        </w:rPr>
        <w:t>The Majority</w:t>
      </w:r>
    </w:p>
    <w:p w:rsidR="00B73E4C" w:rsidRPr="00B73E4C" w:rsidRDefault="00B73E4C" w:rsidP="00B73E4C">
      <w:r w:rsidRPr="00B73E4C">
        <w:t>Each member of the court gave a separate judgment, of varying degrees of length, breadth, and</w:t>
      </w:r>
      <w:r>
        <w:t xml:space="preserve"> </w:t>
      </w:r>
      <w:r w:rsidRPr="00B73E4C">
        <w:t>complexity. However, there is a good deal of common ground between the Opinions of the majority. For</w:t>
      </w:r>
      <w:r>
        <w:t xml:space="preserve"> </w:t>
      </w:r>
      <w:r w:rsidRPr="00B73E4C">
        <w:t>each of them, the starting point was that the provision of care home accommodation by a private</w:t>
      </w:r>
      <w:r>
        <w:t xml:space="preserve"> </w:t>
      </w:r>
      <w:r w:rsidRPr="00B73E4C">
        <w:t xml:space="preserve">company to a self-funding resident for profit is a private act. [Lord </w:t>
      </w:r>
      <w:proofErr w:type="spellStart"/>
      <w:r w:rsidRPr="00B73E4C">
        <w:t>Mance</w:t>
      </w:r>
      <w:proofErr w:type="spellEnd"/>
      <w:r w:rsidRPr="00B73E4C">
        <w:t xml:space="preserve"> at 115 and Lord Neuberger at</w:t>
      </w:r>
      <w:r>
        <w:t xml:space="preserve"> </w:t>
      </w:r>
      <w:r w:rsidRPr="00B73E4C">
        <w:t>133, Lord Scott at 27]. All three were also concerned that if it was held that SC was performing functions</w:t>
      </w:r>
      <w:r>
        <w:t xml:space="preserve"> </w:t>
      </w:r>
      <w:r w:rsidRPr="00B73E4C">
        <w:t>of a public nature, the floodgates might thereby be opened. For Lord Scott, for example, if an outside</w:t>
      </w:r>
      <w:r>
        <w:t xml:space="preserve"> </w:t>
      </w:r>
      <w:r w:rsidRPr="00B73E4C">
        <w:t>contractor is engaged by a LA to provide cleaning, catering or other essential services, it would be ‘absurd’</w:t>
      </w:r>
      <w:r>
        <w:t xml:space="preserve"> </w:t>
      </w:r>
      <w:r w:rsidRPr="00B73E4C">
        <w:t>to view the provision of such services as comprising the performance of ‘functions of a public nature’ and</w:t>
      </w:r>
      <w:r>
        <w:t xml:space="preserve"> </w:t>
      </w:r>
      <w:r w:rsidRPr="00B73E4C">
        <w:t>‘The owner of a private care home taking local authority funded residents is in no different position’. [27]</w:t>
      </w:r>
      <w:r>
        <w:t xml:space="preserve"> </w:t>
      </w:r>
      <w:r w:rsidRPr="00B73E4C">
        <w:t>‘Where’, his Lordship asked rhetorically, ‘does it end?’ [30] Much the same view was expressed by Lords</w:t>
      </w:r>
      <w:r>
        <w:t xml:space="preserve"> </w:t>
      </w:r>
      <w:proofErr w:type="spellStart"/>
      <w:r w:rsidRPr="00B73E4C">
        <w:t>Mance</w:t>
      </w:r>
      <w:proofErr w:type="spellEnd"/>
      <w:r w:rsidRPr="00B73E4C">
        <w:t xml:space="preserve"> [82] and Neuberger. [164] A second obvious problem was that, given that the relationship</w:t>
      </w:r>
      <w:r>
        <w:t xml:space="preserve"> </w:t>
      </w:r>
      <w:r w:rsidRPr="00B73E4C">
        <w:t>between self-funding residents and a private provider does not entail the performance of a function or act</w:t>
      </w:r>
      <w:r>
        <w:t xml:space="preserve"> </w:t>
      </w:r>
      <w:r w:rsidRPr="00B73E4C">
        <w:t>of a public nature by the latter, then to hold that it did in the case of LA-funded residents would create</w:t>
      </w:r>
      <w:r>
        <w:t xml:space="preserve"> </w:t>
      </w:r>
      <w:r w:rsidRPr="00B73E4C">
        <w:t>an anomalous situation whereby those residents, but not self-funders, would be protected a priori by</w:t>
      </w:r>
      <w:r>
        <w:t xml:space="preserve"> </w:t>
      </w:r>
      <w:r w:rsidRPr="00B73E4C">
        <w:t xml:space="preserve">Convention rights. [Lord </w:t>
      </w:r>
      <w:proofErr w:type="spellStart"/>
      <w:r w:rsidRPr="00B73E4C">
        <w:t>Mance</w:t>
      </w:r>
      <w:proofErr w:type="spellEnd"/>
      <w:r w:rsidRPr="00B73E4C">
        <w:t xml:space="preserve"> at 117, 119, Lord Neuberger at 169]</w:t>
      </w:r>
    </w:p>
    <w:p w:rsidR="00B73E4C" w:rsidRPr="00B73E4C" w:rsidRDefault="00B73E4C" w:rsidP="00B73E4C">
      <w:r w:rsidRPr="00B73E4C">
        <w:lastRenderedPageBreak/>
        <w:t>However, the crux of the issue is the meaning of, and approach taken towards, the phrase ‘functions of a</w:t>
      </w:r>
      <w:r>
        <w:t xml:space="preserve"> </w:t>
      </w:r>
      <w:r w:rsidRPr="00B73E4C">
        <w:t xml:space="preserve">public nature’. Lord </w:t>
      </w:r>
      <w:proofErr w:type="spellStart"/>
      <w:r w:rsidRPr="00B73E4C">
        <w:t>Mance</w:t>
      </w:r>
      <w:proofErr w:type="spellEnd"/>
      <w:r w:rsidRPr="00B73E4C">
        <w:t xml:space="preserve"> started by accepting the point made by Oliver,</w:t>
      </w:r>
      <w:r>
        <w:rPr>
          <w:rStyle w:val="FootnoteReference"/>
        </w:rPr>
        <w:footnoteReference w:id="5"/>
      </w:r>
      <w:r w:rsidRPr="00B73E4C">
        <w:t xml:space="preserve"> that, in his Lordship’s words,</w:t>
      </w:r>
      <w:r>
        <w:t xml:space="preserve"> </w:t>
      </w:r>
      <w:r w:rsidRPr="00B73E4C">
        <w:t xml:space="preserve">‘it is a fallacy to regard </w:t>
      </w:r>
      <w:r w:rsidRPr="00B73E4C">
        <w:rPr>
          <w:i/>
          <w:iCs/>
        </w:rPr>
        <w:t xml:space="preserve">all </w:t>
      </w:r>
      <w:r w:rsidRPr="00B73E4C">
        <w:t>functions and activities of a core public authority as inherently public in nature’</w:t>
      </w:r>
      <w:r>
        <w:t xml:space="preserve"> </w:t>
      </w:r>
      <w:r w:rsidRPr="00B73E4C">
        <w:t>[110]. This view, which must in general terms be correct, is based on an analysis of the structure of section</w:t>
      </w:r>
      <w:r>
        <w:t xml:space="preserve"> </w:t>
      </w:r>
      <w:r w:rsidRPr="00B73E4C">
        <w:t>6 of the 1998 Act. Section 6(1) applies to all functions and acts of a core public authority, irrespective of</w:t>
      </w:r>
      <w:r>
        <w:t xml:space="preserve"> </w:t>
      </w:r>
      <w:r w:rsidRPr="00B73E4C">
        <w:t>whether they could be classified as ‘public’ or ‘private’, so that it cannot be assumed, merely on the basis</w:t>
      </w:r>
      <w:r>
        <w:t xml:space="preserve"> </w:t>
      </w:r>
      <w:r w:rsidRPr="00B73E4C">
        <w:t xml:space="preserve">that a function or act is performed by a core public authority, that it is public. And for Lord </w:t>
      </w:r>
      <w:proofErr w:type="spellStart"/>
      <w:r w:rsidRPr="00B73E4C">
        <w:t>Mance</w:t>
      </w:r>
      <w:proofErr w:type="spellEnd"/>
      <w:r w:rsidRPr="00B73E4C">
        <w:t xml:space="preserve"> ‘I do</w:t>
      </w:r>
      <w:r>
        <w:t xml:space="preserve"> </w:t>
      </w:r>
      <w:r w:rsidRPr="00B73E4C">
        <w:t>not regard the actual provision, as opposed to the arrangement, of care and accommodation for those</w:t>
      </w:r>
      <w:r>
        <w:t xml:space="preserve"> </w:t>
      </w:r>
      <w:r w:rsidRPr="00B73E4C">
        <w:t xml:space="preserve">unable to arrange it themselves as an inherently governmental function’. [115] </w:t>
      </w:r>
      <w:proofErr w:type="gramStart"/>
      <w:r w:rsidRPr="00B73E4C">
        <w:t>This</w:t>
      </w:r>
      <w:proofErr w:type="gramEnd"/>
      <w:r w:rsidRPr="00B73E4C">
        <w:t xml:space="preserve"> is because ‘In</w:t>
      </w:r>
      <w:r>
        <w:t xml:space="preserve"> </w:t>
      </w:r>
      <w:r w:rsidRPr="00B73E4C">
        <w:t>contrast with the position relating to the national health service, the default position is one in which the</w:t>
      </w:r>
      <w:r>
        <w:t xml:space="preserve"> </w:t>
      </w:r>
      <w:r w:rsidRPr="00B73E4C">
        <w:t xml:space="preserve">local authority is not involved’. [115] </w:t>
      </w:r>
      <w:proofErr w:type="gramStart"/>
      <w:r w:rsidRPr="00B73E4C">
        <w:t>In</w:t>
      </w:r>
      <w:proofErr w:type="gramEnd"/>
      <w:r w:rsidRPr="00B73E4C">
        <w:t xml:space="preserve"> the same vein, Lord Neuberger expressed his view, that ‘the</w:t>
      </w:r>
      <w:r>
        <w:t xml:space="preserve"> </w:t>
      </w:r>
      <w:r w:rsidRPr="00B73E4C">
        <w:t>services provided in this case are very much of a personal nature’. [168]</w:t>
      </w:r>
    </w:p>
    <w:p w:rsidR="00B73E4C" w:rsidRPr="00B73E4C" w:rsidRDefault="00B73E4C" w:rsidP="00B73E4C">
      <w:r w:rsidRPr="00B73E4C">
        <w:t>Interestingly, Lord Scott, making up the majority, seems not to have taken the same approach. Although</w:t>
      </w:r>
      <w:r>
        <w:t xml:space="preserve"> </w:t>
      </w:r>
      <w:r w:rsidRPr="00B73E4C">
        <w:t>stating that the act of giving YL notice to quit ‘affected no one but the parties to the agreement. I do not</w:t>
      </w:r>
      <w:r>
        <w:t xml:space="preserve"> </w:t>
      </w:r>
      <w:r w:rsidRPr="00B73E4C">
        <w:t>see how its nature could be thought to be anything other than private’, [34] and therefore excluded from</w:t>
      </w:r>
      <w:r>
        <w:t xml:space="preserve"> </w:t>
      </w:r>
      <w:r w:rsidRPr="00B73E4C">
        <w:t>section 6(3</w:t>
      </w:r>
      <w:proofErr w:type="gramStart"/>
      <w:r w:rsidRPr="00B73E4C">
        <w:t>)(</w:t>
      </w:r>
      <w:proofErr w:type="gramEnd"/>
      <w:r w:rsidRPr="00B73E4C">
        <w:t>b) by virtue of section 6(5), he also seemed to accept that where accommodation is provided</w:t>
      </w:r>
      <w:r>
        <w:t xml:space="preserve"> </w:t>
      </w:r>
      <w:r w:rsidRPr="00B73E4C">
        <w:t>by a LA in-house that ‘is unquestionably a function of a public nature’. [20] He reached the same</w:t>
      </w:r>
      <w:r>
        <w:t xml:space="preserve"> </w:t>
      </w:r>
      <w:r w:rsidRPr="00B73E4C">
        <w:t xml:space="preserve">conclusion as Lord </w:t>
      </w:r>
      <w:proofErr w:type="spellStart"/>
      <w:r w:rsidRPr="00B73E4C">
        <w:t>Mance</w:t>
      </w:r>
      <w:proofErr w:type="spellEnd"/>
      <w:r w:rsidRPr="00B73E4C">
        <w:t>, however, because in his view there are ‘very clear and fundamental</w:t>
      </w:r>
      <w:r>
        <w:t xml:space="preserve"> </w:t>
      </w:r>
      <w:r w:rsidRPr="00B73E4C">
        <w:t>differences’ [29] between in-house and contracted out accommodation provision, viz. that the LA acts</w:t>
      </w:r>
      <w:r>
        <w:t xml:space="preserve"> </w:t>
      </w:r>
      <w:r w:rsidRPr="00B73E4C">
        <w:t>pursuant to statutory duties imposed by public law whereas a private provider does not. It is submitted</w:t>
      </w:r>
      <w:r>
        <w:t xml:space="preserve"> </w:t>
      </w:r>
      <w:r w:rsidRPr="00B73E4C">
        <w:t xml:space="preserve">that the analysis of Lord </w:t>
      </w:r>
      <w:proofErr w:type="spellStart"/>
      <w:r w:rsidRPr="00B73E4C">
        <w:t>Mance</w:t>
      </w:r>
      <w:proofErr w:type="spellEnd"/>
      <w:r w:rsidRPr="00B73E4C">
        <w:t xml:space="preserve"> is, in principle, to be preferred on this point. It must be correct that not</w:t>
      </w:r>
      <w:r>
        <w:t xml:space="preserve"> </w:t>
      </w:r>
      <w:r w:rsidRPr="00B73E4C">
        <w:t>every act or function of a LA is necessarily ‘public’. On the other hand, it is debatable whether Lord</w:t>
      </w:r>
      <w:r>
        <w:t xml:space="preserve"> </w:t>
      </w:r>
      <w:proofErr w:type="spellStart"/>
      <w:r w:rsidRPr="00B73E4C">
        <w:t>Mance</w:t>
      </w:r>
      <w:proofErr w:type="spellEnd"/>
      <w:r w:rsidRPr="00B73E4C">
        <w:t xml:space="preserve"> is correct in this instance. There is a good argument to be made, and which was in fact made by</w:t>
      </w:r>
      <w:r>
        <w:t xml:space="preserve"> </w:t>
      </w:r>
      <w:r w:rsidRPr="00B73E4C">
        <w:t>both minority Opinions (see below), that although some functions or acts of an LA are not public, those</w:t>
      </w:r>
      <w:r>
        <w:t xml:space="preserve"> </w:t>
      </w:r>
      <w:r w:rsidRPr="00B73E4C">
        <w:t>functions connected to the duties in the 1948 Act are not examples of that.</w:t>
      </w:r>
    </w:p>
    <w:p w:rsidR="00B73E4C" w:rsidRPr="00B73E4C" w:rsidRDefault="00B73E4C" w:rsidP="00B73E4C">
      <w:r w:rsidRPr="00B73E4C">
        <w:t>In either case, this would seemingly be enough to dispose of the appeal, but all members of the majority</w:t>
      </w:r>
      <w:r>
        <w:t xml:space="preserve"> </w:t>
      </w:r>
      <w:r w:rsidRPr="00B73E4C">
        <w:t>gave further consideration to the test appropriate for distinguishing public from private functions. This</w:t>
      </w:r>
      <w:r>
        <w:t xml:space="preserve"> </w:t>
      </w:r>
      <w:r w:rsidRPr="00B73E4C">
        <w:t xml:space="preserve">question has been raised in earlier </w:t>
      </w:r>
      <w:proofErr w:type="spellStart"/>
      <w:r w:rsidRPr="00B73E4C">
        <w:t>caselaw</w:t>
      </w:r>
      <w:proofErr w:type="spellEnd"/>
      <w:r w:rsidRPr="00B73E4C">
        <w:t xml:space="preserve">. In </w:t>
      </w:r>
      <w:r w:rsidRPr="00B73E4C">
        <w:rPr>
          <w:i/>
          <w:iCs/>
        </w:rPr>
        <w:t>Poplar Housing and Regeneration Community Association Ltd</w:t>
      </w:r>
      <w:r>
        <w:rPr>
          <w:i/>
          <w:iCs/>
        </w:rPr>
        <w:t xml:space="preserve"> </w:t>
      </w:r>
      <w:r w:rsidRPr="00B73E4C">
        <w:rPr>
          <w:i/>
          <w:iCs/>
        </w:rPr>
        <w:t>v Donoghue</w:t>
      </w:r>
      <w:r>
        <w:rPr>
          <w:rStyle w:val="FootnoteReference"/>
          <w:i/>
          <w:iCs/>
        </w:rPr>
        <w:footnoteReference w:id="6"/>
      </w:r>
      <w:r w:rsidRPr="00B73E4C">
        <w:t xml:space="preserve"> D had been given a weekly non-secure tenancy by a LA pending its assessment of whether</w:t>
      </w:r>
      <w:r>
        <w:t xml:space="preserve"> </w:t>
      </w:r>
      <w:r w:rsidRPr="00B73E4C">
        <w:t>she was entitled to social housing on a more permanent basis by reason of being homeless, or whether, as</w:t>
      </w:r>
      <w:r>
        <w:t xml:space="preserve"> </w:t>
      </w:r>
      <w:r w:rsidRPr="00B73E4C">
        <w:t>intentionally homeless, she did not qualify for such housing. Whilst D’s tenancy was still existent, the LA</w:t>
      </w:r>
      <w:r>
        <w:t xml:space="preserve"> </w:t>
      </w:r>
      <w:r w:rsidRPr="00B73E4C">
        <w:t>transferred the property in question to the appellant, a housing association which it had created to</w:t>
      </w:r>
      <w:r>
        <w:t xml:space="preserve"> </w:t>
      </w:r>
      <w:r w:rsidRPr="00B73E4C">
        <w:t>manage a good proportion of its housing stock. It was later decided that D was not intentionally homeless</w:t>
      </w:r>
      <w:r>
        <w:t xml:space="preserve"> </w:t>
      </w:r>
      <w:r w:rsidRPr="00B73E4C">
        <w:t>and the association sought an order for possession.</w:t>
      </w:r>
    </w:p>
    <w:p w:rsidR="00B73E4C" w:rsidRPr="00B73E4C" w:rsidRDefault="00B73E4C" w:rsidP="00B73E4C">
      <w:r w:rsidRPr="00B73E4C">
        <w:t>The pertinent issue was whether the housing association was a public authority for these purposes. Lord</w:t>
      </w:r>
      <w:r>
        <w:t xml:space="preserve"> </w:t>
      </w:r>
      <w:r w:rsidRPr="00B73E4C">
        <w:t>Woolf CJ, giving the unanimous judgment of the Court of Appeal, held that it was. Although of the view,</w:t>
      </w:r>
      <w:r>
        <w:t xml:space="preserve"> </w:t>
      </w:r>
      <w:r w:rsidRPr="00B73E4C">
        <w:t xml:space="preserve">not interrupted by any of the later </w:t>
      </w:r>
      <w:proofErr w:type="spellStart"/>
      <w:r w:rsidRPr="00B73E4C">
        <w:t>caselaw</w:t>
      </w:r>
      <w:proofErr w:type="spellEnd"/>
      <w:r w:rsidRPr="00B73E4C">
        <w:t>, that ‘The fact that a body performs an activity which</w:t>
      </w:r>
      <w:r>
        <w:t xml:space="preserve"> </w:t>
      </w:r>
      <w:r w:rsidRPr="00B73E4C">
        <w:t xml:space="preserve">otherwise a public body would be under a duty to perform cannot mean that such </w:t>
      </w:r>
      <w:r w:rsidRPr="00B73E4C">
        <w:lastRenderedPageBreak/>
        <w:t>performance is</w:t>
      </w:r>
      <w:r>
        <w:t xml:space="preserve"> </w:t>
      </w:r>
      <w:r w:rsidRPr="00B73E4C">
        <w:t>necessarily a public function’, [67] Lord Woolf reached his conclusion that the housing association was</w:t>
      </w:r>
      <w:r>
        <w:t xml:space="preserve"> </w:t>
      </w:r>
      <w:r w:rsidRPr="00B73E4C">
        <w:t>performing a function of a public nature because ‘the role of Poplar [the housing association] is so closely</w:t>
      </w:r>
      <w:r>
        <w:t xml:space="preserve"> </w:t>
      </w:r>
      <w:r w:rsidRPr="00B73E4C">
        <w:t>assimilated to that of Tower Hamlets [the local authority]’ [70] on the particular facts of the case</w:t>
      </w:r>
      <w:r>
        <w:rPr>
          <w:rStyle w:val="FootnoteReference"/>
        </w:rPr>
        <w:footnoteReference w:id="7"/>
      </w:r>
      <w:r w:rsidRPr="00B73E4C">
        <w:t>. The</w:t>
      </w:r>
      <w:r>
        <w:t xml:space="preserve"> </w:t>
      </w:r>
      <w:r w:rsidRPr="00B73E4C">
        <w:t>problem with this, in terms of statutory interpretation, is that although discussing the nature of the</w:t>
      </w:r>
      <w:r>
        <w:t xml:space="preserve"> </w:t>
      </w:r>
      <w:r w:rsidRPr="00B73E4C">
        <w:t>function, the court actually decided the case by reference to altogether different criteria, concerned with</w:t>
      </w:r>
      <w:r>
        <w:t xml:space="preserve"> </w:t>
      </w:r>
      <w:r w:rsidRPr="00B73E4C">
        <w:t>the nature of the relationship between the LA and the contractor. The decision was criticised on this basis</w:t>
      </w:r>
      <w:r>
        <w:t xml:space="preserve"> </w:t>
      </w:r>
      <w:r w:rsidRPr="00B73E4C">
        <w:t>by Oliver</w:t>
      </w:r>
      <w:r>
        <w:rPr>
          <w:rStyle w:val="FootnoteReference"/>
        </w:rPr>
        <w:footnoteReference w:id="8"/>
      </w:r>
      <w:r w:rsidRPr="00B73E4C">
        <w:t xml:space="preserve">, and in YL, both Baroness Hale [61] and Lord </w:t>
      </w:r>
      <w:proofErr w:type="spellStart"/>
      <w:r w:rsidRPr="00B73E4C">
        <w:t>Mance</w:t>
      </w:r>
      <w:proofErr w:type="spellEnd"/>
      <w:r w:rsidRPr="00B73E4C">
        <w:t xml:space="preserve"> [105] specifically overruled </w:t>
      </w:r>
      <w:r w:rsidRPr="00B73E4C">
        <w:rPr>
          <w:i/>
          <w:iCs/>
        </w:rPr>
        <w:t>Donoghue</w:t>
      </w:r>
      <w:r>
        <w:rPr>
          <w:i/>
          <w:iCs/>
        </w:rPr>
        <w:t xml:space="preserve"> </w:t>
      </w:r>
      <w:r w:rsidRPr="00B73E4C">
        <w:t>for precisely this reason. The tests in section 6, in short, are functional not relational: and the nature of</w:t>
      </w:r>
      <w:r>
        <w:t xml:space="preserve"> </w:t>
      </w:r>
      <w:r w:rsidRPr="00B73E4C">
        <w:t>the function in question does not change whether performed by the LA or by a private contractor</w:t>
      </w:r>
      <w:r>
        <w:rPr>
          <w:rStyle w:val="FootnoteReference"/>
        </w:rPr>
        <w:footnoteReference w:id="9"/>
      </w:r>
      <w:r w:rsidRPr="00B73E4C">
        <w:t>. [Lord</w:t>
      </w:r>
      <w:r>
        <w:t xml:space="preserve"> </w:t>
      </w:r>
      <w:proofErr w:type="spellStart"/>
      <w:r w:rsidRPr="00B73E4C">
        <w:t>Mance</w:t>
      </w:r>
      <w:proofErr w:type="spellEnd"/>
      <w:r w:rsidRPr="00B73E4C">
        <w:t xml:space="preserve"> at 110]</w:t>
      </w:r>
    </w:p>
    <w:p w:rsidR="00B73E4C" w:rsidRPr="00B73E4C" w:rsidRDefault="00B73E4C" w:rsidP="00B73E4C">
      <w:r w:rsidRPr="00B73E4C">
        <w:t xml:space="preserve">This was confirmed in the later House of Lords decision in </w:t>
      </w:r>
      <w:r w:rsidRPr="00B73E4C">
        <w:rPr>
          <w:i/>
          <w:iCs/>
        </w:rPr>
        <w:t xml:space="preserve">Aston </w:t>
      </w:r>
      <w:proofErr w:type="spellStart"/>
      <w:r w:rsidRPr="00B73E4C">
        <w:rPr>
          <w:i/>
          <w:iCs/>
        </w:rPr>
        <w:t>Cantlow</w:t>
      </w:r>
      <w:proofErr w:type="spellEnd"/>
      <w:r w:rsidRPr="00B73E4C">
        <w:rPr>
          <w:i/>
          <w:iCs/>
        </w:rPr>
        <w:t xml:space="preserve"> and </w:t>
      </w:r>
      <w:proofErr w:type="spellStart"/>
      <w:r w:rsidRPr="00B73E4C">
        <w:rPr>
          <w:i/>
          <w:iCs/>
        </w:rPr>
        <w:t>Wilmcote</w:t>
      </w:r>
      <w:proofErr w:type="spellEnd"/>
      <w:r w:rsidRPr="00B73E4C">
        <w:rPr>
          <w:i/>
          <w:iCs/>
        </w:rPr>
        <w:t xml:space="preserve"> with </w:t>
      </w:r>
      <w:proofErr w:type="spellStart"/>
      <w:r w:rsidRPr="00B73E4C">
        <w:rPr>
          <w:i/>
          <w:iCs/>
        </w:rPr>
        <w:t>Billesley</w:t>
      </w:r>
      <w:proofErr w:type="spellEnd"/>
      <w:r>
        <w:rPr>
          <w:i/>
          <w:iCs/>
        </w:rPr>
        <w:t xml:space="preserve"> </w:t>
      </w:r>
      <w:r w:rsidRPr="00B73E4C">
        <w:rPr>
          <w:i/>
          <w:iCs/>
        </w:rPr>
        <w:t xml:space="preserve">Parochial Church Council v </w:t>
      </w:r>
      <w:proofErr w:type="spellStart"/>
      <w:r w:rsidRPr="00B73E4C">
        <w:rPr>
          <w:i/>
          <w:iCs/>
        </w:rPr>
        <w:t>Wallbank</w:t>
      </w:r>
      <w:proofErr w:type="spellEnd"/>
      <w:r>
        <w:rPr>
          <w:rStyle w:val="FootnoteReference"/>
          <w:i/>
          <w:iCs/>
        </w:rPr>
        <w:footnoteReference w:id="10"/>
      </w:r>
      <w:r w:rsidRPr="00B73E4C">
        <w:t>. The facts of this case need not detain us here, but what is relevant</w:t>
      </w:r>
      <w:r>
        <w:t xml:space="preserve"> </w:t>
      </w:r>
      <w:r w:rsidRPr="00B73E4C">
        <w:t>is the approach to determining whether a function is public that was elaborated by Lord Nicholls, which</w:t>
      </w:r>
      <w:r>
        <w:t xml:space="preserve"> </w:t>
      </w:r>
      <w:r w:rsidRPr="00B73E4C">
        <w:t xml:space="preserve">was utilised by both the majority and minority in </w:t>
      </w:r>
      <w:r w:rsidRPr="00B73E4C">
        <w:rPr>
          <w:i/>
          <w:iCs/>
        </w:rPr>
        <w:t>YL</w:t>
      </w:r>
      <w:r w:rsidRPr="00B73E4C">
        <w:t>. His Lordship held that there could be no simple test</w:t>
      </w:r>
      <w:r>
        <w:t xml:space="preserve"> </w:t>
      </w:r>
      <w:r w:rsidRPr="00B73E4C">
        <w:t>for determining whether a person or body is performing functions of a public nature. Instead, he endorsed</w:t>
      </w:r>
      <w:r>
        <w:t xml:space="preserve"> </w:t>
      </w:r>
      <w:r w:rsidRPr="00B73E4C">
        <w:t>a factor-based approach, elaborating that</w:t>
      </w:r>
    </w:p>
    <w:p w:rsidR="00B73E4C" w:rsidRPr="00B73E4C" w:rsidRDefault="00B73E4C" w:rsidP="00B73E4C">
      <w:pPr>
        <w:ind w:left="567" w:right="521"/>
      </w:pPr>
      <w:r w:rsidRPr="00B73E4C">
        <w:rPr>
          <w:i/>
          <w:iCs/>
        </w:rPr>
        <w:t>Factors to be taken into account include the extent to which in carrying out the relevant function the</w:t>
      </w:r>
      <w:r>
        <w:rPr>
          <w:i/>
          <w:iCs/>
        </w:rPr>
        <w:t xml:space="preserve"> </w:t>
      </w:r>
      <w:r w:rsidRPr="00B73E4C">
        <w:rPr>
          <w:i/>
          <w:iCs/>
        </w:rPr>
        <w:t xml:space="preserve">body is publicly funded, or is exercising statutory powers, or is taking the place of central government </w:t>
      </w:r>
      <w:r>
        <w:rPr>
          <w:i/>
          <w:iCs/>
        </w:rPr>
        <w:t>o</w:t>
      </w:r>
      <w:r w:rsidRPr="00B73E4C">
        <w:rPr>
          <w:i/>
          <w:iCs/>
        </w:rPr>
        <w:t>r</w:t>
      </w:r>
      <w:r>
        <w:rPr>
          <w:i/>
          <w:iCs/>
        </w:rPr>
        <w:t xml:space="preserve"> </w:t>
      </w:r>
      <w:r w:rsidRPr="00B73E4C">
        <w:rPr>
          <w:i/>
          <w:iCs/>
        </w:rPr>
        <w:t xml:space="preserve">local authorities, or is providing a public service </w:t>
      </w:r>
      <w:r w:rsidRPr="00B73E4C">
        <w:t xml:space="preserve">[12, cited by Lord </w:t>
      </w:r>
      <w:proofErr w:type="spellStart"/>
      <w:r w:rsidRPr="00B73E4C">
        <w:t>Mance</w:t>
      </w:r>
      <w:proofErr w:type="spellEnd"/>
      <w:r w:rsidRPr="00B73E4C">
        <w:t xml:space="preserve"> at 91]</w:t>
      </w:r>
    </w:p>
    <w:p w:rsidR="00B73E4C" w:rsidRPr="00B73E4C" w:rsidRDefault="00B73E4C" w:rsidP="00B73E4C">
      <w:r w:rsidRPr="00B73E4C">
        <w:t>However, the presence of one or more of these features is not necessarily decisive. For example, Lord</w:t>
      </w:r>
      <w:r>
        <w:t xml:space="preserve"> </w:t>
      </w:r>
      <w:proofErr w:type="spellStart"/>
      <w:r w:rsidRPr="00B73E4C">
        <w:t>Mance</w:t>
      </w:r>
      <w:proofErr w:type="spellEnd"/>
      <w:r w:rsidRPr="00B73E4C">
        <w:t xml:space="preserve"> explained, statutory powers may have been bestowed on the person or body in question ‘for</w:t>
      </w:r>
      <w:r>
        <w:t xml:space="preserve"> </w:t>
      </w:r>
      <w:r w:rsidRPr="00B73E4C">
        <w:t>private, religious or purely commercial purposes’. [101] Instead, ‘it is necessary to look at the context in</w:t>
      </w:r>
      <w:r>
        <w:t xml:space="preserve"> </w:t>
      </w:r>
      <w:r w:rsidRPr="00B73E4C">
        <w:t>which, and basis on which, a contractor acts’ rather than ‘to look at what a contractor ‘does’ [102]. This</w:t>
      </w:r>
      <w:r>
        <w:t xml:space="preserve"> </w:t>
      </w:r>
      <w:r w:rsidRPr="00B73E4C">
        <w:t xml:space="preserve">is potentially confusing, as a little later in his Opinion Lord </w:t>
      </w:r>
      <w:proofErr w:type="spellStart"/>
      <w:r w:rsidRPr="00B73E4C">
        <w:t>Mance</w:t>
      </w:r>
      <w:proofErr w:type="spellEnd"/>
      <w:r w:rsidRPr="00B73E4C">
        <w:t xml:space="preserve"> emphasised that ‘In every case, the</w:t>
      </w:r>
      <w:r>
        <w:t xml:space="preserve"> </w:t>
      </w:r>
      <w:r w:rsidRPr="00B73E4C">
        <w:t>ultimate focus must be upon the nature of the functions being undertaken’, [105] but his meaning is fairly</w:t>
      </w:r>
      <w:r>
        <w:t xml:space="preserve"> </w:t>
      </w:r>
      <w:r w:rsidRPr="00B73E4C">
        <w:t>clear. It is not that what a contractor does is irrelevant, but rather, that what the contractor does is to be</w:t>
      </w:r>
      <w:r>
        <w:t xml:space="preserve"> </w:t>
      </w:r>
      <w:r w:rsidRPr="00B73E4C">
        <w:t>assessed by reference to the context in which those functions or acts are done. He gave the example of a</w:t>
      </w:r>
      <w:r>
        <w:t xml:space="preserve"> </w:t>
      </w:r>
      <w:r w:rsidRPr="00B73E4C">
        <w:t>private firm engaged by a LA to enforce road traffic laws on the public highway compared with the same</w:t>
      </w:r>
      <w:r>
        <w:t xml:space="preserve"> </w:t>
      </w:r>
      <w:r w:rsidRPr="00B73E4C">
        <w:t>firm being employed by a private person or indeed by a LA to enforce parking restrictions on private land</w:t>
      </w:r>
      <w:r>
        <w:t xml:space="preserve"> </w:t>
      </w:r>
      <w:r w:rsidRPr="00B73E4C">
        <w:t>[102]: in the former case the firm will be performing a function of a public nature, in the latter it will not.</w:t>
      </w:r>
    </w:p>
    <w:p w:rsidR="00B73E4C" w:rsidRDefault="00B73E4C" w:rsidP="00B73E4C">
      <w:r w:rsidRPr="00B73E4C">
        <w:t>Applying Lord Nicholls’ approach led each member of the majority to the conclusion that SC was not</w:t>
      </w:r>
      <w:r>
        <w:t xml:space="preserve"> </w:t>
      </w:r>
      <w:r w:rsidRPr="00B73E4C">
        <w:t xml:space="preserve">performing functions of a public nature. First, SC was not publicly funded. Lord </w:t>
      </w:r>
      <w:proofErr w:type="spellStart"/>
      <w:r w:rsidRPr="00B73E4C">
        <w:t>Mance</w:t>
      </w:r>
      <w:proofErr w:type="spellEnd"/>
      <w:r w:rsidRPr="00B73E4C">
        <w:t xml:space="preserve"> distinguished the</w:t>
      </w:r>
      <w:r>
        <w:t xml:space="preserve"> </w:t>
      </w:r>
      <w:r w:rsidRPr="00B73E4C">
        <w:t>situation under which the capital support for a venture undertaken by a non-governmental body is wholly</w:t>
      </w:r>
      <w:r>
        <w:t xml:space="preserve"> </w:t>
      </w:r>
      <w:r w:rsidRPr="00B73E4C">
        <w:t>provided by the state, from ‘payment for services under a contractual arrangement with a company aiming</w:t>
      </w:r>
      <w:r>
        <w:t xml:space="preserve"> </w:t>
      </w:r>
      <w:r w:rsidRPr="00B73E4C">
        <w:t>to profit commercially’. [105] Lord Neuberger made a similar distinction, [149] as did Lord Scott, holding</w:t>
      </w:r>
      <w:r>
        <w:t xml:space="preserve"> </w:t>
      </w:r>
      <w:r w:rsidRPr="00B73E4C">
        <w:t xml:space="preserve">bluntly that ‘It is a misuse of language and misleading to describe Southern </w:t>
      </w:r>
      <w:r w:rsidRPr="00B73E4C">
        <w:lastRenderedPageBreak/>
        <w:t>Cross as publicly funded’. [27]</w:t>
      </w:r>
      <w:r>
        <w:t xml:space="preserve"> </w:t>
      </w:r>
      <w:r w:rsidRPr="00B73E4C">
        <w:t>Secondly, SC was not exercising any statutory powers in providing YL with care and accommodation.</w:t>
      </w:r>
      <w:r>
        <w:t xml:space="preserve"> </w:t>
      </w:r>
      <w:r w:rsidRPr="00B73E4C">
        <w:t xml:space="preserve">[Lord </w:t>
      </w:r>
      <w:proofErr w:type="spellStart"/>
      <w:r w:rsidRPr="00B73E4C">
        <w:t>Mance</w:t>
      </w:r>
      <w:proofErr w:type="spellEnd"/>
      <w:r w:rsidRPr="00B73E4C">
        <w:t xml:space="preserve"> at 84, 104 and 121, Lord Neuberger at 150, 160 and 166, Lord Scott at 28] Thirdly, SC was</w:t>
      </w:r>
      <w:r>
        <w:t xml:space="preserve"> </w:t>
      </w:r>
      <w:r w:rsidRPr="00B73E4C">
        <w:t>not in any way standing in the shoes of the LA because the 1948 Act in its present form ‘is deliberately</w:t>
      </w:r>
      <w:r>
        <w:t xml:space="preserve"> </w:t>
      </w:r>
      <w:r w:rsidRPr="00B73E4C">
        <w:t>phrased in terms of a duty on the local authority to make arrangements. That duty never passes to the</w:t>
      </w:r>
      <w:r>
        <w:t xml:space="preserve"> </w:t>
      </w:r>
      <w:r w:rsidRPr="00B73E4C">
        <w:t xml:space="preserve">care home, which does no more than provide care and accommodation under contract’ [Lord </w:t>
      </w:r>
      <w:proofErr w:type="spellStart"/>
      <w:r w:rsidRPr="00B73E4C">
        <w:t>Mance</w:t>
      </w:r>
      <w:proofErr w:type="spellEnd"/>
      <w:r w:rsidRPr="00B73E4C">
        <w:t xml:space="preserve"> at</w:t>
      </w:r>
      <w:r>
        <w:t xml:space="preserve"> </w:t>
      </w:r>
      <w:r w:rsidRPr="00B73E4C">
        <w:t>113, see also Lord Neuberger at 147] and therefore the involvement of the LA in arranging and paying</w:t>
      </w:r>
      <w:r>
        <w:t xml:space="preserve"> </w:t>
      </w:r>
      <w:r w:rsidRPr="00B73E4C">
        <w:t xml:space="preserve">for YL’s accommodation by SC does not convert SC’s function from private to public. [139] </w:t>
      </w:r>
      <w:proofErr w:type="gramStart"/>
      <w:r w:rsidRPr="00B73E4C">
        <w:t>The</w:t>
      </w:r>
      <w:proofErr w:type="gramEnd"/>
      <w:r w:rsidRPr="00B73E4C">
        <w:t xml:space="preserve"> fourth</w:t>
      </w:r>
      <w:r>
        <w:t xml:space="preserve"> </w:t>
      </w:r>
      <w:r w:rsidRPr="00B73E4C">
        <w:t>consideration – whether SC is performing a public service – has already been discussed above. The</w:t>
      </w:r>
      <w:r>
        <w:t xml:space="preserve"> </w:t>
      </w:r>
      <w:r w:rsidRPr="00B73E4C">
        <w:t>majority conceptualised SC as engaging in private acts rather than providing a public service. The</w:t>
      </w:r>
      <w:r>
        <w:t xml:space="preserve"> </w:t>
      </w:r>
      <w:r w:rsidRPr="00B73E4C">
        <w:t>provision of residential accommodation for the vulnerable, who otherwise would not have that need met,</w:t>
      </w:r>
      <w:r>
        <w:t xml:space="preserve"> </w:t>
      </w:r>
      <w:r w:rsidRPr="00B73E4C">
        <w:t>is of course, generally speaking, in the public interest, but it does not follow ‘as a matter of logic or policy’</w:t>
      </w:r>
      <w:r>
        <w:t xml:space="preserve"> </w:t>
      </w:r>
      <w:r w:rsidRPr="00B73E4C">
        <w:t>[135] that the provider is therefore performing a public function. This also explains why the fact that</w:t>
      </w:r>
      <w:r>
        <w:t xml:space="preserve"> </w:t>
      </w:r>
      <w:r w:rsidRPr="00B73E4C">
        <w:t xml:space="preserve">private providers are closely regulated by the </w:t>
      </w:r>
      <w:r w:rsidRPr="00B73E4C">
        <w:rPr>
          <w:i/>
          <w:iCs/>
        </w:rPr>
        <w:t xml:space="preserve">Care Standards Act 2000 </w:t>
      </w:r>
      <w:r w:rsidRPr="00B73E4C">
        <w:t>does not imply that they are</w:t>
      </w:r>
      <w:r>
        <w:t xml:space="preserve"> </w:t>
      </w:r>
      <w:r w:rsidRPr="00B73E4C">
        <w:t xml:space="preserve">performing a public function. If anything, according to Lord </w:t>
      </w:r>
      <w:proofErr w:type="spellStart"/>
      <w:r w:rsidRPr="00B73E4C">
        <w:t>Mance</w:t>
      </w:r>
      <w:proofErr w:type="spellEnd"/>
      <w:r w:rsidRPr="00B73E4C">
        <w:t>, [116] it implies the contrary.</w:t>
      </w:r>
    </w:p>
    <w:p w:rsidR="00B73E4C" w:rsidRPr="00B73E4C" w:rsidRDefault="00B73E4C" w:rsidP="00B73E4C"/>
    <w:p w:rsidR="00B73E4C" w:rsidRPr="00B73E4C" w:rsidRDefault="00B73E4C" w:rsidP="00B73E4C">
      <w:pPr>
        <w:rPr>
          <w:b/>
          <w:bCs/>
          <w:sz w:val="24"/>
        </w:rPr>
      </w:pPr>
      <w:r w:rsidRPr="00B73E4C">
        <w:rPr>
          <w:b/>
          <w:bCs/>
          <w:sz w:val="24"/>
        </w:rPr>
        <w:t>The Minority</w:t>
      </w:r>
    </w:p>
    <w:p w:rsidR="00B73E4C" w:rsidRPr="00B73E4C" w:rsidRDefault="00B73E4C" w:rsidP="00B73E4C">
      <w:r w:rsidRPr="00B73E4C">
        <w:t xml:space="preserve">In a relatively short judgment, Lord Bingham applied the </w:t>
      </w:r>
      <w:r w:rsidRPr="00B73E4C">
        <w:rPr>
          <w:i/>
          <w:iCs/>
        </w:rPr>
        <w:t xml:space="preserve">Aston </w:t>
      </w:r>
      <w:proofErr w:type="spellStart"/>
      <w:r w:rsidRPr="00B73E4C">
        <w:rPr>
          <w:i/>
          <w:iCs/>
        </w:rPr>
        <w:t>Cantlow</w:t>
      </w:r>
      <w:proofErr w:type="spellEnd"/>
      <w:r w:rsidRPr="00B73E4C">
        <w:rPr>
          <w:i/>
          <w:iCs/>
        </w:rPr>
        <w:t xml:space="preserve"> </w:t>
      </w:r>
      <w:r w:rsidRPr="00B73E4C">
        <w:t>criteria as had the majority, but</w:t>
      </w:r>
      <w:r>
        <w:t xml:space="preserve"> </w:t>
      </w:r>
      <w:r w:rsidRPr="00B73E4C">
        <w:t>doing so compelled him to the opposite conclusion. [4–10] For him, for example, the distinction between</w:t>
      </w:r>
      <w:r>
        <w:t xml:space="preserve"> </w:t>
      </w:r>
      <w:r w:rsidRPr="00B73E4C">
        <w:t>‘arranging’ and ‘providing’ on which the majority had placed so much emphasis, was ‘not…very</w:t>
      </w:r>
      <w:r>
        <w:t xml:space="preserve"> </w:t>
      </w:r>
      <w:r w:rsidRPr="00B73E4C">
        <w:t>significant’ [16] because for Parliament the important thing is that necessary accommodation and care is</w:t>
      </w:r>
      <w:r>
        <w:t xml:space="preserve"> </w:t>
      </w:r>
      <w:r w:rsidRPr="00B73E4C">
        <w:t>provided ‘but the means of doing so is treated as, in itself, unimportant’. [16] What matters is that ‘By</w:t>
      </w:r>
      <w:r>
        <w:t xml:space="preserve"> </w:t>
      </w:r>
      <w:r w:rsidRPr="00B73E4C">
        <w:t>one means or another the function of providing residential care is one which must be performed’. [16]</w:t>
      </w:r>
      <w:r>
        <w:t xml:space="preserve"> </w:t>
      </w:r>
      <w:r w:rsidRPr="00B73E4C">
        <w:t>Also significant was the detailed statutory and regulatory control of providers, [17] and the fact that the</w:t>
      </w:r>
      <w:r>
        <w:t xml:space="preserve"> </w:t>
      </w:r>
      <w:r w:rsidRPr="00B73E4C">
        <w:t>state would pay if the service user was unable to do so, as ‘It is indicative of a function being public that</w:t>
      </w:r>
      <w:r>
        <w:t xml:space="preserve"> </w:t>
      </w:r>
      <w:proofErr w:type="spellStart"/>
      <w:r w:rsidRPr="00B73E4C">
        <w:t>the</w:t>
      </w:r>
      <w:proofErr w:type="spellEnd"/>
      <w:r w:rsidRPr="00B73E4C">
        <w:t xml:space="preserve"> are public are, if need be, bound to pay for it to be performed’. [18] In his view, a consideration of the</w:t>
      </w:r>
      <w:r>
        <w:t xml:space="preserve"> </w:t>
      </w:r>
      <w:r w:rsidRPr="00B73E4C">
        <w:t>context did not point towards the importance of commercial principles, but rather towards the</w:t>
      </w:r>
      <w:r>
        <w:t xml:space="preserve"> </w:t>
      </w:r>
      <w:r w:rsidRPr="00B73E4C">
        <w:t>vulnerability of those who have recourse to care home accommodation, and the risks that such</w:t>
      </w:r>
      <w:r>
        <w:t xml:space="preserve"> </w:t>
      </w:r>
      <w:r w:rsidRPr="00B73E4C">
        <w:t>vulnerability might leave residents open to abuse. For Lord Bingham ‘These risks would have been well</w:t>
      </w:r>
      <w:r>
        <w:t xml:space="preserve"> </w:t>
      </w:r>
      <w:r w:rsidRPr="00B73E4C">
        <w:t>understood by Parliament when it passed the 1998 Act… it can scarcely be supposed that residents of</w:t>
      </w:r>
      <w:r>
        <w:t xml:space="preserve"> </w:t>
      </w:r>
      <w:r w:rsidRPr="00B73E4C">
        <w:t>privately run care homes, placed in such homes pursuant to sections 21 and 26 of the 1948 Act, would</w:t>
      </w:r>
      <w:r>
        <w:t xml:space="preserve"> </w:t>
      </w:r>
      <w:r w:rsidRPr="00B73E4C">
        <w:t>be unprotected’. [19] In particular, section 6(3)(b) was in his view ‘clearly drafted’ [19] to ensure that the</w:t>
      </w:r>
      <w:r>
        <w:t xml:space="preserve"> </w:t>
      </w:r>
      <w:r w:rsidRPr="00B73E4C">
        <w:t>modern policy of contracting out did not alter the broader policy on the provision of residential care</w:t>
      </w:r>
      <w:r>
        <w:t xml:space="preserve"> </w:t>
      </w:r>
      <w:r w:rsidRPr="00B73E4C">
        <w:t>which, ‘for the past 60 years or so… has been recognised as the ultimate responsibility of the state’. [15]</w:t>
      </w:r>
    </w:p>
    <w:p w:rsidR="00B73E4C" w:rsidRPr="00B73E4C" w:rsidRDefault="00B73E4C" w:rsidP="00B73E4C">
      <w:r w:rsidRPr="00B73E4C">
        <w:t xml:space="preserve">Baroness Hale also applied the </w:t>
      </w:r>
      <w:r w:rsidRPr="00B73E4C">
        <w:rPr>
          <w:i/>
          <w:iCs/>
        </w:rPr>
        <w:t xml:space="preserve">Aston </w:t>
      </w:r>
      <w:proofErr w:type="spellStart"/>
      <w:r w:rsidRPr="00B73E4C">
        <w:rPr>
          <w:i/>
          <w:iCs/>
        </w:rPr>
        <w:t>Cantlow</w:t>
      </w:r>
      <w:proofErr w:type="spellEnd"/>
      <w:r w:rsidRPr="00B73E4C">
        <w:rPr>
          <w:i/>
          <w:iCs/>
        </w:rPr>
        <w:t xml:space="preserve"> </w:t>
      </w:r>
      <w:r w:rsidRPr="00B73E4C">
        <w:t>criteria, and like Lord Bingham, found that they ‘tell</w:t>
      </w:r>
      <w:r>
        <w:t xml:space="preserve"> </w:t>
      </w:r>
      <w:r w:rsidRPr="00B73E4C">
        <w:t>heavily in favour of section 6(3</w:t>
      </w:r>
      <w:proofErr w:type="gramStart"/>
      <w:r w:rsidRPr="00B73E4C">
        <w:t>)(</w:t>
      </w:r>
      <w:proofErr w:type="gramEnd"/>
      <w:r w:rsidRPr="00B73E4C">
        <w:t>b) applying in this case’. [65] The salient points for the Baroness were</w:t>
      </w:r>
      <w:r>
        <w:t xml:space="preserve"> </w:t>
      </w:r>
      <w:r w:rsidRPr="00B73E4C">
        <w:t>that the state has undertaken responsibility for ensuring that the services in the 1948 Act are provided,</w:t>
      </w:r>
      <w:r>
        <w:t xml:space="preserve"> </w:t>
      </w:r>
      <w:r w:rsidRPr="00B73E4C">
        <w:t>and in her view that renders it ‘artificial and legalistic to draw a distinction between meeting those needs</w:t>
      </w:r>
      <w:r>
        <w:t xml:space="preserve"> </w:t>
      </w:r>
      <w:r w:rsidRPr="00B73E4C">
        <w:t>and the task of assessing and arranging them’. [66] The public interest in having these functions carried</w:t>
      </w:r>
      <w:r>
        <w:t xml:space="preserve"> </w:t>
      </w:r>
      <w:r w:rsidRPr="00B73E4C">
        <w:t>out, and the fact that they are, where necessary, publicly funded were also telling factors, [67, 68] as was</w:t>
      </w:r>
      <w:r>
        <w:t xml:space="preserve"> </w:t>
      </w:r>
      <w:r w:rsidRPr="00B73E4C">
        <w:t xml:space="preserve">the possibility that any person in receipt of residential care and </w:t>
      </w:r>
      <w:r w:rsidRPr="00B73E4C">
        <w:lastRenderedPageBreak/>
        <w:t>accommodation by reason of mental</w:t>
      </w:r>
      <w:r w:rsidR="003F12BD">
        <w:t xml:space="preserve"> </w:t>
      </w:r>
      <w:r w:rsidRPr="00B73E4C">
        <w:t>disorder (such as Alzheimer’s disease) is ‘potentially vulnerable to detention under section 5 of the</w:t>
      </w:r>
      <w:r w:rsidR="003F12BD">
        <w:t xml:space="preserve"> </w:t>
      </w:r>
      <w:r w:rsidRPr="00B73E4C">
        <w:t>Mental Health Act 1983’, [69] and ‘The use or potential use of statutory coercive powers is a powerful</w:t>
      </w:r>
      <w:r w:rsidR="003F12BD">
        <w:t xml:space="preserve"> </w:t>
      </w:r>
      <w:r w:rsidRPr="00B73E4C">
        <w:t>consideration in favour of this being a public function’. [70] The fact that some people make and fund</w:t>
      </w:r>
      <w:r w:rsidR="003F12BD">
        <w:t xml:space="preserve"> </w:t>
      </w:r>
      <w:r w:rsidRPr="00B73E4C">
        <w:t>their own arrangements for care and accommodation does not mean that when others avail themselves</w:t>
      </w:r>
      <w:r w:rsidR="003F12BD">
        <w:t xml:space="preserve"> </w:t>
      </w:r>
      <w:r w:rsidRPr="00B73E4C">
        <w:t>of the state’s willingness to undertake responsibility the state should be relieved of its obligations,</w:t>
      </w:r>
      <w:r w:rsidR="003F12BD">
        <w:t xml:space="preserve"> </w:t>
      </w:r>
      <w:r w:rsidRPr="00B73E4C">
        <w:t>including those voluntarily accepted under the terms of the Convention. In summary, this meant that SC</w:t>
      </w:r>
      <w:r w:rsidR="003F12BD">
        <w:t xml:space="preserve"> </w:t>
      </w:r>
      <w:r w:rsidRPr="00B73E4C">
        <w:t>was performing a function of a public nature and its acts in pursuit of this function were also public. [73]</w:t>
      </w:r>
    </w:p>
    <w:p w:rsidR="003F12BD" w:rsidRPr="003F12BD" w:rsidRDefault="00B73E4C" w:rsidP="003F12BD">
      <w:r w:rsidRPr="00B73E4C">
        <w:t>For Baroness Hale this analysis of section 6(3</w:t>
      </w:r>
      <w:proofErr w:type="gramStart"/>
      <w:r w:rsidRPr="00B73E4C">
        <w:t>)(</w:t>
      </w:r>
      <w:proofErr w:type="gramEnd"/>
      <w:r w:rsidRPr="00B73E4C">
        <w:t>b) chimed with its intended purpose. She referred,</w:t>
      </w:r>
      <w:r w:rsidR="003F12BD">
        <w:t xml:space="preserve"> </w:t>
      </w:r>
      <w:r w:rsidRPr="00B73E4C">
        <w:t>amongst other things, to the White Paper that preceded the 1998 Act,</w:t>
      </w:r>
      <w:r w:rsidR="003F12BD">
        <w:rPr>
          <w:rStyle w:val="FootnoteReference"/>
        </w:rPr>
        <w:footnoteReference w:id="11"/>
      </w:r>
      <w:r w:rsidRPr="00B73E4C">
        <w:t xml:space="preserve"> which provided that it was the</w:t>
      </w:r>
      <w:r w:rsidR="003F12BD">
        <w:t xml:space="preserve"> </w:t>
      </w:r>
      <w:r w:rsidRPr="00B73E4C">
        <w:t>Government’s intention that the Act should apply to ‘companies responsible for areas of activity which</w:t>
      </w:r>
      <w:r w:rsidR="003F12BD">
        <w:t xml:space="preserve"> </w:t>
      </w:r>
      <w:r w:rsidRPr="00B73E4C">
        <w:t>were previously within the public sector’, [54] and to the explanation of the scope of the legislation as it</w:t>
      </w:r>
      <w:r w:rsidR="003F12BD">
        <w:t xml:space="preserve"> </w:t>
      </w:r>
      <w:r w:rsidRPr="00B73E4C">
        <w:t>made its way through the legislative process given in Parliament by the then-Home Secretary Jack Straw,</w:t>
      </w:r>
      <w:r w:rsidR="003F12BD">
        <w:t xml:space="preserve"> </w:t>
      </w:r>
      <w:r w:rsidR="003F12BD" w:rsidRPr="003F12BD">
        <w:t>who said</w:t>
      </w:r>
      <w:r w:rsidR="003F12BD">
        <w:rPr>
          <w:rStyle w:val="FootnoteReference"/>
        </w:rPr>
        <w:footnoteReference w:id="12"/>
      </w:r>
      <w:r w:rsidR="003F12BD" w:rsidRPr="003F12BD">
        <w:t xml:space="preserve"> that the Human Rights Act utilised a definition of a public authority which ‘took account of</w:t>
      </w:r>
      <w:r w:rsidR="003F12BD">
        <w:t xml:space="preserve"> </w:t>
      </w:r>
      <w:r w:rsidR="003F12BD" w:rsidRPr="003F12BD">
        <w:t>the fact that, over the past 20 years, an increasingly large number of private bodies, such as companies or</w:t>
      </w:r>
      <w:r w:rsidR="003F12BD">
        <w:t xml:space="preserve"> </w:t>
      </w:r>
      <w:r w:rsidR="003F12BD" w:rsidRPr="003F12BD">
        <w:t xml:space="preserve">charities, have come to exercise </w:t>
      </w:r>
      <w:r w:rsidR="003F12BD" w:rsidRPr="003F12BD">
        <w:rPr>
          <w:i/>
          <w:iCs/>
        </w:rPr>
        <w:t xml:space="preserve">public functions </w:t>
      </w:r>
      <w:r w:rsidR="003F12BD" w:rsidRPr="003F12BD">
        <w:t>that were previously exercised by public authorities’ (my</w:t>
      </w:r>
      <w:r w:rsidR="003F12BD">
        <w:t xml:space="preserve"> </w:t>
      </w:r>
      <w:r w:rsidR="003F12BD" w:rsidRPr="003F12BD">
        <w:t>emphasis).</w:t>
      </w:r>
    </w:p>
    <w:p w:rsidR="003F12BD" w:rsidRDefault="003F12BD" w:rsidP="003F12BD">
      <w:pPr>
        <w:rPr>
          <w:b/>
          <w:bCs/>
        </w:rPr>
      </w:pPr>
    </w:p>
    <w:p w:rsidR="003F12BD" w:rsidRPr="003F12BD" w:rsidRDefault="003F12BD" w:rsidP="003F12BD">
      <w:pPr>
        <w:rPr>
          <w:b/>
          <w:bCs/>
          <w:sz w:val="24"/>
        </w:rPr>
      </w:pPr>
      <w:r w:rsidRPr="003F12BD">
        <w:rPr>
          <w:b/>
          <w:bCs/>
          <w:sz w:val="24"/>
        </w:rPr>
        <w:t>Discussion</w:t>
      </w:r>
    </w:p>
    <w:p w:rsidR="003F12BD" w:rsidRPr="003F12BD" w:rsidRDefault="003F12BD" w:rsidP="003F12BD">
      <w:r w:rsidRPr="003F12BD">
        <w:t>When the House of Lords decides a case by a majority of one it is as a general rule fair to assume (</w:t>
      </w:r>
      <w:proofErr w:type="spellStart"/>
      <w:r w:rsidRPr="003F12BD">
        <w:t>i</w:t>
      </w:r>
      <w:proofErr w:type="spellEnd"/>
      <w:r w:rsidRPr="003F12BD">
        <w:t>) that</w:t>
      </w:r>
      <w:r>
        <w:t xml:space="preserve"> </w:t>
      </w:r>
      <w:r w:rsidRPr="003F12BD">
        <w:t>the case could have gone either way, and (ii) the fact that it went one way and not the other is more a</w:t>
      </w:r>
      <w:r>
        <w:t xml:space="preserve"> </w:t>
      </w:r>
      <w:r w:rsidRPr="003F12BD">
        <w:t>matter of preference and politics than of legal interpretation. Indeed, something very close to this was</w:t>
      </w:r>
      <w:r>
        <w:t xml:space="preserve"> </w:t>
      </w:r>
      <w:r w:rsidRPr="003F12BD">
        <w:t xml:space="preserve">frankly admitted by Lord Neuberger. [128] </w:t>
      </w:r>
      <w:proofErr w:type="gramStart"/>
      <w:r w:rsidRPr="003F12BD">
        <w:t>And</w:t>
      </w:r>
      <w:proofErr w:type="gramEnd"/>
      <w:r w:rsidRPr="003F12BD">
        <w:t xml:space="preserve"> if this is so, then the judicial recourse to statutes,</w:t>
      </w:r>
      <w:r>
        <w:t xml:space="preserve"> </w:t>
      </w:r>
      <w:r w:rsidRPr="003F12BD">
        <w:t>precedent, and principle is to engage more in rhetoric than in logic or objective analysis. This much, I</w:t>
      </w:r>
      <w:r>
        <w:t xml:space="preserve"> </w:t>
      </w:r>
      <w:r w:rsidRPr="003F12BD">
        <w:t xml:space="preserve">would suggest, is evident from the very different use made by the majority and the minority of the </w:t>
      </w:r>
      <w:r w:rsidRPr="003F12BD">
        <w:rPr>
          <w:i/>
          <w:iCs/>
        </w:rPr>
        <w:t>Aston</w:t>
      </w:r>
      <w:r>
        <w:rPr>
          <w:i/>
          <w:iCs/>
        </w:rPr>
        <w:t xml:space="preserve"> </w:t>
      </w:r>
      <w:proofErr w:type="spellStart"/>
      <w:r w:rsidRPr="003F12BD">
        <w:rPr>
          <w:i/>
          <w:iCs/>
        </w:rPr>
        <w:t>Cantlow</w:t>
      </w:r>
      <w:proofErr w:type="spellEnd"/>
      <w:r w:rsidRPr="003F12BD">
        <w:rPr>
          <w:i/>
          <w:iCs/>
        </w:rPr>
        <w:t xml:space="preserve"> </w:t>
      </w:r>
      <w:r w:rsidRPr="003F12BD">
        <w:t>criteria, which seems to suggest that meaning is imposed on, rather than residing in, section 6 of</w:t>
      </w:r>
      <w:r>
        <w:t xml:space="preserve"> </w:t>
      </w:r>
      <w:r w:rsidRPr="003F12BD">
        <w:t>the 1998 Act, and the difference of approach is explicable in terms of the underlying sympathies of the</w:t>
      </w:r>
      <w:r>
        <w:t xml:space="preserve"> </w:t>
      </w:r>
      <w:r w:rsidRPr="003F12BD">
        <w:t>members of the House.</w:t>
      </w:r>
    </w:p>
    <w:p w:rsidR="003F12BD" w:rsidRPr="003F12BD" w:rsidRDefault="003F12BD" w:rsidP="003F12BD">
      <w:r w:rsidRPr="003F12BD">
        <w:t>Lord Bingham, as noted above, situated his judgment in the context of the 60-year history of the welfare</w:t>
      </w:r>
      <w:r>
        <w:t xml:space="preserve"> </w:t>
      </w:r>
      <w:r w:rsidRPr="003F12BD">
        <w:t>state, and Baroness Hale similarly spent quite some time discussing the history of the 1948 Act, the</w:t>
      </w:r>
      <w:r>
        <w:t xml:space="preserve"> </w:t>
      </w:r>
      <w:r w:rsidRPr="003F12BD">
        <w:t>welfare state more generally, and the philosophy behind it. [49–53] Their conclusion on the law was</w:t>
      </w:r>
      <w:r>
        <w:t xml:space="preserve"> </w:t>
      </w:r>
      <w:r w:rsidRPr="003F12BD">
        <w:t xml:space="preserve">rooted in that </w:t>
      </w:r>
      <w:proofErr w:type="spellStart"/>
      <w:r w:rsidRPr="003F12BD">
        <w:t>welfarist</w:t>
      </w:r>
      <w:proofErr w:type="spellEnd"/>
      <w:r w:rsidRPr="003F12BD">
        <w:t xml:space="preserve"> history. The majority, by contrast, had their eyes firmly on the present. Lord</w:t>
      </w:r>
      <w:r>
        <w:t xml:space="preserve"> </w:t>
      </w:r>
      <w:proofErr w:type="spellStart"/>
      <w:r w:rsidRPr="003F12BD">
        <w:t>Mance</w:t>
      </w:r>
      <w:proofErr w:type="spellEnd"/>
      <w:r w:rsidRPr="003F12BD">
        <w:t>, although seeing fit, tellingly, to refer approvingly to the famous historical figure and advocate of</w:t>
      </w:r>
      <w:r>
        <w:t xml:space="preserve"> </w:t>
      </w:r>
      <w:r w:rsidRPr="003F12BD">
        <w:t>the free market, Adam Smith, [105] cut the modern law off from its history (still evident on the face of</w:t>
      </w:r>
      <w:r>
        <w:t xml:space="preserve"> </w:t>
      </w:r>
      <w:r w:rsidRPr="003F12BD">
        <w:t>the legislation: section 21 of the 1948 Act continues to be headed ‘Duty of local authorities to provide</w:t>
      </w:r>
      <w:r>
        <w:t xml:space="preserve"> </w:t>
      </w:r>
      <w:r w:rsidRPr="003F12BD">
        <w:t>accommodation’ for example), holding that ‘it is appropriate to focus on the modern form of the 1948</w:t>
      </w:r>
      <w:r>
        <w:t xml:space="preserve"> </w:t>
      </w:r>
      <w:r w:rsidRPr="003F12BD">
        <w:t>Act’ [114], and was concerned that to impose ‘public authority’ status on privately run care homes ‘fit[s]</w:t>
      </w:r>
      <w:r>
        <w:t xml:space="preserve"> </w:t>
      </w:r>
      <w:r w:rsidRPr="003F12BD">
        <w:t>in my view uneasily with the ordinary private law freedom to carry on operations under agreed</w:t>
      </w:r>
      <w:r>
        <w:t xml:space="preserve"> </w:t>
      </w:r>
      <w:r w:rsidRPr="003F12BD">
        <w:t xml:space="preserve">contractual terms’. [116] In other words, his approach is </w:t>
      </w:r>
      <w:r w:rsidRPr="003F12BD">
        <w:lastRenderedPageBreak/>
        <w:t>underpinned by an affiliation to free market</w:t>
      </w:r>
      <w:r>
        <w:t xml:space="preserve"> </w:t>
      </w:r>
      <w:r w:rsidRPr="003F12BD">
        <w:t>principles, and rests on his view that ‘I do not regard the actual provision… of care and</w:t>
      </w:r>
      <w:r>
        <w:t xml:space="preserve"> </w:t>
      </w:r>
      <w:r w:rsidRPr="003F12BD">
        <w:t>accommodation… as an inherently governmental function’, [115] a sentence which contains a</w:t>
      </w:r>
      <w:r>
        <w:t xml:space="preserve"> </w:t>
      </w:r>
      <w:r w:rsidRPr="003F12BD">
        <w:t>conclusion which functions also as a point of departure or which, in other words, is entirely circular and</w:t>
      </w:r>
      <w:r>
        <w:t xml:space="preserve"> </w:t>
      </w:r>
      <w:r w:rsidRPr="003F12BD">
        <w:t xml:space="preserve">self-serving. I do not mean to single out Lord </w:t>
      </w:r>
      <w:proofErr w:type="spellStart"/>
      <w:r w:rsidRPr="003F12BD">
        <w:t>Mance</w:t>
      </w:r>
      <w:proofErr w:type="spellEnd"/>
      <w:r w:rsidRPr="003F12BD">
        <w:t xml:space="preserve"> in particular: rather my point is that the same is true</w:t>
      </w:r>
      <w:r>
        <w:t xml:space="preserve"> </w:t>
      </w:r>
      <w:r w:rsidRPr="003F12BD">
        <w:t>of all the Opinions handed down, both by the majority and the minority.</w:t>
      </w:r>
      <w:r>
        <w:t xml:space="preserve"> </w:t>
      </w:r>
    </w:p>
    <w:p w:rsidR="003F12BD" w:rsidRPr="003F12BD" w:rsidRDefault="003F12BD" w:rsidP="003F12BD">
      <w:r w:rsidRPr="003F12BD">
        <w:t>There are some points, however, which are less a matter of opinion than others. For the majority, the</w:t>
      </w:r>
      <w:r>
        <w:t xml:space="preserve"> </w:t>
      </w:r>
      <w:r w:rsidRPr="003F12BD">
        <w:t>outcome was not a defeat for human rights because of the clause in the service provision contract</w:t>
      </w:r>
      <w:r>
        <w:t xml:space="preserve"> </w:t>
      </w:r>
      <w:r w:rsidRPr="003F12BD">
        <w:t>between the LA and SC which obliged SC to act at all times in a way compatible with the human rights</w:t>
      </w:r>
      <w:r>
        <w:t xml:space="preserve"> </w:t>
      </w:r>
      <w:r w:rsidRPr="003F12BD">
        <w:t>of those placed in its care by the LA. Lord Scott, pointing out that ‘No one has suggested that the</w:t>
      </w:r>
      <w:r>
        <w:t xml:space="preserve"> </w:t>
      </w:r>
      <w:r w:rsidRPr="003F12BD">
        <w:t>contractual arrangements [in this case] are not typical’, held that in the light of those terms there is ‘no</w:t>
      </w:r>
      <w:r>
        <w:t xml:space="preserve"> </w:t>
      </w:r>
      <w:r w:rsidRPr="003F12BD">
        <w:t>need to depart from the ordinary meaning of “functions of a public nature” in order to provide extra</w:t>
      </w:r>
      <w:r>
        <w:t xml:space="preserve"> </w:t>
      </w:r>
      <w:r w:rsidRPr="003F12BD">
        <w:t>protection to YL and those like her’ (note the clever sentence construction, with its self-serving use of</w:t>
      </w:r>
      <w:r>
        <w:t xml:space="preserve"> </w:t>
      </w:r>
      <w:r w:rsidRPr="003F12BD">
        <w:t>the word ‘ordinary’) as ‘any breach by Southern Cross of YL’s Convention rights would give YL a cause of</w:t>
      </w:r>
      <w:r>
        <w:t xml:space="preserve"> </w:t>
      </w:r>
      <w:r w:rsidRPr="003F12BD">
        <w:t>action for breach of contract under ordinary domestic law’. [32] However, not only are there significant</w:t>
      </w:r>
      <w:r>
        <w:t xml:space="preserve"> </w:t>
      </w:r>
      <w:r w:rsidRPr="003F12BD">
        <w:t>doubts about the degree to which such a term, in the contract between the LA and SC, is enforceable by</w:t>
      </w:r>
      <w:r>
        <w:t xml:space="preserve"> </w:t>
      </w:r>
      <w:r w:rsidRPr="003F12BD">
        <w:t xml:space="preserve">a third party, here YL, notwithstanding the passage of the </w:t>
      </w:r>
      <w:r w:rsidRPr="003F12BD">
        <w:rPr>
          <w:i/>
          <w:iCs/>
        </w:rPr>
        <w:t>Contracts (Rights of Third Parties) Act 1998</w:t>
      </w:r>
      <w:r w:rsidRPr="003F12BD">
        <w:t>,</w:t>
      </w:r>
      <w:r>
        <w:rPr>
          <w:rStyle w:val="FootnoteReference"/>
        </w:rPr>
        <w:footnoteReference w:id="13"/>
      </w:r>
      <w:r>
        <w:t xml:space="preserve"> </w:t>
      </w:r>
      <w:r w:rsidRPr="003F12BD">
        <w:t>but also in contract law the default remedy for breach is damages, which is not obviously the remedy that</w:t>
      </w:r>
      <w:r>
        <w:t xml:space="preserve"> </w:t>
      </w:r>
      <w:r w:rsidRPr="003F12BD">
        <w:t xml:space="preserve">someone in YL’s position would want, and which is remedial rather than preventative, as the </w:t>
      </w:r>
      <w:r w:rsidRPr="003F12BD">
        <w:rPr>
          <w:i/>
          <w:iCs/>
        </w:rPr>
        <w:t>Human</w:t>
      </w:r>
      <w:r>
        <w:rPr>
          <w:i/>
          <w:iCs/>
        </w:rPr>
        <w:t xml:space="preserve"> </w:t>
      </w:r>
      <w:r w:rsidRPr="003F12BD">
        <w:rPr>
          <w:i/>
          <w:iCs/>
        </w:rPr>
        <w:t xml:space="preserve">Rights Act 1998 </w:t>
      </w:r>
      <w:r w:rsidRPr="003F12BD">
        <w:t>is intended to be, and which may on a cost-benefit analysis by a provider be deemed worth</w:t>
      </w:r>
      <w:r>
        <w:t xml:space="preserve"> </w:t>
      </w:r>
      <w:r w:rsidRPr="003F12BD">
        <w:t>paying.</w:t>
      </w:r>
    </w:p>
    <w:p w:rsidR="003F12BD" w:rsidRPr="003F12BD" w:rsidRDefault="003F12BD" w:rsidP="003F12BD">
      <w:r w:rsidRPr="003F12BD">
        <w:t>Moreover, it belies the reality of the position of significantly intellectually disabled and vulnerable clients</w:t>
      </w:r>
      <w:r>
        <w:t xml:space="preserve"> </w:t>
      </w:r>
      <w:r w:rsidRPr="003F12BD">
        <w:t>like YL to imagine that the lodging of a claim for breach of contract will easily be within their</w:t>
      </w:r>
      <w:r>
        <w:t xml:space="preserve"> </w:t>
      </w:r>
      <w:r w:rsidRPr="003F12BD">
        <w:t>competence. The contract model assumes an ‘equality of arms’ (to use the contract lawyer’s tellingly</w:t>
      </w:r>
      <w:r>
        <w:t xml:space="preserve"> </w:t>
      </w:r>
      <w:r w:rsidRPr="003F12BD">
        <w:t>militaristic and conflict-model based metaphor) that is, in reality, often likely to be missing. It is true that</w:t>
      </w:r>
      <w:r>
        <w:t xml:space="preserve"> </w:t>
      </w:r>
      <w:r w:rsidRPr="003F12BD">
        <w:t>a resident in privately provided residential accommodation retains his or her human rights as against the</w:t>
      </w:r>
      <w:r>
        <w:t xml:space="preserve"> </w:t>
      </w:r>
      <w:r w:rsidRPr="003F12BD">
        <w:t>LA which owes them the duty to arrange accommodation, but as Lord Neuberger candidly accepted,</w:t>
      </w:r>
      <w:r>
        <w:t xml:space="preserve"> </w:t>
      </w:r>
      <w:r w:rsidRPr="003F12BD">
        <w:t>these ‘could be of somewhat less value in practice than if they existed against the proprietor’ [149]</w:t>
      </w:r>
      <w:r>
        <w:t xml:space="preserve"> </w:t>
      </w:r>
      <w:r w:rsidRPr="003F12BD">
        <w:t>because, for example, the LA may not be able to prevent actions by the contractor which breach a</w:t>
      </w:r>
      <w:r>
        <w:t xml:space="preserve"> </w:t>
      </w:r>
      <w:r w:rsidRPr="003F12BD">
        <w:t>resident’s Article 8 rights in relation to a particular home, and it will be difficult to show that the action</w:t>
      </w:r>
      <w:r>
        <w:t xml:space="preserve"> </w:t>
      </w:r>
      <w:r w:rsidRPr="003F12BD">
        <w:t>of the LA, in placing a service user in a particular private home, was in breach of Article 8</w:t>
      </w:r>
      <w:r>
        <w:rPr>
          <w:rStyle w:val="FootnoteReference"/>
        </w:rPr>
        <w:footnoteReference w:id="14"/>
      </w:r>
      <w:r w:rsidRPr="003F12BD">
        <w:t>. To put this</w:t>
      </w:r>
      <w:r>
        <w:t xml:space="preserve"> </w:t>
      </w:r>
      <w:r w:rsidRPr="003F12BD">
        <w:t>differently and perhaps more starkly, the effect of the decision in this case is that not only do those</w:t>
      </w:r>
      <w:r>
        <w:t xml:space="preserve"> </w:t>
      </w:r>
      <w:r w:rsidRPr="003F12BD">
        <w:t>accommodated on a contracted-out basis have no Convention rights directly exercisable against those</w:t>
      </w:r>
      <w:r>
        <w:t xml:space="preserve"> </w:t>
      </w:r>
      <w:r w:rsidRPr="003F12BD">
        <w:t>responsible for their care, but also the efficacy of their still existent Convention rights as against the LA</w:t>
      </w:r>
      <w:r>
        <w:t xml:space="preserve"> </w:t>
      </w:r>
      <w:r w:rsidRPr="003F12BD">
        <w:t>is also thereby decreased. This ‘double whammy’ might strike some as problematic.</w:t>
      </w:r>
    </w:p>
    <w:p w:rsidR="003F12BD" w:rsidRPr="003F12BD" w:rsidRDefault="003F12BD" w:rsidP="003F12BD">
      <w:r w:rsidRPr="003F12BD">
        <w:t>The ‘anomaly’ point, relied on by the majority, although not without substance, is itself to an extent</w:t>
      </w:r>
      <w:r>
        <w:t xml:space="preserve"> </w:t>
      </w:r>
      <w:r w:rsidRPr="003F12BD">
        <w:t>anomalous. As discussed above, for the majority it would be anomalous if different residents in the same</w:t>
      </w:r>
      <w:r>
        <w:t xml:space="preserve"> </w:t>
      </w:r>
      <w:r w:rsidRPr="003F12BD">
        <w:t>home had different rights according to their status as LA-funded or self-funded. The majority was of</w:t>
      </w:r>
      <w:r>
        <w:t xml:space="preserve"> </w:t>
      </w:r>
      <w:r w:rsidRPr="003F12BD">
        <w:t xml:space="preserve">course not unaware that its decision created an anomaly of a different kind, between those in </w:t>
      </w:r>
      <w:r w:rsidRPr="003F12BD">
        <w:lastRenderedPageBreak/>
        <w:t>LA</w:t>
      </w:r>
      <w:r>
        <w:t xml:space="preserve"> </w:t>
      </w:r>
      <w:r w:rsidRPr="003F12BD">
        <w:t>provided accommodation who have directly enforceable Convention rights against the managers of their</w:t>
      </w:r>
      <w:r>
        <w:t xml:space="preserve"> </w:t>
      </w:r>
      <w:r w:rsidRPr="003F12BD">
        <w:t>day to day care and those in privately provided accommodation who do not, but for Lord Neuberger, to</w:t>
      </w:r>
      <w:r>
        <w:t xml:space="preserve"> </w:t>
      </w:r>
      <w:r w:rsidRPr="003F12BD">
        <w:t>distinguish between residents in the same home would be ‘rather more of an anomaly’, [169, see also Lord</w:t>
      </w:r>
      <w:r>
        <w:t xml:space="preserve"> </w:t>
      </w:r>
      <w:proofErr w:type="spellStart"/>
      <w:r w:rsidRPr="003F12BD">
        <w:t>Mance</w:t>
      </w:r>
      <w:proofErr w:type="spellEnd"/>
      <w:r w:rsidRPr="003F12BD">
        <w:t xml:space="preserve"> at 119].</w:t>
      </w:r>
    </w:p>
    <w:p w:rsidR="003F12BD" w:rsidRPr="003F12BD" w:rsidRDefault="003F12BD" w:rsidP="003F12BD">
      <w:r w:rsidRPr="003F12BD">
        <w:t>There are two points to be made in response. First, if it has become, or becomes, routine for LAs to write</w:t>
      </w:r>
      <w:r>
        <w:t xml:space="preserve"> </w:t>
      </w:r>
      <w:r w:rsidRPr="003F12BD">
        <w:t>an obligation to protect the human rights of LA-funded residents into their contracts with providers, this</w:t>
      </w:r>
      <w:r>
        <w:t xml:space="preserve"> </w:t>
      </w:r>
      <w:r w:rsidRPr="003F12BD">
        <w:t xml:space="preserve">is likely, as Baroness Hale suggested, </w:t>
      </w:r>
      <w:proofErr w:type="gramStart"/>
      <w:r w:rsidRPr="003F12BD">
        <w:t>to increase</w:t>
      </w:r>
      <w:proofErr w:type="gramEnd"/>
      <w:r w:rsidRPr="003F12BD">
        <w:t xml:space="preserve"> the human rights protection of all residents. Lord </w:t>
      </w:r>
      <w:proofErr w:type="spellStart"/>
      <w:r w:rsidRPr="003F12BD">
        <w:t>Mance</w:t>
      </w:r>
      <w:proofErr w:type="spellEnd"/>
      <w:r>
        <w:t xml:space="preserve"> </w:t>
      </w:r>
      <w:r w:rsidRPr="003F12BD">
        <w:t>suggested that the outcome reached by the minority might mean that self-funders are treated less well</w:t>
      </w:r>
      <w:r>
        <w:t xml:space="preserve"> </w:t>
      </w:r>
      <w:r w:rsidRPr="003F12BD">
        <w:t>than those funded by a LA when it comes to making difficult decisions, for example, about which wing</w:t>
      </w:r>
      <w:r>
        <w:t xml:space="preserve"> </w:t>
      </w:r>
      <w:r w:rsidRPr="003F12BD">
        <w:t>of a home to close [117]. But this is (wrongly) to assume that care homes house residents differentially</w:t>
      </w:r>
      <w:r>
        <w:t xml:space="preserve"> </w:t>
      </w:r>
      <w:r w:rsidRPr="003F12BD">
        <w:t>by reference to the source of their funding, which is simply not the case: as Lord Scott noted, the source</w:t>
      </w:r>
      <w:r>
        <w:t xml:space="preserve"> </w:t>
      </w:r>
      <w:r w:rsidRPr="003F12BD">
        <w:t>of a resident’s funding ‘is of no concern to the care home’. [29] Given this, it is not feasible to have a</w:t>
      </w:r>
      <w:r>
        <w:t xml:space="preserve"> </w:t>
      </w:r>
      <w:r w:rsidRPr="003F12BD">
        <w:t>policy of acting in accordance with the human rights of some but not all residents. It is much easier to</w:t>
      </w:r>
      <w:r>
        <w:t xml:space="preserve"> </w:t>
      </w:r>
      <w:r w:rsidRPr="003F12BD">
        <w:t>construct a policy which applies across the board. This would also neutralise any cost differences as</w:t>
      </w:r>
      <w:r>
        <w:t xml:space="preserve"> </w:t>
      </w:r>
      <w:r w:rsidRPr="003F12BD">
        <w:t>between LA-funded and self-funding residents, as well, of course, as giving due respect to the importance</w:t>
      </w:r>
      <w:r>
        <w:t xml:space="preserve"> </w:t>
      </w:r>
      <w:r w:rsidRPr="003F12BD">
        <w:t>of human rights protection to the vulnerable.</w:t>
      </w:r>
    </w:p>
    <w:p w:rsidR="003F12BD" w:rsidRPr="003F12BD" w:rsidRDefault="003F12BD" w:rsidP="003F12BD">
      <w:r w:rsidRPr="003F12BD">
        <w:t>Secondly, it is disputable which is the greater anomaly in terms of the policy of the 1990 Act, to promote</w:t>
      </w:r>
      <w:r>
        <w:t xml:space="preserve"> </w:t>
      </w:r>
      <w:r w:rsidRPr="003F12BD">
        <w:t>a ‘seamless’ community care service. The position adopted by the minority at least has the virtue that the</w:t>
      </w:r>
      <w:r>
        <w:t xml:space="preserve"> </w:t>
      </w:r>
      <w:r w:rsidRPr="003F12BD">
        <w:t>line is drawn between those in receipt of community care provided by the state and those who are not,</w:t>
      </w:r>
      <w:r>
        <w:t xml:space="preserve"> </w:t>
      </w:r>
      <w:r w:rsidRPr="003F12BD">
        <w:t>whereas the line drawn by the majority renders that policy far from seamless by linking the rights of</w:t>
      </w:r>
      <w:r>
        <w:t xml:space="preserve"> </w:t>
      </w:r>
      <w:r w:rsidRPr="003F12BD">
        <w:t>community care service users to the technical status of their accommodation, as LA or privately provided.</w:t>
      </w:r>
      <w:r>
        <w:t xml:space="preserve"> </w:t>
      </w:r>
      <w:r w:rsidRPr="003F12BD">
        <w:t>This might make sense to a lawyer but I for one would not like to have to explain this situation to a</w:t>
      </w:r>
      <w:r>
        <w:t xml:space="preserve"> </w:t>
      </w:r>
      <w:r w:rsidRPr="003F12BD">
        <w:t>community care service user placed by a LA in private accommodation, for whom these technical</w:t>
      </w:r>
      <w:r>
        <w:t xml:space="preserve"> </w:t>
      </w:r>
      <w:r w:rsidRPr="003F12BD">
        <w:t>questions are, as Baroness Hale rightly observed ‘artificial and legalistic’. [66]</w:t>
      </w:r>
    </w:p>
    <w:p w:rsidR="003F12BD" w:rsidRPr="003F12BD" w:rsidRDefault="003F12BD" w:rsidP="003F12BD">
      <w:r w:rsidRPr="003F12BD">
        <w:t>There were some points on which all members of the House were agreed. Where the performance of a</w:t>
      </w:r>
      <w:r>
        <w:t xml:space="preserve"> </w:t>
      </w:r>
      <w:r w:rsidRPr="003F12BD">
        <w:t>duty owed by a public authority is delegated to a private person or body, the latter will fall within section</w:t>
      </w:r>
      <w:r>
        <w:t xml:space="preserve"> </w:t>
      </w:r>
      <w:r w:rsidRPr="003F12BD">
        <w:t>6(3</w:t>
      </w:r>
      <w:proofErr w:type="gramStart"/>
      <w:r w:rsidRPr="003F12BD">
        <w:t>)(</w:t>
      </w:r>
      <w:proofErr w:type="gramEnd"/>
      <w:r w:rsidRPr="003F12BD">
        <w:t>b). There was also agreement that section 6(3)(b) will also catch a private person or body who is</w:t>
      </w:r>
      <w:r>
        <w:t xml:space="preserve"> </w:t>
      </w:r>
      <w:r w:rsidRPr="003F12BD">
        <w:t>given ‘special statutory powers over residents entitling them to restrain them or to discipline them in some</w:t>
      </w:r>
      <w:r>
        <w:t xml:space="preserve"> </w:t>
      </w:r>
      <w:r w:rsidRPr="003F12BD">
        <w:t>way or to confine them to their rooms or to care home premises’, [Lord Scott at 28] even if there was no</w:t>
      </w:r>
      <w:r>
        <w:t xml:space="preserve"> </w:t>
      </w:r>
      <w:r w:rsidRPr="003F12BD">
        <w:t>unanimity on what might constitute such coercion (for what it’s worth, Baroness Hale’s point, that there</w:t>
      </w:r>
      <w:r>
        <w:t xml:space="preserve"> </w:t>
      </w:r>
      <w:r w:rsidRPr="003F12BD">
        <w:t>is real potential for coercion in the, sometimes implicit, threat of being ‘sectioned’ under section 5 of the</w:t>
      </w:r>
      <w:r>
        <w:t xml:space="preserve"> </w:t>
      </w:r>
      <w:r w:rsidRPr="003F12BD">
        <w:rPr>
          <w:i/>
          <w:iCs/>
        </w:rPr>
        <w:t xml:space="preserve">Mental Health Act 1983 </w:t>
      </w:r>
      <w:r w:rsidRPr="003F12BD">
        <w:t>is absolutely valid, even if the law cannot see the coercion)</w:t>
      </w:r>
      <w:r>
        <w:rPr>
          <w:rStyle w:val="FootnoteReference"/>
        </w:rPr>
        <w:footnoteReference w:id="15"/>
      </w:r>
      <w:r w:rsidRPr="003F12BD">
        <w:t>. Thus, it was</w:t>
      </w:r>
      <w:r>
        <w:t xml:space="preserve"> </w:t>
      </w:r>
      <w:r w:rsidRPr="003F12BD">
        <w:t xml:space="preserve">common ground that privately </w:t>
      </w:r>
      <w:proofErr w:type="gramStart"/>
      <w:r w:rsidRPr="003F12BD">
        <w:t>run</w:t>
      </w:r>
      <w:proofErr w:type="gramEnd"/>
      <w:r w:rsidRPr="003F12BD">
        <w:t xml:space="preserve"> prisons or psychiatric facilities which accept detained patients under</w:t>
      </w:r>
      <w:r>
        <w:t xml:space="preserve"> </w:t>
      </w:r>
      <w:r w:rsidRPr="003F12BD">
        <w:t xml:space="preserve">the </w:t>
      </w:r>
      <w:r w:rsidRPr="003F12BD">
        <w:rPr>
          <w:i/>
          <w:iCs/>
        </w:rPr>
        <w:t>Mental Health Act 1983</w:t>
      </w:r>
      <w:r>
        <w:rPr>
          <w:rStyle w:val="FootnoteReference"/>
          <w:i/>
          <w:iCs/>
        </w:rPr>
        <w:footnoteReference w:id="16"/>
      </w:r>
      <w:r w:rsidRPr="003F12BD">
        <w:t xml:space="preserve"> (or as amended by the new </w:t>
      </w:r>
      <w:r w:rsidRPr="003F12BD">
        <w:rPr>
          <w:i/>
          <w:iCs/>
        </w:rPr>
        <w:t>Mental Health Act 2007</w:t>
      </w:r>
      <w:r w:rsidRPr="003F12BD">
        <w:t>, when in force) are</w:t>
      </w:r>
      <w:r>
        <w:t xml:space="preserve"> </w:t>
      </w:r>
      <w:r w:rsidRPr="003F12BD">
        <w:t>public authorities for this reason. It also seems likely that psychiatrists who refuse to accept a detained</w:t>
      </w:r>
      <w:r>
        <w:t xml:space="preserve"> </w:t>
      </w:r>
      <w:r w:rsidRPr="003F12BD">
        <w:t>patient discharged by a tribunal would be held to be performing functions of a public nature on the same</w:t>
      </w:r>
      <w:r>
        <w:t xml:space="preserve"> </w:t>
      </w:r>
      <w:r w:rsidRPr="003F12BD">
        <w:t>basis</w:t>
      </w:r>
      <w:r>
        <w:rPr>
          <w:rStyle w:val="FootnoteReference"/>
        </w:rPr>
        <w:footnoteReference w:id="17"/>
      </w:r>
      <w:r w:rsidRPr="003F12BD">
        <w:t>.</w:t>
      </w:r>
    </w:p>
    <w:p w:rsidR="003F12BD" w:rsidRPr="003F12BD" w:rsidRDefault="003F12BD" w:rsidP="003F12BD">
      <w:r w:rsidRPr="003F12BD">
        <w:lastRenderedPageBreak/>
        <w:t>Oliver has argued that a test based on the presence of coercive powers is ‘the only workable test for</w:t>
      </w:r>
      <w:r>
        <w:t xml:space="preserve"> </w:t>
      </w:r>
      <w:r w:rsidRPr="003F12BD">
        <w:t>“function of a public nature”’,</w:t>
      </w:r>
      <w:r>
        <w:rPr>
          <w:rStyle w:val="FootnoteReference"/>
        </w:rPr>
        <w:footnoteReference w:id="18"/>
      </w:r>
      <w:r w:rsidRPr="003F12BD">
        <w:t xml:space="preserve"> and it would appear that this is also the view of the majority in YL. This,</w:t>
      </w:r>
      <w:r>
        <w:t xml:space="preserve"> </w:t>
      </w:r>
      <w:r w:rsidRPr="003F12BD">
        <w:t>I would suggest, points to the main objection against the approach of the majority. It is a political not a</w:t>
      </w:r>
      <w:r>
        <w:t xml:space="preserve"> </w:t>
      </w:r>
      <w:r w:rsidRPr="003F12BD">
        <w:t>legal objection, and it is that the majority constructs the state as the locus of coercion but not of care:</w:t>
      </w:r>
      <w:r>
        <w:t xml:space="preserve"> </w:t>
      </w:r>
      <w:r w:rsidRPr="003F12BD">
        <w:t>care, it seems, is a private act, even if performed by a public authority. But is the uncaring state the state</w:t>
      </w:r>
      <w:r>
        <w:t xml:space="preserve"> </w:t>
      </w:r>
      <w:r w:rsidRPr="003F12BD">
        <w:t>we want? I would hope and suggest not.</w:t>
      </w:r>
    </w:p>
    <w:p w:rsidR="00B73E4C" w:rsidRDefault="003F12BD" w:rsidP="003F12BD">
      <w:r w:rsidRPr="003F12BD">
        <w:t xml:space="preserve">Is it worth taking this case to Strasbourg? There is in fact a good deal of discussion of Strasbourg </w:t>
      </w:r>
      <w:proofErr w:type="spellStart"/>
      <w:r w:rsidRPr="003F12BD">
        <w:t>caselaw</w:t>
      </w:r>
      <w:proofErr w:type="spellEnd"/>
      <w:r>
        <w:t xml:space="preserve"> </w:t>
      </w:r>
      <w:r w:rsidRPr="003F12BD">
        <w:t xml:space="preserve">in </w:t>
      </w:r>
      <w:r w:rsidRPr="003F12BD">
        <w:rPr>
          <w:i/>
          <w:iCs/>
        </w:rPr>
        <w:t>YL</w:t>
      </w:r>
      <w:r w:rsidRPr="003F12BD">
        <w:t xml:space="preserve">, particularly on the part of Lord </w:t>
      </w:r>
      <w:proofErr w:type="spellStart"/>
      <w:r w:rsidRPr="003F12BD">
        <w:t>Mance</w:t>
      </w:r>
      <w:proofErr w:type="spellEnd"/>
      <w:r w:rsidRPr="003F12BD">
        <w:t>, and to a lesser extent Lord Neuberger and Baroness Hale,</w:t>
      </w:r>
      <w:r>
        <w:t xml:space="preserve"> </w:t>
      </w:r>
      <w:r w:rsidRPr="003F12BD">
        <w:t xml:space="preserve">because in </w:t>
      </w:r>
      <w:r w:rsidRPr="003F12BD">
        <w:rPr>
          <w:i/>
          <w:iCs/>
        </w:rPr>
        <w:t xml:space="preserve">Aston </w:t>
      </w:r>
      <w:proofErr w:type="spellStart"/>
      <w:r w:rsidRPr="003F12BD">
        <w:rPr>
          <w:i/>
          <w:iCs/>
        </w:rPr>
        <w:t>Cantlow</w:t>
      </w:r>
      <w:proofErr w:type="spellEnd"/>
      <w:r w:rsidRPr="003F12BD">
        <w:rPr>
          <w:i/>
          <w:iCs/>
        </w:rPr>
        <w:t xml:space="preserve"> </w:t>
      </w:r>
      <w:r w:rsidRPr="003F12BD">
        <w:t>the House had held that the 1998 Act was passed to make available in the UK</w:t>
      </w:r>
      <w:r>
        <w:t xml:space="preserve"> </w:t>
      </w:r>
      <w:r w:rsidRPr="003F12BD">
        <w:t>the same, but no greater, rights than would be available in Strasbourg; and hence it should be possible to</w:t>
      </w:r>
      <w:r>
        <w:t xml:space="preserve"> </w:t>
      </w:r>
      <w:r w:rsidRPr="003F12BD">
        <w:t xml:space="preserve">determine the intended reach of section 6(3)(b) by looking at the </w:t>
      </w:r>
      <w:proofErr w:type="spellStart"/>
      <w:r w:rsidRPr="003F12BD">
        <w:t>caselaw</w:t>
      </w:r>
      <w:proofErr w:type="spellEnd"/>
      <w:r w:rsidRPr="003F12BD">
        <w:t xml:space="preserve"> before the European Court of</w:t>
      </w:r>
      <w:r>
        <w:t xml:space="preserve"> </w:t>
      </w:r>
      <w:r w:rsidRPr="003F12BD">
        <w:t xml:space="preserve">Human Rights. Not surprisingly, Lord </w:t>
      </w:r>
      <w:proofErr w:type="spellStart"/>
      <w:r w:rsidRPr="003F12BD">
        <w:t>Mance</w:t>
      </w:r>
      <w:proofErr w:type="spellEnd"/>
      <w:r w:rsidRPr="003F12BD">
        <w:t xml:space="preserve"> and Lord Neuberger found that that </w:t>
      </w:r>
      <w:proofErr w:type="spellStart"/>
      <w:r w:rsidRPr="003F12BD">
        <w:t>caselaw</w:t>
      </w:r>
      <w:proofErr w:type="spellEnd"/>
      <w:r w:rsidRPr="003F12BD">
        <w:t xml:space="preserve"> supported</w:t>
      </w:r>
      <w:r>
        <w:t xml:space="preserve"> </w:t>
      </w:r>
      <w:r w:rsidRPr="003F12BD">
        <w:t>their interpretation of section 6(3</w:t>
      </w:r>
      <w:proofErr w:type="gramStart"/>
      <w:r w:rsidRPr="003F12BD">
        <w:t>)(</w:t>
      </w:r>
      <w:proofErr w:type="gramEnd"/>
      <w:r w:rsidRPr="003F12BD">
        <w:t>b) whilst Baroness Hale found that it supported hers. I do not intend</w:t>
      </w:r>
      <w:r>
        <w:t xml:space="preserve"> </w:t>
      </w:r>
      <w:r w:rsidRPr="003F12BD">
        <w:t>to undertake an analysis of their respective positions here, other than to note that students of mental</w:t>
      </w:r>
      <w:r>
        <w:t xml:space="preserve"> </w:t>
      </w:r>
      <w:r w:rsidRPr="003F12BD">
        <w:t>health law are not strangers to the situation in which an applicant succeeds before the European Court</w:t>
      </w:r>
      <w:r>
        <w:t xml:space="preserve"> </w:t>
      </w:r>
      <w:r w:rsidRPr="003F12BD">
        <w:t>having failed before the House of Lords,</w:t>
      </w:r>
      <w:r>
        <w:rPr>
          <w:rStyle w:val="FootnoteReference"/>
        </w:rPr>
        <w:footnoteReference w:id="19"/>
      </w:r>
      <w:r w:rsidRPr="003F12BD">
        <w:t xml:space="preserve"> and that section 2(1)(a) of the 1998 Act requires the domestic</w:t>
      </w:r>
      <w:r>
        <w:t xml:space="preserve"> </w:t>
      </w:r>
      <w:r w:rsidRPr="003F12BD">
        <w:t>courts to ‘take into account’ the jurisprudence of the Strasbourg court but that does not prevent, as has</w:t>
      </w:r>
      <w:r>
        <w:t xml:space="preserve"> </w:t>
      </w:r>
      <w:r w:rsidRPr="003F12BD">
        <w:t>been accepted as part and parcel of the 1998 Act since its inception, human rights jurisprudence</w:t>
      </w:r>
      <w:r>
        <w:t xml:space="preserve"> </w:t>
      </w:r>
      <w:r w:rsidRPr="003F12BD">
        <w:t>developing more quickly and reaching further in the domestic courts than in Strasbourg.</w:t>
      </w:r>
    </w:p>
    <w:p w:rsidR="003F12BD" w:rsidRDefault="003F12BD" w:rsidP="003F12BD"/>
    <w:p w:rsidR="003F12BD" w:rsidRPr="003F12BD" w:rsidRDefault="003F12BD" w:rsidP="003F12BD">
      <w:pPr>
        <w:rPr>
          <w:b/>
          <w:bCs/>
          <w:sz w:val="24"/>
        </w:rPr>
      </w:pPr>
      <w:r w:rsidRPr="003F12BD">
        <w:rPr>
          <w:b/>
          <w:bCs/>
          <w:sz w:val="24"/>
        </w:rPr>
        <w:t>Concluding Comments</w:t>
      </w:r>
    </w:p>
    <w:p w:rsidR="003F12BD" w:rsidRPr="00B73E4C" w:rsidRDefault="003F12BD" w:rsidP="003F12BD">
      <w:r w:rsidRPr="003F12BD">
        <w:t>Some readers may feel that Baroness Hale’s reference to the intentions of the Government in passing the</w:t>
      </w:r>
      <w:r>
        <w:t xml:space="preserve"> </w:t>
      </w:r>
      <w:r w:rsidRPr="003F12BD">
        <w:t>1998 Act should have been treated as decisive: section 6(3)(b) was intended to catch private care homes</w:t>
      </w:r>
      <w:r>
        <w:t xml:space="preserve"> </w:t>
      </w:r>
      <w:r w:rsidRPr="003F12BD">
        <w:t>and so that it is what the courts should hold. However, the majority avoided addressing this point, holding</w:t>
      </w:r>
      <w:r>
        <w:t xml:space="preserve"> </w:t>
      </w:r>
      <w:r w:rsidRPr="003F12BD">
        <w:t xml:space="preserve">that it had been determined in </w:t>
      </w:r>
      <w:r w:rsidRPr="003F12BD">
        <w:rPr>
          <w:i/>
          <w:iCs/>
        </w:rPr>
        <w:t xml:space="preserve">Aston </w:t>
      </w:r>
      <w:proofErr w:type="spellStart"/>
      <w:r w:rsidRPr="003F12BD">
        <w:rPr>
          <w:i/>
          <w:iCs/>
        </w:rPr>
        <w:t>Cantlow</w:t>
      </w:r>
      <w:proofErr w:type="spellEnd"/>
      <w:r w:rsidRPr="003F12BD">
        <w:rPr>
          <w:i/>
          <w:iCs/>
        </w:rPr>
        <w:t xml:space="preserve"> </w:t>
      </w:r>
      <w:r w:rsidRPr="003F12BD">
        <w:t xml:space="preserve">that reference to </w:t>
      </w:r>
      <w:proofErr w:type="spellStart"/>
      <w:r w:rsidRPr="003F12BD">
        <w:t>Hansard</w:t>
      </w:r>
      <w:proofErr w:type="spellEnd"/>
      <w:r w:rsidRPr="003F12BD">
        <w:t xml:space="preserve"> on this question is not</w:t>
      </w:r>
      <w:r>
        <w:t xml:space="preserve"> </w:t>
      </w:r>
      <w:r w:rsidRPr="003F12BD">
        <w:t>permissible, [89] which gave them the space to arrive at the opposite conclusion. It is unfortunate that</w:t>
      </w:r>
      <w:r>
        <w:t xml:space="preserve"> </w:t>
      </w:r>
      <w:r w:rsidRPr="003F12BD">
        <w:t>such legalistic and technical devices should be deployed in relation to such important matters of social</w:t>
      </w:r>
      <w:r>
        <w:t xml:space="preserve"> </w:t>
      </w:r>
      <w:r w:rsidRPr="003F12BD">
        <w:t>policy. Moreover, it seems arbitrary and anti-democratic that important questions such as this should be</w:t>
      </w:r>
      <w:r>
        <w:t xml:space="preserve"> </w:t>
      </w:r>
      <w:r w:rsidRPr="003F12BD">
        <w:t>left to be decided in an almost random way by the courts. A differently staffed House of Lords may have</w:t>
      </w:r>
      <w:r>
        <w:t xml:space="preserve"> </w:t>
      </w:r>
      <w:r w:rsidRPr="003F12BD">
        <w:t>come down on the side of the minority, and the implications of this case for thousands of care homes and</w:t>
      </w:r>
      <w:r>
        <w:t xml:space="preserve"> </w:t>
      </w:r>
      <w:bookmarkStart w:id="0" w:name="_GoBack"/>
      <w:bookmarkEnd w:id="0"/>
      <w:r w:rsidRPr="003F12BD">
        <w:t>hundreds of thousands of residents in such homes would then have been very different.</w:t>
      </w:r>
    </w:p>
    <w:sectPr w:rsidR="003F12BD" w:rsidRPr="00B73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F5" w:rsidRDefault="009117F5" w:rsidP="009117F5">
      <w:pPr>
        <w:spacing w:after="0" w:line="240" w:lineRule="auto"/>
      </w:pPr>
      <w:r>
        <w:separator/>
      </w:r>
    </w:p>
  </w:endnote>
  <w:endnote w:type="continuationSeparator" w:id="0">
    <w:p w:rsidR="009117F5" w:rsidRDefault="009117F5" w:rsidP="0091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F5" w:rsidRDefault="009117F5" w:rsidP="009117F5">
      <w:pPr>
        <w:spacing w:after="0" w:line="240" w:lineRule="auto"/>
      </w:pPr>
      <w:r>
        <w:separator/>
      </w:r>
    </w:p>
  </w:footnote>
  <w:footnote w:type="continuationSeparator" w:id="0">
    <w:p w:rsidR="009117F5" w:rsidRDefault="009117F5" w:rsidP="009117F5">
      <w:pPr>
        <w:spacing w:after="0" w:line="240" w:lineRule="auto"/>
      </w:pPr>
      <w:r>
        <w:continuationSeparator/>
      </w:r>
    </w:p>
  </w:footnote>
  <w:footnote w:id="1">
    <w:p w:rsidR="009117F5" w:rsidRDefault="009117F5" w:rsidP="009117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Associate Professor, School of Law, Nottingham</w:t>
      </w:r>
      <w:r>
        <w:t xml:space="preserve"> </w:t>
      </w:r>
      <w:r>
        <w:t>University</w:t>
      </w:r>
    </w:p>
  </w:footnote>
  <w:footnote w:id="2">
    <w:p w:rsidR="009117F5" w:rsidRDefault="009117F5" w:rsidP="009117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See Sir William </w:t>
      </w:r>
      <w:proofErr w:type="spellStart"/>
      <w:r>
        <w:t>Beveridge</w:t>
      </w:r>
      <w:proofErr w:type="spellEnd"/>
      <w:r>
        <w:t xml:space="preserve"> (1942) Social Insurance and</w:t>
      </w:r>
      <w:r>
        <w:t xml:space="preserve"> </w:t>
      </w:r>
      <w:r>
        <w:t xml:space="preserve">Allied Services </w:t>
      </w:r>
      <w:proofErr w:type="spellStart"/>
      <w:r>
        <w:t>Cmd</w:t>
      </w:r>
      <w:proofErr w:type="spellEnd"/>
      <w:r>
        <w:t xml:space="preserve"> 6404.</w:t>
      </w:r>
    </w:p>
  </w:footnote>
  <w:footnote w:id="3">
    <w:p w:rsidR="009117F5" w:rsidRDefault="009117F5" w:rsidP="009117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See Bartlett P and R </w:t>
      </w:r>
      <w:proofErr w:type="spellStart"/>
      <w:r>
        <w:t>Sandland</w:t>
      </w:r>
      <w:proofErr w:type="spellEnd"/>
      <w:r>
        <w:t xml:space="preserve"> (2007) Mental Health</w:t>
      </w:r>
      <w:r>
        <w:t xml:space="preserve"> </w:t>
      </w:r>
      <w:r>
        <w:t>Law and Policy (Oxford: OUP, 3rd edition) 66–67.</w:t>
      </w:r>
    </w:p>
  </w:footnote>
  <w:footnote w:id="4">
    <w:p w:rsidR="00B73E4C" w:rsidRPr="00B73E4C" w:rsidRDefault="00B73E4C" w:rsidP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r w:rsidRPr="00B73E4C">
        <w:rPr>
          <w:sz w:val="16"/>
        </w:rPr>
        <w:t>Griffiths R, (1988) Community Care: Agenda for Action</w:t>
      </w:r>
      <w:r w:rsidRPr="00B73E4C">
        <w:rPr>
          <w:sz w:val="16"/>
        </w:rPr>
        <w:t xml:space="preserve"> </w:t>
      </w:r>
      <w:r w:rsidRPr="00B73E4C">
        <w:rPr>
          <w:sz w:val="16"/>
        </w:rPr>
        <w:t>(London: HMSO).</w:t>
      </w:r>
    </w:p>
  </w:footnote>
  <w:footnote w:id="5">
    <w:p w:rsidR="00B73E4C" w:rsidRPr="00B73E4C" w:rsidRDefault="00B73E4C" w:rsidP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r w:rsidRPr="00B73E4C">
        <w:rPr>
          <w:sz w:val="16"/>
        </w:rPr>
        <w:t>Oliver D, (2004) ‘Function of a public nature under the</w:t>
      </w:r>
      <w:r w:rsidRPr="00B73E4C">
        <w:rPr>
          <w:sz w:val="16"/>
        </w:rPr>
        <w:t xml:space="preserve"> </w:t>
      </w:r>
      <w:r w:rsidRPr="00B73E4C">
        <w:rPr>
          <w:sz w:val="16"/>
        </w:rPr>
        <w:t>Human Rights Act’ P.L. (Sum) 329–351 at 336.</w:t>
      </w:r>
    </w:p>
  </w:footnote>
  <w:footnote w:id="6">
    <w:p w:rsidR="00B73E4C" w:rsidRPr="00B73E4C" w:rsidRDefault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proofErr w:type="gramStart"/>
      <w:r w:rsidRPr="00B73E4C">
        <w:rPr>
          <w:sz w:val="16"/>
        </w:rPr>
        <w:t xml:space="preserve">[2001] EWCA </w:t>
      </w:r>
      <w:proofErr w:type="spellStart"/>
      <w:r w:rsidRPr="00B73E4C">
        <w:rPr>
          <w:sz w:val="16"/>
        </w:rPr>
        <w:t>Civ</w:t>
      </w:r>
      <w:proofErr w:type="spellEnd"/>
      <w:r w:rsidRPr="00B73E4C">
        <w:rPr>
          <w:sz w:val="16"/>
        </w:rPr>
        <w:t xml:space="preserve"> 595, [2002] Q.B. 48.</w:t>
      </w:r>
      <w:proofErr w:type="gramEnd"/>
    </w:p>
  </w:footnote>
  <w:footnote w:id="7">
    <w:p w:rsidR="00B73E4C" w:rsidRPr="00B73E4C" w:rsidRDefault="00B73E4C" w:rsidP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r w:rsidRPr="00B73E4C">
        <w:rPr>
          <w:sz w:val="16"/>
        </w:rPr>
        <w:t>The court emphasised that ‘Poplar was created by Tower</w:t>
      </w:r>
      <w:r w:rsidRPr="00B73E4C">
        <w:rPr>
          <w:sz w:val="16"/>
        </w:rPr>
        <w:t xml:space="preserve"> </w:t>
      </w:r>
      <w:r w:rsidRPr="00B73E4C">
        <w:rPr>
          <w:sz w:val="16"/>
        </w:rPr>
        <w:t>Hamlets to take a transfer of local authority housing stock;</w:t>
      </w:r>
      <w:r w:rsidRPr="00B73E4C">
        <w:rPr>
          <w:sz w:val="16"/>
        </w:rPr>
        <w:t xml:space="preserve"> </w:t>
      </w:r>
      <w:r w:rsidRPr="00B73E4C">
        <w:rPr>
          <w:sz w:val="16"/>
        </w:rPr>
        <w:t>five of its board members are also members of Tower</w:t>
      </w:r>
      <w:r w:rsidRPr="00B73E4C">
        <w:rPr>
          <w:sz w:val="16"/>
        </w:rPr>
        <w:t xml:space="preserve"> </w:t>
      </w:r>
      <w:r w:rsidRPr="00B73E4C">
        <w:rPr>
          <w:sz w:val="16"/>
        </w:rPr>
        <w:t>Hamlets; Poplar is subject to the guidance of Tower</w:t>
      </w:r>
      <w:r w:rsidRPr="00B73E4C">
        <w:rPr>
          <w:sz w:val="16"/>
        </w:rPr>
        <w:t xml:space="preserve"> </w:t>
      </w:r>
      <w:r w:rsidRPr="00B73E4C">
        <w:rPr>
          <w:sz w:val="16"/>
        </w:rPr>
        <w:t>Hamlets as to the manner in which it acts towards the</w:t>
      </w:r>
      <w:r w:rsidRPr="00B73E4C">
        <w:rPr>
          <w:sz w:val="16"/>
        </w:rPr>
        <w:t xml:space="preserve"> </w:t>
      </w:r>
      <w:r w:rsidRPr="00B73E4C">
        <w:rPr>
          <w:sz w:val="16"/>
        </w:rPr>
        <w:t>defendant’. [70]</w:t>
      </w:r>
    </w:p>
  </w:footnote>
  <w:footnote w:id="8">
    <w:p w:rsidR="00B73E4C" w:rsidRPr="00B73E4C" w:rsidRDefault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proofErr w:type="gramStart"/>
      <w:r w:rsidRPr="00B73E4C">
        <w:rPr>
          <w:sz w:val="16"/>
        </w:rPr>
        <w:t xml:space="preserve">Op. </w:t>
      </w:r>
      <w:proofErr w:type="spellStart"/>
      <w:r w:rsidRPr="00B73E4C">
        <w:rPr>
          <w:sz w:val="16"/>
        </w:rPr>
        <w:t>cit</w:t>
      </w:r>
      <w:proofErr w:type="spellEnd"/>
      <w:r w:rsidRPr="00B73E4C">
        <w:rPr>
          <w:sz w:val="16"/>
        </w:rPr>
        <w:t>, n.5, at 336.</w:t>
      </w:r>
      <w:proofErr w:type="gramEnd"/>
    </w:p>
  </w:footnote>
  <w:footnote w:id="9">
    <w:p w:rsidR="00B73E4C" w:rsidRPr="00B73E4C" w:rsidRDefault="00B73E4C" w:rsidP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r w:rsidRPr="00B73E4C">
        <w:rPr>
          <w:sz w:val="16"/>
        </w:rPr>
        <w:t>Craig P, (2002) ‘Contracting Out, the Human Rights Act</w:t>
      </w:r>
      <w:r w:rsidRPr="00B73E4C">
        <w:rPr>
          <w:sz w:val="16"/>
        </w:rPr>
        <w:t xml:space="preserve"> </w:t>
      </w:r>
      <w:r w:rsidRPr="00B73E4C">
        <w:rPr>
          <w:sz w:val="16"/>
        </w:rPr>
        <w:t>and the Scope of Judicial Review’ 118(Oct) LQR 551-568 at 556.</w:t>
      </w:r>
    </w:p>
  </w:footnote>
  <w:footnote w:id="10">
    <w:p w:rsidR="00B73E4C" w:rsidRPr="00B73E4C" w:rsidRDefault="00B73E4C">
      <w:pPr>
        <w:pStyle w:val="FootnoteText"/>
        <w:rPr>
          <w:sz w:val="16"/>
        </w:rPr>
      </w:pPr>
      <w:r w:rsidRPr="00B73E4C">
        <w:rPr>
          <w:rStyle w:val="FootnoteReference"/>
          <w:sz w:val="16"/>
        </w:rPr>
        <w:footnoteRef/>
      </w:r>
      <w:r w:rsidRPr="00B73E4C">
        <w:rPr>
          <w:sz w:val="16"/>
        </w:rPr>
        <w:t xml:space="preserve"> </w:t>
      </w:r>
      <w:proofErr w:type="gramStart"/>
      <w:r w:rsidRPr="00B73E4C">
        <w:rPr>
          <w:sz w:val="16"/>
        </w:rPr>
        <w:t>[2004] 1 AC 546.</w:t>
      </w:r>
      <w:proofErr w:type="gramEnd"/>
    </w:p>
  </w:footnote>
  <w:footnote w:id="11">
    <w:p w:rsidR="003F12BD" w:rsidRPr="003F12BD" w:rsidRDefault="003F12BD" w:rsidP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r w:rsidRPr="003F12BD">
        <w:rPr>
          <w:sz w:val="16"/>
        </w:rPr>
        <w:t>Home Office (1997) Rights Brought Home: the Human</w:t>
      </w:r>
      <w:r w:rsidRPr="003F12BD">
        <w:rPr>
          <w:sz w:val="16"/>
        </w:rPr>
        <w:t xml:space="preserve"> </w:t>
      </w:r>
      <w:r w:rsidRPr="003F12BD">
        <w:rPr>
          <w:sz w:val="16"/>
        </w:rPr>
        <w:t>Rights Bill Cm 3782.</w:t>
      </w:r>
    </w:p>
  </w:footnote>
  <w:footnote w:id="12">
    <w:p w:rsidR="003F12BD" w:rsidRPr="003F12BD" w:rsidRDefault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proofErr w:type="spellStart"/>
      <w:r w:rsidRPr="003F12BD">
        <w:rPr>
          <w:sz w:val="16"/>
        </w:rPr>
        <w:t>Hansard</w:t>
      </w:r>
      <w:proofErr w:type="spellEnd"/>
      <w:r w:rsidRPr="003F12BD">
        <w:rPr>
          <w:sz w:val="16"/>
        </w:rPr>
        <w:t xml:space="preserve"> (HC) 16 February 1998, column 773.</w:t>
      </w:r>
    </w:p>
  </w:footnote>
  <w:footnote w:id="13">
    <w:p w:rsidR="003F12BD" w:rsidRPr="003F12BD" w:rsidRDefault="003F12BD" w:rsidP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r w:rsidRPr="003F12BD">
        <w:rPr>
          <w:sz w:val="16"/>
        </w:rPr>
        <w:t>Donnelly, C (2005) ‘Leonard Cheshire Again and</w:t>
      </w:r>
      <w:r w:rsidRPr="003F12BD">
        <w:rPr>
          <w:sz w:val="16"/>
        </w:rPr>
        <w:t xml:space="preserve"> </w:t>
      </w:r>
      <w:r w:rsidRPr="003F12BD">
        <w:rPr>
          <w:sz w:val="16"/>
        </w:rPr>
        <w:t>Beyond: Private Contractors, Contract and S. 6(3</w:t>
      </w:r>
      <w:proofErr w:type="gramStart"/>
      <w:r w:rsidRPr="003F12BD">
        <w:rPr>
          <w:sz w:val="16"/>
        </w:rPr>
        <w:t>)(</w:t>
      </w:r>
      <w:proofErr w:type="gramEnd"/>
      <w:r w:rsidRPr="003F12BD">
        <w:rPr>
          <w:sz w:val="16"/>
        </w:rPr>
        <w:t>b) of</w:t>
      </w:r>
      <w:r w:rsidRPr="003F12BD">
        <w:rPr>
          <w:sz w:val="16"/>
        </w:rPr>
        <w:t xml:space="preserve"> </w:t>
      </w:r>
      <w:r w:rsidRPr="003F12BD">
        <w:rPr>
          <w:sz w:val="16"/>
        </w:rPr>
        <w:t>the Human Rights Act’ P.L. (Win) 785–805.</w:t>
      </w:r>
    </w:p>
  </w:footnote>
  <w:footnote w:id="14">
    <w:p w:rsidR="003F12BD" w:rsidRPr="003F12BD" w:rsidRDefault="003F12BD" w:rsidP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r w:rsidRPr="003F12BD">
        <w:rPr>
          <w:sz w:val="16"/>
        </w:rPr>
        <w:t>R (Heather) v Leonard Cheshire Foundation [2002]</w:t>
      </w:r>
      <w:r w:rsidRPr="003F12BD">
        <w:rPr>
          <w:sz w:val="16"/>
        </w:rPr>
        <w:t xml:space="preserve"> </w:t>
      </w:r>
      <w:r w:rsidRPr="003F12BD">
        <w:rPr>
          <w:sz w:val="16"/>
        </w:rPr>
        <w:t xml:space="preserve">EWCA </w:t>
      </w:r>
      <w:proofErr w:type="spellStart"/>
      <w:r w:rsidRPr="003F12BD">
        <w:rPr>
          <w:sz w:val="16"/>
        </w:rPr>
        <w:t>Civ</w:t>
      </w:r>
      <w:proofErr w:type="spellEnd"/>
      <w:r w:rsidRPr="003F12BD">
        <w:rPr>
          <w:sz w:val="16"/>
        </w:rPr>
        <w:t xml:space="preserve"> 366; [2002] 2 All E.R. 936 provides an</w:t>
      </w:r>
      <w:r w:rsidRPr="003F12BD">
        <w:rPr>
          <w:sz w:val="16"/>
        </w:rPr>
        <w:t xml:space="preserve"> </w:t>
      </w:r>
      <w:r w:rsidRPr="003F12BD">
        <w:rPr>
          <w:sz w:val="16"/>
        </w:rPr>
        <w:t>example of exactly this situation.</w:t>
      </w:r>
    </w:p>
  </w:footnote>
  <w:footnote w:id="15">
    <w:p w:rsidR="003F12BD" w:rsidRPr="003F12BD" w:rsidRDefault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proofErr w:type="gramStart"/>
      <w:r w:rsidRPr="003F12BD">
        <w:rPr>
          <w:sz w:val="16"/>
        </w:rPr>
        <w:t xml:space="preserve">Op. </w:t>
      </w:r>
      <w:proofErr w:type="spellStart"/>
      <w:r w:rsidRPr="003F12BD">
        <w:rPr>
          <w:sz w:val="16"/>
        </w:rPr>
        <w:t>cit</w:t>
      </w:r>
      <w:proofErr w:type="spellEnd"/>
      <w:r w:rsidRPr="003F12BD">
        <w:rPr>
          <w:sz w:val="16"/>
        </w:rPr>
        <w:t>, n.3, at 112–114.</w:t>
      </w:r>
      <w:proofErr w:type="gramEnd"/>
    </w:p>
  </w:footnote>
  <w:footnote w:id="16">
    <w:p w:rsidR="003F12BD" w:rsidRPr="003F12BD" w:rsidRDefault="003F12BD" w:rsidP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r w:rsidRPr="003F12BD">
        <w:rPr>
          <w:sz w:val="16"/>
        </w:rPr>
        <w:t>See R (A) v Partnerships in Care Ltd [2002] EWHC</w:t>
      </w:r>
      <w:r w:rsidRPr="003F12BD">
        <w:rPr>
          <w:sz w:val="16"/>
        </w:rPr>
        <w:t xml:space="preserve"> </w:t>
      </w:r>
      <w:r w:rsidRPr="003F12BD">
        <w:rPr>
          <w:sz w:val="16"/>
        </w:rPr>
        <w:t>529 (Admin); [2002] 1 W.L.R. 2610; [2002] M.H.L.R.</w:t>
      </w:r>
      <w:r w:rsidRPr="003F12BD">
        <w:rPr>
          <w:sz w:val="16"/>
        </w:rPr>
        <w:t xml:space="preserve"> </w:t>
      </w:r>
      <w:r w:rsidRPr="003F12BD">
        <w:rPr>
          <w:sz w:val="16"/>
        </w:rPr>
        <w:t xml:space="preserve">298, approved by Baroness Hale [65] and Lord </w:t>
      </w:r>
      <w:proofErr w:type="spellStart"/>
      <w:r w:rsidRPr="003F12BD">
        <w:rPr>
          <w:sz w:val="16"/>
        </w:rPr>
        <w:t>Mance</w:t>
      </w:r>
      <w:proofErr w:type="spellEnd"/>
      <w:r w:rsidRPr="003F12BD">
        <w:rPr>
          <w:sz w:val="16"/>
        </w:rPr>
        <w:t>.</w:t>
      </w:r>
      <w:r w:rsidRPr="003F12BD">
        <w:rPr>
          <w:sz w:val="16"/>
        </w:rPr>
        <w:t xml:space="preserve"> </w:t>
      </w:r>
      <w:r w:rsidRPr="003F12BD">
        <w:rPr>
          <w:sz w:val="16"/>
        </w:rPr>
        <w:t>[121].</w:t>
      </w:r>
    </w:p>
  </w:footnote>
  <w:footnote w:id="17">
    <w:p w:rsidR="003F12BD" w:rsidRPr="003F12BD" w:rsidRDefault="003F12BD" w:rsidP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r w:rsidRPr="003F12BD">
        <w:rPr>
          <w:sz w:val="16"/>
        </w:rPr>
        <w:t>This point was left open by the appellate courts in R. (IH)</w:t>
      </w:r>
      <w:r w:rsidRPr="003F12BD">
        <w:rPr>
          <w:sz w:val="16"/>
        </w:rPr>
        <w:t xml:space="preserve"> </w:t>
      </w:r>
      <w:r w:rsidRPr="003F12BD">
        <w:rPr>
          <w:sz w:val="16"/>
        </w:rPr>
        <w:t xml:space="preserve">v SSHD and SSH [2002] EWCA </w:t>
      </w:r>
      <w:proofErr w:type="spellStart"/>
      <w:r w:rsidRPr="003F12BD">
        <w:rPr>
          <w:sz w:val="16"/>
        </w:rPr>
        <w:t>Civ</w:t>
      </w:r>
      <w:proofErr w:type="spellEnd"/>
      <w:r w:rsidRPr="003F12BD">
        <w:rPr>
          <w:sz w:val="16"/>
        </w:rPr>
        <w:t xml:space="preserve"> 646 (CA),</w:t>
      </w:r>
      <w:r w:rsidRPr="003F12BD">
        <w:rPr>
          <w:sz w:val="16"/>
        </w:rPr>
        <w:t xml:space="preserve"> </w:t>
      </w:r>
      <w:r w:rsidRPr="003F12BD">
        <w:rPr>
          <w:sz w:val="16"/>
        </w:rPr>
        <w:t>[2003] UKHL 59 (HL).</w:t>
      </w:r>
    </w:p>
  </w:footnote>
  <w:footnote w:id="18">
    <w:p w:rsidR="003F12BD" w:rsidRPr="003F12BD" w:rsidRDefault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proofErr w:type="gramStart"/>
      <w:r w:rsidRPr="003F12BD">
        <w:rPr>
          <w:sz w:val="16"/>
        </w:rPr>
        <w:t xml:space="preserve">Op. </w:t>
      </w:r>
      <w:proofErr w:type="spellStart"/>
      <w:r w:rsidRPr="003F12BD">
        <w:rPr>
          <w:sz w:val="16"/>
        </w:rPr>
        <w:t>cit</w:t>
      </w:r>
      <w:proofErr w:type="spellEnd"/>
      <w:r w:rsidRPr="003F12BD">
        <w:rPr>
          <w:sz w:val="16"/>
        </w:rPr>
        <w:t>, n.5, at 337.</w:t>
      </w:r>
      <w:proofErr w:type="gramEnd"/>
    </w:p>
  </w:footnote>
  <w:footnote w:id="19">
    <w:p w:rsidR="003F12BD" w:rsidRPr="003F12BD" w:rsidRDefault="003F12BD">
      <w:pPr>
        <w:pStyle w:val="FootnoteText"/>
        <w:rPr>
          <w:sz w:val="16"/>
        </w:rPr>
      </w:pPr>
      <w:r w:rsidRPr="003F12BD">
        <w:rPr>
          <w:rStyle w:val="FootnoteReference"/>
          <w:sz w:val="16"/>
        </w:rPr>
        <w:footnoteRef/>
      </w:r>
      <w:r w:rsidRPr="003F12BD">
        <w:rPr>
          <w:sz w:val="16"/>
        </w:rPr>
        <w:t xml:space="preserve"> </w:t>
      </w:r>
      <w:proofErr w:type="gramStart"/>
      <w:r w:rsidRPr="003F12BD">
        <w:rPr>
          <w:sz w:val="16"/>
        </w:rPr>
        <w:t>HL v UK (2004) 40 EHRR 761.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F5"/>
    <w:rsid w:val="000A5BD8"/>
    <w:rsid w:val="001651CF"/>
    <w:rsid w:val="003F12BD"/>
    <w:rsid w:val="009117F5"/>
    <w:rsid w:val="00B73E4C"/>
    <w:rsid w:val="00C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17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7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7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17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7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9985-8710-48FF-867D-8638C435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2014-11-10T12:01:00Z</dcterms:created>
  <dcterms:modified xsi:type="dcterms:W3CDTF">2014-11-10T12:56:00Z</dcterms:modified>
</cp:coreProperties>
</file>