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D8" w:rsidRPr="005F3FD8" w:rsidRDefault="005F3FD8" w:rsidP="005F3FD8">
      <w:pPr>
        <w:rPr>
          <w:sz w:val="56"/>
          <w:szCs w:val="56"/>
        </w:rPr>
      </w:pPr>
      <w:r w:rsidRPr="005F3FD8">
        <w:rPr>
          <w:sz w:val="56"/>
          <w:szCs w:val="56"/>
        </w:rPr>
        <w:t>The mental capacity tribunal under the model law: what are we arguing about?</w:t>
      </w:r>
    </w:p>
    <w:p w:rsidR="005F3FD8" w:rsidRPr="005F3FD8" w:rsidRDefault="005F3FD8" w:rsidP="005F3FD8">
      <w:pPr>
        <w:rPr>
          <w:b/>
          <w:bCs/>
          <w:i/>
          <w:iCs/>
          <w:sz w:val="28"/>
        </w:rPr>
      </w:pPr>
      <w:r w:rsidRPr="005F3FD8">
        <w:rPr>
          <w:b/>
          <w:bCs/>
          <w:i/>
          <w:iCs/>
          <w:sz w:val="28"/>
        </w:rPr>
        <w:t>Robert Robinson</w:t>
      </w:r>
      <w:r>
        <w:rPr>
          <w:rStyle w:val="FootnoteReference"/>
          <w:b/>
          <w:bCs/>
          <w:i/>
          <w:iCs/>
          <w:sz w:val="28"/>
        </w:rPr>
        <w:footnoteReference w:id="1"/>
      </w:r>
    </w:p>
    <w:p w:rsidR="005F3FD8" w:rsidRPr="005F3FD8" w:rsidRDefault="005F3FD8" w:rsidP="005F3FD8">
      <w:pPr>
        <w:rPr>
          <w:b/>
          <w:bCs/>
          <w:i/>
          <w:iCs/>
        </w:rPr>
      </w:pPr>
    </w:p>
    <w:p w:rsidR="005F3FD8" w:rsidRPr="005F3FD8" w:rsidRDefault="005F3FD8" w:rsidP="005F3FD8">
      <w:pPr>
        <w:rPr>
          <w:b/>
          <w:bCs/>
          <w:sz w:val="24"/>
        </w:rPr>
      </w:pPr>
      <w:r w:rsidRPr="005F3FD8">
        <w:rPr>
          <w:b/>
          <w:bCs/>
          <w:sz w:val="24"/>
        </w:rPr>
        <w:t>The nature of mental health law</w:t>
      </w:r>
    </w:p>
    <w:p w:rsidR="00D92714" w:rsidRPr="00D92714" w:rsidRDefault="005F3FD8" w:rsidP="00D92714">
      <w:r w:rsidRPr="005F3FD8">
        <w:t>It would be a mistake to think of mental health law as a generic form of law directed at a particular class</w:t>
      </w:r>
      <w:r>
        <w:t xml:space="preserve"> </w:t>
      </w:r>
      <w:r w:rsidRPr="005F3FD8">
        <w:t>of people, those described as suffering from mental disorders. If a person who has a mental disorder will</w:t>
      </w:r>
      <w:r>
        <w:t xml:space="preserve"> </w:t>
      </w:r>
      <w:r w:rsidRPr="005F3FD8">
        <w:t>accept treatment, whether or not they have the capacity to consent to it, there is in general no need to</w:t>
      </w:r>
      <w:r>
        <w:t xml:space="preserve"> </w:t>
      </w:r>
      <w:r w:rsidRPr="005F3FD8">
        <w:t xml:space="preserve">have recourse to mental health law. </w:t>
      </w:r>
      <w:r w:rsidRPr="005F3FD8">
        <w:rPr>
          <w:i/>
          <w:iCs/>
        </w:rPr>
        <w:t xml:space="preserve">The Mental Health Act 1983 </w:t>
      </w:r>
      <w:r w:rsidRPr="005F3FD8">
        <w:t>(‘MHA’) exists for the specific purpose</w:t>
      </w:r>
      <w:r>
        <w:t xml:space="preserve"> </w:t>
      </w:r>
      <w:r w:rsidRPr="005F3FD8">
        <w:t>of regulating, and ultimately adjudicating upon, the conflict between a person who objects to receiving</w:t>
      </w:r>
      <w:r>
        <w:t xml:space="preserve"> </w:t>
      </w:r>
      <w:r w:rsidRPr="005F3FD8">
        <w:t>psychiatric treatment and the professionals on whom the law confers powers of compulsion. But, as</w:t>
      </w:r>
      <w:r>
        <w:t xml:space="preserve"> </w:t>
      </w:r>
      <w:r w:rsidRPr="005F3FD8">
        <w:t>advocates of a capacity-based legal framework would surely agree, it is not the existence of mental health</w:t>
      </w:r>
      <w:r>
        <w:t xml:space="preserve"> </w:t>
      </w:r>
      <w:r w:rsidRPr="005F3FD8">
        <w:t>law that gives rise to this conflict. That we have a Mental Health Act but not, say, a Dental Health Act</w:t>
      </w:r>
      <w:r>
        <w:t xml:space="preserve"> </w:t>
      </w:r>
      <w:r w:rsidRPr="005F3FD8">
        <w:t>is explained by features characteristic of serious mental illnesses which are not, by and large, found in</w:t>
      </w:r>
      <w:r>
        <w:t xml:space="preserve"> </w:t>
      </w:r>
      <w:r w:rsidRPr="005F3FD8">
        <w:t>other medical conditions. Psychiatrists are routinely faced with patients who not only deny they are</w:t>
      </w:r>
      <w:r>
        <w:t xml:space="preserve"> </w:t>
      </w:r>
      <w:r w:rsidRPr="005F3FD8">
        <w:t>mentally ill, but whose denial can best be understood as an aspect of the illness which, in the doctor’s</w:t>
      </w:r>
      <w:r>
        <w:t xml:space="preserve"> </w:t>
      </w:r>
      <w:r w:rsidRPr="005F3FD8">
        <w:t>opinion, merits treatment. And as they do not believe they have an illness, or at least not the illness</w:t>
      </w:r>
      <w:r>
        <w:t xml:space="preserve"> </w:t>
      </w:r>
      <w:r w:rsidRPr="005F3FD8">
        <w:t>described by the doctor, such patients may well object, sometimes forcefully, to being admitted to hospital</w:t>
      </w:r>
      <w:r>
        <w:t xml:space="preserve"> </w:t>
      </w:r>
      <w:r w:rsidRPr="005F3FD8">
        <w:t>for treatment. An analysis of this situation in terms of the patient’s lack of capacity to consent to</w:t>
      </w:r>
      <w:r>
        <w:t xml:space="preserve"> </w:t>
      </w:r>
      <w:r w:rsidRPr="005F3FD8">
        <w:t>treatment obscures what is emblematic: that the features which lead to a finding of incapacity are at the</w:t>
      </w:r>
      <w:r>
        <w:t xml:space="preserve"> </w:t>
      </w:r>
      <w:r w:rsidRPr="005F3FD8">
        <w:t>same time symptoms of the illness which demands treatment. There are, moreover, two matters of wider</w:t>
      </w:r>
      <w:r>
        <w:t xml:space="preserve"> </w:t>
      </w:r>
      <w:r w:rsidRPr="005F3FD8">
        <w:t>public concern pertaining to mental disorder which any developed legal system has to accommodate.</w:t>
      </w:r>
      <w:r>
        <w:t xml:space="preserve"> </w:t>
      </w:r>
      <w:r w:rsidRPr="005F3FD8">
        <w:t>First, among those with mental disorders there is a significantly increased risk of suicide and self-neglect</w:t>
      </w:r>
      <w:r>
        <w:t xml:space="preserve"> </w:t>
      </w:r>
      <w:r w:rsidRPr="005F3FD8">
        <w:t>which arises both from the individual’s experience of mental distress, for example severe depression, and</w:t>
      </w:r>
      <w:r>
        <w:t xml:space="preserve"> </w:t>
      </w:r>
      <w:r w:rsidRPr="005F3FD8">
        <w:t>from pervasive features of some chronic mental illnesses. Second, for a small minority, there is an</w:t>
      </w:r>
      <w:r>
        <w:t xml:space="preserve"> </w:t>
      </w:r>
      <w:r w:rsidRPr="005F3FD8">
        <w:t>association between the presence of the symptoms of a mental illness, such as delusions or hallucinations,</w:t>
      </w:r>
      <w:r>
        <w:t xml:space="preserve"> </w:t>
      </w:r>
      <w:r w:rsidRPr="005F3FD8">
        <w:t>and a risk of violence towards others. While these characteristics may not of themselves preclude a</w:t>
      </w:r>
      <w:r>
        <w:t xml:space="preserve"> </w:t>
      </w:r>
      <w:r w:rsidRPr="005F3FD8">
        <w:t>capacity-based mental health law, they do at the very least indicate that in the psychiatric field, to a much</w:t>
      </w:r>
      <w:r>
        <w:t xml:space="preserve"> </w:t>
      </w:r>
      <w:r w:rsidRPr="005F3FD8">
        <w:t>greater extent than in other areas of medicine, the law has to concern itself with the possibility of a</w:t>
      </w:r>
      <w:r>
        <w:t xml:space="preserve"> </w:t>
      </w:r>
      <w:r w:rsidR="00D92714" w:rsidRPr="00D92714">
        <w:t>conflict between doctor and patient, and to provide for circumstances where the justification for clinical</w:t>
      </w:r>
      <w:r w:rsidR="00D92714">
        <w:t xml:space="preserve"> </w:t>
      </w:r>
      <w:r w:rsidR="00D92714" w:rsidRPr="00D92714">
        <w:t>intervention is not limited to the alleviation of the patient’s suffering.</w:t>
      </w:r>
    </w:p>
    <w:p w:rsidR="00D92714" w:rsidRDefault="00D92714" w:rsidP="00D92714">
      <w:r w:rsidRPr="00D92714">
        <w:t>If the primary purpose of mental health law is to regulate the conflict between an individual and those</w:t>
      </w:r>
      <w:r>
        <w:t xml:space="preserve"> </w:t>
      </w:r>
      <w:r w:rsidRPr="00D92714">
        <w:t>who would detain and treat him against his will, the judicial forum in which that conflict is fought out is</w:t>
      </w:r>
      <w:r>
        <w:t xml:space="preserve"> </w:t>
      </w:r>
      <w:r w:rsidRPr="00D92714">
        <w:t>the tribunal. The territory over which the parties clash is that in which the psychiatrist is a recognised</w:t>
      </w:r>
      <w:r>
        <w:t xml:space="preserve"> </w:t>
      </w:r>
      <w:r w:rsidRPr="00D92714">
        <w:t xml:space="preserve">expert, but the justification for compulsion does not lie solely within the domain of </w:t>
      </w:r>
      <w:r w:rsidRPr="00D92714">
        <w:lastRenderedPageBreak/>
        <w:t>medicine.</w:t>
      </w:r>
      <w:r>
        <w:rPr>
          <w:rStyle w:val="FootnoteReference"/>
        </w:rPr>
        <w:footnoteReference w:id="2"/>
      </w:r>
      <w:r w:rsidRPr="00D92714">
        <w:t xml:space="preserve"> The</w:t>
      </w:r>
      <w:r>
        <w:t xml:space="preserve"> </w:t>
      </w:r>
      <w:r w:rsidRPr="00D92714">
        <w:t>matters in dispute may include whether or not the person has a mental disorder, whether hospital</w:t>
      </w:r>
      <w:r>
        <w:t xml:space="preserve"> </w:t>
      </w:r>
      <w:r w:rsidRPr="00D92714">
        <w:t>admission is necessary, whether treatment is likely to be effective, and the nature of the risks arising from</w:t>
      </w:r>
      <w:r>
        <w:t xml:space="preserve"> </w:t>
      </w:r>
      <w:r w:rsidRPr="00D92714">
        <w:t>an individual’s mental disorder. It may also be in issue whether, regardless of his capacity to consent to it,</w:t>
      </w:r>
      <w:r>
        <w:t xml:space="preserve"> </w:t>
      </w:r>
      <w:r w:rsidRPr="00D92714">
        <w:t>the person would accept some or all of the proposed treatment if not subject to compulsion, thus</w:t>
      </w:r>
      <w:r>
        <w:t xml:space="preserve"> </w:t>
      </w:r>
      <w:r w:rsidRPr="00D92714">
        <w:t>obviating the need for MHA powers. At the heart of the conflict is an individual’s assertion of his right</w:t>
      </w:r>
      <w:r>
        <w:t xml:space="preserve"> </w:t>
      </w:r>
      <w:r w:rsidRPr="00D92714">
        <w:t>to make his own choices as an autonomous being, regardless of the views of professionals about his mental</w:t>
      </w:r>
      <w:r>
        <w:t xml:space="preserve"> </w:t>
      </w:r>
      <w:r w:rsidRPr="00D92714">
        <w:t>capacity or what they consider to be in his best interests, against those who would seek to justify taking</w:t>
      </w:r>
      <w:r>
        <w:t xml:space="preserve"> </w:t>
      </w:r>
      <w:r w:rsidRPr="00D92714">
        <w:t>away his liberty and subjecting him to unwanted medical treatment. A comparison of traditional mental</w:t>
      </w:r>
      <w:r>
        <w:t xml:space="preserve"> </w:t>
      </w:r>
      <w:r w:rsidRPr="00D92714">
        <w:t>health law and any proposed capacity-based model needs to consider which legal framework is best suited</w:t>
      </w:r>
      <w:r>
        <w:t xml:space="preserve"> </w:t>
      </w:r>
      <w:r w:rsidRPr="00D92714">
        <w:t>to regulating this conflict. In relation to the role of the mental health tribunal the questions to be</w:t>
      </w:r>
      <w:r>
        <w:t xml:space="preserve"> </w:t>
      </w:r>
      <w:r w:rsidRPr="00D92714">
        <w:t>considered are those affecting the adjudication of the claims of the disputing parties, specifically whether</w:t>
      </w:r>
      <w:r>
        <w:t xml:space="preserve"> </w:t>
      </w:r>
      <w:r w:rsidRPr="00D92714">
        <w:t>the tribunal is satisfied that the patient’s condition is sufficiently serious to warrant loss of liberty and</w:t>
      </w:r>
      <w:r>
        <w:t xml:space="preserve"> </w:t>
      </w:r>
      <w:r w:rsidRPr="00D92714">
        <w:t>compulsory treatment.</w:t>
      </w:r>
    </w:p>
    <w:p w:rsidR="00D92714" w:rsidRPr="00D92714" w:rsidRDefault="00D92714" w:rsidP="00D92714"/>
    <w:p w:rsidR="00D92714" w:rsidRPr="00D92714" w:rsidRDefault="00D92714" w:rsidP="00D92714">
      <w:pPr>
        <w:rPr>
          <w:b/>
          <w:bCs/>
          <w:i/>
          <w:iCs/>
          <w:sz w:val="24"/>
        </w:rPr>
      </w:pPr>
      <w:r w:rsidRPr="00D92714">
        <w:rPr>
          <w:b/>
          <w:bCs/>
          <w:sz w:val="24"/>
        </w:rPr>
        <w:t xml:space="preserve">The tribunal’s role under the </w:t>
      </w:r>
      <w:r w:rsidRPr="00D92714">
        <w:rPr>
          <w:b/>
          <w:bCs/>
          <w:i/>
          <w:iCs/>
          <w:sz w:val="24"/>
        </w:rPr>
        <w:t>Mental Health Act 1983</w:t>
      </w:r>
    </w:p>
    <w:p w:rsidR="00D92714" w:rsidRPr="00D92714" w:rsidRDefault="00D92714" w:rsidP="00D92714">
      <w:r w:rsidRPr="00D92714">
        <w:t>Case law (both domestic and European) offers a multiplicity of judicial statements about what tribunals</w:t>
      </w:r>
      <w:r>
        <w:t xml:space="preserve"> </w:t>
      </w:r>
      <w:r w:rsidRPr="00D92714">
        <w:t>do under the current law. First, the tribunal carries out a substantive and independent review of the</w:t>
      </w:r>
      <w:r>
        <w:t xml:space="preserve"> </w:t>
      </w:r>
      <w:r w:rsidRPr="00D92714">
        <w:t>patient’s condition at the time of the hearing:</w:t>
      </w:r>
    </w:p>
    <w:p w:rsidR="00D92714" w:rsidRPr="00D92714" w:rsidRDefault="00D92714" w:rsidP="00D92714">
      <w:r w:rsidRPr="00D92714">
        <w:rPr>
          <w:i/>
          <w:iCs/>
        </w:rPr>
        <w:t>“</w:t>
      </w:r>
      <w:r w:rsidRPr="00D92714">
        <w:t xml:space="preserve">[The tribunal is] </w:t>
      </w:r>
      <w:r w:rsidRPr="00D92714">
        <w:rPr>
          <w:i/>
          <w:iCs/>
        </w:rPr>
        <w:t>a body charged with reviewing the operative decisions of the responsible authorities to detain</w:t>
      </w:r>
      <w:r>
        <w:rPr>
          <w:i/>
          <w:iCs/>
        </w:rPr>
        <w:t xml:space="preserve"> </w:t>
      </w:r>
      <w:r w:rsidRPr="00D92714">
        <w:rPr>
          <w:i/>
          <w:iCs/>
        </w:rPr>
        <w:t>the patient, and its functions are to reappraise the patient’s condition at the time of the hearing and in the light of</w:t>
      </w:r>
      <w:r>
        <w:rPr>
          <w:i/>
          <w:iCs/>
        </w:rPr>
        <w:t xml:space="preserve"> </w:t>
      </w:r>
      <w:r w:rsidRPr="00D92714">
        <w:rPr>
          <w:i/>
          <w:iCs/>
        </w:rPr>
        <w:t>its findings to do one of three things – to direct discharge as of right, to direct discharge in the exercise of its</w:t>
      </w:r>
      <w:r>
        <w:rPr>
          <w:i/>
          <w:iCs/>
        </w:rPr>
        <w:t xml:space="preserve"> </w:t>
      </w:r>
      <w:r w:rsidRPr="00D92714">
        <w:rPr>
          <w:i/>
          <w:iCs/>
        </w:rPr>
        <w:t>discretion, or to do neither.”</w:t>
      </w:r>
      <w:r>
        <w:rPr>
          <w:rStyle w:val="FootnoteReference"/>
          <w:i/>
          <w:iCs/>
        </w:rPr>
        <w:footnoteReference w:id="3"/>
      </w:r>
    </w:p>
    <w:p w:rsidR="00D92714" w:rsidRPr="00D92714" w:rsidRDefault="00D92714" w:rsidP="00D92714">
      <w:r w:rsidRPr="00D92714">
        <w:t>Second, the review requires the tribunal to look into the future and to assess the risks should the patient</w:t>
      </w:r>
      <w:r>
        <w:t xml:space="preserve"> </w:t>
      </w:r>
      <w:r w:rsidRPr="00D92714">
        <w:t>cease to be detained:</w:t>
      </w:r>
    </w:p>
    <w:p w:rsidR="00D92714" w:rsidRPr="00D92714" w:rsidRDefault="00D92714" w:rsidP="00D92714">
      <w:r w:rsidRPr="00D92714">
        <w:rPr>
          <w:i/>
          <w:iCs/>
        </w:rPr>
        <w:t>“The question that then has to be asked is whether the nature of that illness is such as to make it appropriate for</w:t>
      </w:r>
      <w:r>
        <w:rPr>
          <w:i/>
          <w:iCs/>
        </w:rPr>
        <w:t xml:space="preserve"> </w:t>
      </w:r>
      <w:r w:rsidRPr="00D92714">
        <w:rPr>
          <w:i/>
          <w:iCs/>
        </w:rPr>
        <w:t>him to be liable to be detained in hospital for medical treatment. Whether it is appropriate or not will depend upon</w:t>
      </w:r>
      <w:r>
        <w:rPr>
          <w:i/>
          <w:iCs/>
        </w:rPr>
        <w:t xml:space="preserve"> </w:t>
      </w:r>
      <w:r w:rsidRPr="00D92714">
        <w:rPr>
          <w:i/>
          <w:iCs/>
        </w:rPr>
        <w:t>an assessment of the probability that he will relapse in the near future if he were free in the community.”</w:t>
      </w:r>
      <w:r>
        <w:rPr>
          <w:rStyle w:val="FootnoteReference"/>
          <w:i/>
          <w:iCs/>
        </w:rPr>
        <w:footnoteReference w:id="4"/>
      </w:r>
    </w:p>
    <w:p w:rsidR="00081B23" w:rsidRDefault="00D92714" w:rsidP="00D92714">
      <w:r w:rsidRPr="00D92714">
        <w:t>Third, if it is to uphold a patient’s detention the tribunal must be satisfied that this is a proportionate</w:t>
      </w:r>
      <w:r>
        <w:t xml:space="preserve"> </w:t>
      </w:r>
      <w:r w:rsidRPr="00D92714">
        <w:t>response to the risks, bearing in mind also the impact on the patient of deprivation of liberty:</w:t>
      </w:r>
    </w:p>
    <w:p w:rsidR="00613EEC" w:rsidRPr="00613EEC" w:rsidRDefault="00613EEC" w:rsidP="00613EEC">
      <w:r w:rsidRPr="00613EEC">
        <w:rPr>
          <w:i/>
          <w:iCs/>
        </w:rPr>
        <w:t>“The appropriate response should depend upon the result of weighing the interests of the patient against those of</w:t>
      </w:r>
      <w:r>
        <w:rPr>
          <w:i/>
          <w:iCs/>
        </w:rPr>
        <w:t xml:space="preserve"> </w:t>
      </w:r>
      <w:r w:rsidRPr="00613EEC">
        <w:rPr>
          <w:i/>
          <w:iCs/>
        </w:rPr>
        <w:t xml:space="preserve">the public having regard to the particular facts. Continued detention can be justified </w:t>
      </w:r>
      <w:r w:rsidRPr="00613EEC">
        <w:rPr>
          <w:i/>
          <w:iCs/>
        </w:rPr>
        <w:lastRenderedPageBreak/>
        <w:t>if, but only if, it is a</w:t>
      </w:r>
      <w:r>
        <w:rPr>
          <w:i/>
          <w:iCs/>
        </w:rPr>
        <w:t xml:space="preserve"> </w:t>
      </w:r>
      <w:r w:rsidRPr="00613EEC">
        <w:rPr>
          <w:i/>
          <w:iCs/>
        </w:rPr>
        <w:t>proportionate response having regard to the risks that would be involved in discharge.”</w:t>
      </w:r>
      <w:r>
        <w:rPr>
          <w:rStyle w:val="FootnoteReference"/>
          <w:i/>
          <w:iCs/>
        </w:rPr>
        <w:footnoteReference w:id="5"/>
      </w:r>
    </w:p>
    <w:p w:rsidR="00613EEC" w:rsidRPr="00613EEC" w:rsidRDefault="00613EEC" w:rsidP="00613EEC">
      <w:r w:rsidRPr="00613EEC">
        <w:t>Proportionality also requires the tribunal to satisfy itself that the risks could not be managed in a less</w:t>
      </w:r>
      <w:r>
        <w:t xml:space="preserve"> </w:t>
      </w:r>
      <w:r w:rsidRPr="00613EEC">
        <w:t>restrictive way:</w:t>
      </w:r>
    </w:p>
    <w:p w:rsidR="00613EEC" w:rsidRPr="00613EEC" w:rsidRDefault="00613EEC" w:rsidP="00613EEC">
      <w:pPr>
        <w:ind w:left="567" w:right="521"/>
      </w:pPr>
      <w:r w:rsidRPr="00613EEC">
        <w:rPr>
          <w:i/>
          <w:iCs/>
        </w:rPr>
        <w:t>“The detention of an individual is such a serious measure that it is only justified where other, less severe</w:t>
      </w:r>
      <w:r>
        <w:rPr>
          <w:i/>
          <w:iCs/>
        </w:rPr>
        <w:t xml:space="preserve"> </w:t>
      </w:r>
      <w:r w:rsidRPr="00613EEC">
        <w:rPr>
          <w:i/>
          <w:iCs/>
        </w:rPr>
        <w:t>measures have been considered and found to be insufficient to safeguard the individual or public interest</w:t>
      </w:r>
      <w:r>
        <w:rPr>
          <w:i/>
          <w:iCs/>
        </w:rPr>
        <w:t xml:space="preserve"> </w:t>
      </w:r>
      <w:r w:rsidRPr="00613EEC">
        <w:rPr>
          <w:i/>
          <w:iCs/>
        </w:rPr>
        <w:t>which might require the person concerned to be detained.”</w:t>
      </w:r>
      <w:r>
        <w:rPr>
          <w:rStyle w:val="FootnoteReference"/>
          <w:i/>
          <w:iCs/>
        </w:rPr>
        <w:footnoteReference w:id="6"/>
      </w:r>
    </w:p>
    <w:p w:rsidR="00613EEC" w:rsidRPr="00613EEC" w:rsidRDefault="00613EEC" w:rsidP="00613EEC">
      <w:r w:rsidRPr="00613EEC">
        <w:t>Fourth, in considering the impact on the patient of a deprivation of liberty, the tribunal must also take</w:t>
      </w:r>
      <w:r>
        <w:t xml:space="preserve"> </w:t>
      </w:r>
      <w:r w:rsidRPr="00613EEC">
        <w:t>account of the treatment which it enables:</w:t>
      </w:r>
    </w:p>
    <w:p w:rsidR="00613EEC" w:rsidRPr="00613EEC" w:rsidRDefault="00613EEC" w:rsidP="00613EEC">
      <w:pPr>
        <w:ind w:left="567" w:right="521"/>
      </w:pPr>
      <w:r w:rsidRPr="00613EEC">
        <w:rPr>
          <w:i/>
          <w:iCs/>
        </w:rPr>
        <w:t>“Thus the MHA provides for an integral package of detention and treatment and imposes restrictions</w:t>
      </w:r>
      <w:r>
        <w:rPr>
          <w:i/>
          <w:iCs/>
        </w:rPr>
        <w:t xml:space="preserve"> </w:t>
      </w:r>
      <w:r w:rsidRPr="00613EEC">
        <w:rPr>
          <w:i/>
          <w:iCs/>
        </w:rPr>
        <w:t>designed to ensure that individual treatment is justified. It is not logical to consider the latter question in</w:t>
      </w:r>
      <w:r>
        <w:rPr>
          <w:i/>
          <w:iCs/>
        </w:rPr>
        <w:t xml:space="preserve"> </w:t>
      </w:r>
      <w:r w:rsidRPr="00613EEC">
        <w:rPr>
          <w:i/>
          <w:iCs/>
        </w:rPr>
        <w:t>isolation from the overall objective of the package. The most important question is whether the package is</w:t>
      </w:r>
      <w:r>
        <w:rPr>
          <w:i/>
          <w:iCs/>
        </w:rPr>
        <w:t xml:space="preserve"> </w:t>
      </w:r>
      <w:r w:rsidRPr="00613EEC">
        <w:rPr>
          <w:i/>
          <w:iCs/>
        </w:rPr>
        <w:t>justified, and that is a question that falls within the remit of the Mental Health Review Tribunal under</w:t>
      </w:r>
      <w:r>
        <w:rPr>
          <w:i/>
          <w:iCs/>
        </w:rPr>
        <w:t xml:space="preserve"> </w:t>
      </w:r>
      <w:r w:rsidRPr="00613EEC">
        <w:rPr>
          <w:i/>
          <w:iCs/>
        </w:rPr>
        <w:t>Part V of the MHA.”</w:t>
      </w:r>
      <w:r>
        <w:rPr>
          <w:rStyle w:val="FootnoteReference"/>
          <w:i/>
          <w:iCs/>
        </w:rPr>
        <w:footnoteReference w:id="7"/>
      </w:r>
    </w:p>
    <w:p w:rsidR="00613EEC" w:rsidRPr="00613EEC" w:rsidRDefault="00613EEC" w:rsidP="00613EEC">
      <w:r w:rsidRPr="00613EEC">
        <w:t>But medical treatment in this context is not always benign, or at least may not be regarded as such by its</w:t>
      </w:r>
      <w:r>
        <w:t xml:space="preserve"> </w:t>
      </w:r>
      <w:r w:rsidRPr="00613EEC">
        <w:t>recipient. A relevant factor for the tribunal may be the impact on the patient’s human rights of medical</w:t>
      </w:r>
      <w:r>
        <w:t xml:space="preserve"> </w:t>
      </w:r>
      <w:r w:rsidRPr="00613EEC">
        <w:t>treatment given without consent. The most important consideration here is whether the patient objects</w:t>
      </w:r>
      <w:r>
        <w:t xml:space="preserve"> </w:t>
      </w:r>
      <w:r w:rsidRPr="00613EEC">
        <w:t>to the treatment:</w:t>
      </w:r>
    </w:p>
    <w:p w:rsidR="00613EEC" w:rsidRPr="00613EEC" w:rsidRDefault="00613EEC" w:rsidP="00613EEC">
      <w:pPr>
        <w:ind w:left="567" w:right="521"/>
      </w:pPr>
      <w:r w:rsidRPr="00613EEC">
        <w:rPr>
          <w:i/>
          <w:iCs/>
        </w:rPr>
        <w:t>“</w:t>
      </w:r>
      <w:proofErr w:type="gramStart"/>
      <w:r w:rsidRPr="00613EEC">
        <w:rPr>
          <w:i/>
          <w:iCs/>
        </w:rPr>
        <w:t>when</w:t>
      </w:r>
      <w:proofErr w:type="gramEnd"/>
      <w:r w:rsidRPr="00613EEC">
        <w:rPr>
          <w:i/>
          <w:iCs/>
        </w:rPr>
        <w:t xml:space="preserve"> considering the severity of the treatment the fact that it is imposed by compulsion is more</w:t>
      </w:r>
      <w:r>
        <w:rPr>
          <w:i/>
          <w:iCs/>
        </w:rPr>
        <w:t xml:space="preserve"> </w:t>
      </w:r>
      <w:r w:rsidRPr="00613EEC">
        <w:rPr>
          <w:i/>
          <w:iCs/>
        </w:rPr>
        <w:t>significant than the question whether the patient has or has not capacity.”</w:t>
      </w:r>
      <w:r>
        <w:rPr>
          <w:rStyle w:val="FootnoteReference"/>
          <w:i/>
          <w:iCs/>
        </w:rPr>
        <w:footnoteReference w:id="8"/>
      </w:r>
    </w:p>
    <w:p w:rsidR="00613EEC" w:rsidRDefault="00613EEC" w:rsidP="00613EEC">
      <w:pPr>
        <w:rPr>
          <w:b/>
          <w:bCs/>
        </w:rPr>
      </w:pPr>
    </w:p>
    <w:p w:rsidR="00613EEC" w:rsidRPr="00613EEC" w:rsidRDefault="00613EEC" w:rsidP="00613EEC">
      <w:pPr>
        <w:rPr>
          <w:b/>
          <w:bCs/>
          <w:sz w:val="24"/>
        </w:rPr>
      </w:pPr>
      <w:r w:rsidRPr="00613EEC">
        <w:rPr>
          <w:b/>
          <w:bCs/>
          <w:sz w:val="24"/>
        </w:rPr>
        <w:t>A capacity-based legal framework</w:t>
      </w:r>
    </w:p>
    <w:p w:rsidR="00613EEC" w:rsidRPr="00613EEC" w:rsidRDefault="00613EEC" w:rsidP="00613EEC">
      <w:r w:rsidRPr="00613EEC">
        <w:t>If judicial statements are an accurate guide to the role of the tribunal under the MHA, there is no</w:t>
      </w:r>
      <w:r>
        <w:t xml:space="preserve"> </w:t>
      </w:r>
      <w:r w:rsidRPr="00613EEC">
        <w:t>comparable source for understanding how tribunals would function under the Model Law which is</w:t>
      </w:r>
      <w:r>
        <w:t xml:space="preserve"> </w:t>
      </w:r>
      <w:r w:rsidRPr="00613EEC">
        <w:t>proposed. The criteria which the tribunal would have to apply in deciding whether to uphold the</w:t>
      </w:r>
      <w:r>
        <w:t xml:space="preserve"> </w:t>
      </w:r>
      <w:r w:rsidRPr="00613EEC">
        <w:t>treatment of a person’s mental disorder without his consent, which might also include detention in</w:t>
      </w:r>
      <w:r>
        <w:t xml:space="preserve"> </w:t>
      </w:r>
      <w:r w:rsidRPr="00613EEC">
        <w:t>hospital for the purpose of treatment, are to be found in clause 21(a) of the Model Law. The tribunal</w:t>
      </w:r>
      <w:r>
        <w:t xml:space="preserve"> </w:t>
      </w:r>
      <w:r w:rsidRPr="00613EEC">
        <w:t>would have to be satisfied of the following:</w:t>
      </w:r>
    </w:p>
    <w:p w:rsidR="00613EEC" w:rsidRDefault="00613EEC" w:rsidP="00613EEC">
      <w:pPr>
        <w:rPr>
          <w:i/>
          <w:iCs/>
        </w:rPr>
      </w:pPr>
      <w:r w:rsidRPr="00613EEC">
        <w:rPr>
          <w:i/>
          <w:iCs/>
        </w:rPr>
        <w:t>(1) P has an impairment or dysfunction of the mind.</w:t>
      </w:r>
      <w:r>
        <w:rPr>
          <w:i/>
          <w:iCs/>
        </w:rPr>
        <w:br/>
      </w:r>
      <w:r w:rsidRPr="00613EEC">
        <w:rPr>
          <w:i/>
          <w:iCs/>
        </w:rPr>
        <w:t>(2) P lacks capacity to make a decision about his or her care or treatment.</w:t>
      </w:r>
      <w:r>
        <w:rPr>
          <w:i/>
          <w:iCs/>
        </w:rPr>
        <w:br/>
      </w:r>
      <w:r w:rsidRPr="00613EEC">
        <w:rPr>
          <w:i/>
          <w:iCs/>
        </w:rPr>
        <w:t>(3) P needs care and treatment in his or her best interests.</w:t>
      </w:r>
      <w:r>
        <w:rPr>
          <w:i/>
          <w:iCs/>
        </w:rPr>
        <w:br/>
      </w:r>
      <w:r w:rsidRPr="00613EEC">
        <w:rPr>
          <w:i/>
          <w:iCs/>
        </w:rPr>
        <w:t xml:space="preserve">(4) P objects to the decision or act that is proposed in relation to his or her care or treatment </w:t>
      </w:r>
      <w:proofErr w:type="gramStart"/>
      <w:r w:rsidRPr="00613EEC">
        <w:rPr>
          <w:i/>
          <w:iCs/>
        </w:rPr>
        <w:t>…</w:t>
      </w:r>
      <w:proofErr w:type="gramEnd"/>
      <w:r>
        <w:rPr>
          <w:i/>
          <w:iCs/>
        </w:rPr>
        <w:br/>
      </w:r>
      <w:r w:rsidRPr="00613EEC">
        <w:rPr>
          <w:i/>
          <w:iCs/>
        </w:rPr>
        <w:t>(5) The proposed objective cannot be achieved in an alternative less restrictive fashion.</w:t>
      </w:r>
    </w:p>
    <w:p w:rsidR="00613EEC" w:rsidRPr="00613EEC" w:rsidRDefault="00613EEC" w:rsidP="00613EEC">
      <w:pPr>
        <w:rPr>
          <w:i/>
          <w:iCs/>
        </w:rPr>
      </w:pPr>
      <w:r w:rsidRPr="00613EEC">
        <w:rPr>
          <w:i/>
          <w:iCs/>
        </w:rPr>
        <w:lastRenderedPageBreak/>
        <w:t>(6) Treatment is available that is likely to alleviate or prevent a deterioration in P’s condition.</w:t>
      </w:r>
      <w:r>
        <w:rPr>
          <w:i/>
          <w:iCs/>
        </w:rPr>
        <w:br/>
      </w:r>
      <w:r w:rsidRPr="00613EEC">
        <w:rPr>
          <w:i/>
          <w:iCs/>
        </w:rPr>
        <w:t>(7) The exercise of compulsory powers is a necessary and proportionate response to the risk of harm posed to P</w:t>
      </w:r>
      <w:r>
        <w:rPr>
          <w:i/>
          <w:iCs/>
        </w:rPr>
        <w:t xml:space="preserve"> </w:t>
      </w:r>
      <w:r w:rsidRPr="00613EEC">
        <w:rPr>
          <w:i/>
          <w:iCs/>
        </w:rPr>
        <w:t>or any other person, and to the seriousness of that harm, if the care or treatment is not provided.</w:t>
      </w:r>
    </w:p>
    <w:p w:rsidR="00613EEC" w:rsidRPr="00613EEC" w:rsidRDefault="00613EEC" w:rsidP="00613EEC">
      <w:pPr>
        <w:rPr>
          <w:i/>
          <w:iCs/>
        </w:rPr>
      </w:pPr>
      <w:r w:rsidRPr="00613EEC">
        <w:t xml:space="preserve">Clause 21 (b) says that: </w:t>
      </w:r>
      <w:r w:rsidRPr="00613EEC">
        <w:rPr>
          <w:i/>
          <w:iCs/>
        </w:rPr>
        <w:t>“If any of these conditions are no longer met P shall be discharged from compulsory</w:t>
      </w:r>
      <w:r>
        <w:rPr>
          <w:i/>
          <w:iCs/>
        </w:rPr>
        <w:t xml:space="preserve"> </w:t>
      </w:r>
      <w:r w:rsidRPr="00613EEC">
        <w:rPr>
          <w:i/>
          <w:iCs/>
        </w:rPr>
        <w:t>powers.”</w:t>
      </w:r>
    </w:p>
    <w:p w:rsidR="00613EEC" w:rsidRPr="00613EEC" w:rsidRDefault="00613EEC" w:rsidP="00613EEC">
      <w:r w:rsidRPr="00613EEC">
        <w:t>Apart from the most obvious difference, that the patient’s mental capacity forms part of the criteria for</w:t>
      </w:r>
      <w:r>
        <w:t xml:space="preserve"> </w:t>
      </w:r>
      <w:r w:rsidRPr="00613EEC">
        <w:t>compulsion, two other points stand out. First, the Model Law, unlike the MHA, does not link compulsory</w:t>
      </w:r>
      <w:r>
        <w:t xml:space="preserve"> </w:t>
      </w:r>
      <w:r w:rsidRPr="00613EEC">
        <w:t>treatment to the requirement that the patient be detained, or liable to be detained, in a hospital. This is</w:t>
      </w:r>
      <w:r>
        <w:t xml:space="preserve"> </w:t>
      </w:r>
      <w:r w:rsidRPr="00613EEC">
        <w:t>not, however, of fundamental importance because compulsion in the community is neither a necessary</w:t>
      </w:r>
      <w:r>
        <w:t xml:space="preserve"> </w:t>
      </w:r>
      <w:r w:rsidRPr="00613EEC">
        <w:t>feature of a capacity-based law nor is it incompatible with traditional mental health law. Second, clause</w:t>
      </w:r>
      <w:r>
        <w:t xml:space="preserve"> </w:t>
      </w:r>
      <w:r w:rsidRPr="00613EEC">
        <w:t>21 of the Model Law goes beyond a bare best interests test for authorising treatment given to a person</w:t>
      </w:r>
      <w:r>
        <w:t xml:space="preserve"> </w:t>
      </w:r>
      <w:r w:rsidRPr="00613EEC">
        <w:t>who lacks capacity to consent. It requires the tribunal, when the patient objects to admission or</w:t>
      </w:r>
      <w:r>
        <w:t xml:space="preserve"> </w:t>
      </w:r>
      <w:r w:rsidRPr="00613EEC">
        <w:t>treatment, to consider a wider range of matters such as risk to other people and proportionality.</w:t>
      </w:r>
    </w:p>
    <w:p w:rsidR="00613EEC" w:rsidRDefault="00613EEC" w:rsidP="00613EEC">
      <w:r w:rsidRPr="00613EEC">
        <w:t>On further inspection, clause 21 of the Model Law can be seen to bear some resemblance to section 6 of</w:t>
      </w:r>
      <w:r>
        <w:t xml:space="preserve"> </w:t>
      </w:r>
      <w:r w:rsidRPr="00613EEC">
        <w:t xml:space="preserve">the </w:t>
      </w:r>
      <w:r w:rsidRPr="00613EEC">
        <w:rPr>
          <w:i/>
          <w:iCs/>
        </w:rPr>
        <w:t xml:space="preserve">Mental Capacity Act 2005 </w:t>
      </w:r>
      <w:r w:rsidRPr="00613EEC">
        <w:t>(‘MCA’) which requires, in relation to a person who lacks capacity to</w:t>
      </w:r>
      <w:r>
        <w:t xml:space="preserve"> </w:t>
      </w:r>
      <w:r w:rsidRPr="00613EEC">
        <w:t>consent, that where restraint is used it is not enough that it is in the person’s best interests, it must also</w:t>
      </w:r>
      <w:r>
        <w:t xml:space="preserve"> </w:t>
      </w:r>
      <w:r w:rsidRPr="00613EEC">
        <w:t>be a proportionate response to the likelihood and seriousness of that person suffering harm. However, it</w:t>
      </w:r>
      <w:r>
        <w:t xml:space="preserve"> </w:t>
      </w:r>
      <w:r w:rsidRPr="00613EEC">
        <w:t xml:space="preserve">should be noted that clause 21 takes us still further beyond a best </w:t>
      </w:r>
      <w:proofErr w:type="gramStart"/>
      <w:r w:rsidRPr="00613EEC">
        <w:t>interests</w:t>
      </w:r>
      <w:proofErr w:type="gramEnd"/>
      <w:r w:rsidRPr="00613EEC">
        <w:t xml:space="preserve"> standard to something which</w:t>
      </w:r>
      <w:r>
        <w:t xml:space="preserve"> </w:t>
      </w:r>
      <w:r w:rsidRPr="00613EEC">
        <w:t>reflects features of traditional mental health law, including the power to compel the patient to accept</w:t>
      </w:r>
      <w:r>
        <w:t xml:space="preserve"> </w:t>
      </w:r>
      <w:r w:rsidRPr="00613EEC">
        <w:t>treatment (which could include detention in hospital) for the protection of others. This is quite different</w:t>
      </w:r>
      <w:r>
        <w:t xml:space="preserve"> </w:t>
      </w:r>
      <w:r w:rsidRPr="00613EEC">
        <w:t>from section 6 of the MCA which authorises restraint only where it is necessary for the incapacitated</w:t>
      </w:r>
      <w:r>
        <w:t xml:space="preserve"> </w:t>
      </w:r>
      <w:r w:rsidRPr="00613EEC">
        <w:t>person’s own safety. It is also somewhat disconcerting, although consistent with a concern for the</w:t>
      </w:r>
      <w:r>
        <w:t xml:space="preserve"> </w:t>
      </w:r>
      <w:r w:rsidRPr="00613EEC">
        <w:t>protection of other people, that in relation to medical treatment that satisfies the criteria in clause 21 the</w:t>
      </w:r>
      <w:r>
        <w:t xml:space="preserve"> </w:t>
      </w:r>
      <w:r w:rsidRPr="00613EEC">
        <w:t>Model Law abrogates a fundamental feature of a capacity-based framework by allowing what would</w:t>
      </w:r>
      <w:r>
        <w:t xml:space="preserve"> </w:t>
      </w:r>
      <w:r w:rsidRPr="00613EEC">
        <w:t>otherwise be a valid and applicable advance refusal of treatment to be overridden.</w:t>
      </w:r>
      <w:r>
        <w:rPr>
          <w:rStyle w:val="FootnoteReference"/>
        </w:rPr>
        <w:footnoteReference w:id="9"/>
      </w:r>
      <w:r w:rsidRPr="00613EEC">
        <w:t xml:space="preserve"> It seems that the</w:t>
      </w:r>
      <w:r>
        <w:t xml:space="preserve"> </w:t>
      </w:r>
      <w:r w:rsidRPr="00613EEC">
        <w:t>proponents of reform do not envisage a radically different role for mental health law but they appear to</w:t>
      </w:r>
      <w:r>
        <w:t xml:space="preserve"> </w:t>
      </w:r>
      <w:r w:rsidRPr="00613EEC">
        <w:t>believe that by changing the legal framework they will get rid of what they regard as a form of</w:t>
      </w:r>
      <w:r>
        <w:t xml:space="preserve"> </w:t>
      </w:r>
      <w:r w:rsidRPr="00613EEC">
        <w:t>discrimination against people who suffer from mental disorders. The contrary view is that the inclusion</w:t>
      </w:r>
      <w:r>
        <w:t xml:space="preserve"> </w:t>
      </w:r>
      <w:r w:rsidRPr="00613EEC">
        <w:t>of non-consensual psychiatric treatment would cause any capacity-based statute to burst at the seams.</w:t>
      </w:r>
    </w:p>
    <w:p w:rsidR="00613EEC" w:rsidRPr="00613EEC" w:rsidRDefault="00613EEC" w:rsidP="00613EEC"/>
    <w:p w:rsidR="00613EEC" w:rsidRPr="00613EEC" w:rsidRDefault="00613EEC" w:rsidP="00613EEC">
      <w:pPr>
        <w:rPr>
          <w:b/>
          <w:bCs/>
          <w:sz w:val="24"/>
        </w:rPr>
      </w:pPr>
      <w:r w:rsidRPr="00613EEC">
        <w:rPr>
          <w:b/>
          <w:bCs/>
          <w:sz w:val="24"/>
        </w:rPr>
        <w:t>How a capacity-based law would change what tribunals do</w:t>
      </w:r>
    </w:p>
    <w:p w:rsidR="00613EEC" w:rsidRPr="00613EEC" w:rsidRDefault="00613EEC" w:rsidP="00613EEC">
      <w:r w:rsidRPr="00613EEC">
        <w:t>Returning to the role of the tribunal, its function under any system of law is to adjudicate between the</w:t>
      </w:r>
      <w:r>
        <w:t xml:space="preserve"> </w:t>
      </w:r>
      <w:r w:rsidRPr="00613EEC">
        <w:t>person subject to compulsion and those who would use the law to compel treatment. Two aspects of the</w:t>
      </w:r>
      <w:r>
        <w:t xml:space="preserve"> </w:t>
      </w:r>
      <w:r w:rsidRPr="00613EEC">
        <w:t xml:space="preserve">tribunal process under a reformed law would be critical to all parties. First, whether it </w:t>
      </w:r>
      <w:r w:rsidRPr="00613EEC">
        <w:lastRenderedPageBreak/>
        <w:t>will be more</w:t>
      </w:r>
      <w:r>
        <w:t xml:space="preserve"> </w:t>
      </w:r>
      <w:r w:rsidRPr="00613EEC">
        <w:t>difficult (or easier) to compel treatment against a person’s wishes; and second, whether the law provides</w:t>
      </w:r>
      <w:r>
        <w:t xml:space="preserve"> </w:t>
      </w:r>
      <w:r w:rsidRPr="00613EEC">
        <w:t>a clear framework in which the matters that are important to the parties will be given due weight by the</w:t>
      </w:r>
      <w:r>
        <w:t xml:space="preserve"> </w:t>
      </w:r>
      <w:r w:rsidRPr="00613EEC">
        <w:t>tribunal in balancing the competing claims on which it has to adjudicate. A third consideration is that</w:t>
      </w:r>
      <w:r>
        <w:t xml:space="preserve"> </w:t>
      </w:r>
      <w:r w:rsidRPr="00613EEC">
        <w:t>where compulsory treatment involves deprivation of liberty there needs to be a speedy hearing to</w:t>
      </w:r>
      <w:r>
        <w:t xml:space="preserve"> </w:t>
      </w:r>
      <w:r w:rsidRPr="00613EEC">
        <w:t>determine the lawfulness of the patient’s detention.</w:t>
      </w:r>
      <w:r w:rsidR="00C30E28">
        <w:rPr>
          <w:rStyle w:val="FootnoteReference"/>
        </w:rPr>
        <w:footnoteReference w:id="10"/>
      </w:r>
    </w:p>
    <w:p w:rsidR="00613EEC" w:rsidRPr="00613EEC" w:rsidRDefault="00613EEC" w:rsidP="00613EEC">
      <w:r w:rsidRPr="00613EEC">
        <w:t>With regard to the first aspect, advocates of a capacity-based law do not argue that current mental health</w:t>
      </w:r>
      <w:r>
        <w:t xml:space="preserve"> </w:t>
      </w:r>
      <w:r w:rsidRPr="00613EEC">
        <w:t>law, which they consider to be discriminatory, results in a greater use of powers of compulsion than is</w:t>
      </w:r>
      <w:r>
        <w:t xml:space="preserve"> </w:t>
      </w:r>
      <w:r w:rsidRPr="00613EEC">
        <w:t>necessary or that the incidence of non-consensual treatment of those diagnosed as suffering from mental</w:t>
      </w:r>
      <w:r>
        <w:t xml:space="preserve"> </w:t>
      </w:r>
      <w:r w:rsidRPr="00613EEC">
        <w:t>disorders could be expected to fall under their preferred legal framework. Their proposal does not proceed</w:t>
      </w:r>
      <w:r>
        <w:t xml:space="preserve"> </w:t>
      </w:r>
      <w:r w:rsidRPr="00613EEC">
        <w:t>from a criticism of psychiatric power and certainly not from an anti-psychiatry stance. Their unstated</w:t>
      </w:r>
      <w:r>
        <w:t xml:space="preserve"> </w:t>
      </w:r>
      <w:r w:rsidRPr="00613EEC">
        <w:t>assumption is that much the same people in much the same circumstances would be subject to</w:t>
      </w:r>
      <w:r>
        <w:t xml:space="preserve"> </w:t>
      </w:r>
      <w:r w:rsidRPr="00613EEC">
        <w:t>compulsory psychiatric treatment. What would change are the formal legal grounds which tribunals and</w:t>
      </w:r>
      <w:r>
        <w:t xml:space="preserve"> </w:t>
      </w:r>
      <w:r w:rsidRPr="00613EEC">
        <w:t>mental health professionals invoke when justifying their decisions.</w:t>
      </w:r>
    </w:p>
    <w:p w:rsidR="00613EEC" w:rsidRPr="00613EEC" w:rsidRDefault="00613EEC" w:rsidP="00613EEC">
      <w:r w:rsidRPr="00613EEC">
        <w:t>As to the decision-making framework, tribunals under the MHA are required to consider the seriousness</w:t>
      </w:r>
      <w:r>
        <w:t xml:space="preserve"> </w:t>
      </w:r>
      <w:r w:rsidRPr="00613EEC">
        <w:t>of the patient’s mental disorder (“of a nature or degree which makes it appropriate for him to be liable to</w:t>
      </w:r>
      <w:r>
        <w:t xml:space="preserve"> </w:t>
      </w:r>
      <w:r w:rsidRPr="00613EEC">
        <w:t>be detained”) and the risks to which it gives rise (“necessary for the health or safety of the patient or for</w:t>
      </w:r>
      <w:r>
        <w:t xml:space="preserve"> </w:t>
      </w:r>
      <w:r w:rsidRPr="00613EEC">
        <w:t>the protection of other persons”).</w:t>
      </w:r>
      <w:r w:rsidR="00C30E28">
        <w:rPr>
          <w:rStyle w:val="FootnoteReference"/>
        </w:rPr>
        <w:footnoteReference w:id="11"/>
      </w:r>
      <w:r w:rsidRPr="00613EEC">
        <w:t xml:space="preserve"> Judicial decisions of tribunals about detention and compulsion are</w:t>
      </w:r>
      <w:r>
        <w:t xml:space="preserve"> </w:t>
      </w:r>
      <w:r w:rsidRPr="00613EEC">
        <w:t>necessarily expressed in these terms, the so-called statutory criteria, but in any particular case the</w:t>
      </w:r>
      <w:r>
        <w:t xml:space="preserve"> </w:t>
      </w:r>
      <w:r w:rsidRPr="00613EEC">
        <w:t>decision maker has a broad discretion which in reality is little constrained by the language of the statute.</w:t>
      </w:r>
      <w:r>
        <w:t xml:space="preserve"> </w:t>
      </w:r>
      <w:r w:rsidRPr="00613EEC">
        <w:t>The decision whether to impose compulsion on a person because he has a mental disorder requires a</w:t>
      </w:r>
      <w:r>
        <w:t xml:space="preserve"> </w:t>
      </w:r>
      <w:r w:rsidRPr="00613EEC">
        <w:t>consideration of a variety of factors. These may include: “his state of health, his need for continuing</w:t>
      </w:r>
      <w:r>
        <w:t xml:space="preserve"> </w:t>
      </w:r>
      <w:r w:rsidRPr="00613EEC">
        <w:t>treatment, his ability to take care of himself in the community and the threat that he might pose to the</w:t>
      </w:r>
      <w:r>
        <w:t xml:space="preserve"> </w:t>
      </w:r>
      <w:r w:rsidRPr="00613EEC">
        <w:t>public, the availability of facilities in the community to give him any necessary care, treatment or</w:t>
      </w:r>
      <w:r>
        <w:t xml:space="preserve"> </w:t>
      </w:r>
      <w:r w:rsidRPr="00613EEC">
        <w:t>supervision, and the support he would receive from family and friends”</w:t>
      </w:r>
      <w:r w:rsidR="00C30E28">
        <w:rPr>
          <w:rStyle w:val="FootnoteReference"/>
        </w:rPr>
        <w:footnoteReference w:id="12"/>
      </w:r>
      <w:r w:rsidRPr="00613EEC">
        <w:t xml:space="preserve"> – all matters on which a person</w:t>
      </w:r>
      <w:r>
        <w:t xml:space="preserve"> </w:t>
      </w:r>
      <w:r w:rsidRPr="00613EEC">
        <w:t>with a mental disorder is likely to have his own views, just like anyone else. The tribunal hearing is the</w:t>
      </w:r>
      <w:r>
        <w:t xml:space="preserve"> </w:t>
      </w:r>
      <w:r w:rsidRPr="00613EEC">
        <w:t>occasion when, in theory at least, such views are to be taken seriously. One matter which may be of</w:t>
      </w:r>
      <w:r>
        <w:t xml:space="preserve"> </w:t>
      </w:r>
      <w:r w:rsidRPr="00613EEC">
        <w:t>particular concern is whether the person who seeks to be discharged from MHA powers can be relied</w:t>
      </w:r>
      <w:r>
        <w:t xml:space="preserve"> </w:t>
      </w:r>
      <w:r w:rsidRPr="00613EEC">
        <w:t>upon to do what he says. This is a distinct issue from the question whether he has capacity to consent to</w:t>
      </w:r>
      <w:r>
        <w:t xml:space="preserve"> </w:t>
      </w:r>
      <w:r w:rsidRPr="00613EEC">
        <w:t>the proposed treatment and it requires the tribunal to consider different kinds of evidence, such as the</w:t>
      </w:r>
      <w:r>
        <w:t xml:space="preserve"> </w:t>
      </w:r>
      <w:r w:rsidRPr="00613EEC">
        <w:t>individual’s past history of psychiatric treatment. A decision to override the patient’s autonomy is by its</w:t>
      </w:r>
      <w:r w:rsidR="00C30E28">
        <w:t xml:space="preserve"> </w:t>
      </w:r>
      <w:r w:rsidRPr="00613EEC">
        <w:t>nature paternalistic but its foundation is that the tribunal concludes that the risks associated with the</w:t>
      </w:r>
      <w:r w:rsidR="00C30E28">
        <w:t xml:space="preserve"> </w:t>
      </w:r>
      <w:r w:rsidRPr="00613EEC">
        <w:t>patient’s mental disorder are sufficiently serious to justify compulsion. The experience of tribunals under</w:t>
      </w:r>
      <w:r w:rsidR="00C30E28">
        <w:t xml:space="preserve"> </w:t>
      </w:r>
      <w:r w:rsidRPr="00613EEC">
        <w:t>the current law is that this exercise can be conducted without an assessment of the person’s capacity to</w:t>
      </w:r>
      <w:r w:rsidR="00C30E28">
        <w:t xml:space="preserve"> </w:t>
      </w:r>
      <w:r w:rsidRPr="00613EEC">
        <w:t>consent to any or all of the proposed treatment.</w:t>
      </w:r>
    </w:p>
    <w:p w:rsidR="00C30E28" w:rsidRPr="00C30E28" w:rsidRDefault="00613EEC" w:rsidP="00C30E28">
      <w:r w:rsidRPr="00613EEC">
        <w:t>The breadth of the discretion and the wide range of potentially relevant factors make it especially</w:t>
      </w:r>
      <w:r w:rsidR="00C30E28">
        <w:t xml:space="preserve"> </w:t>
      </w:r>
      <w:r w:rsidRPr="00613EEC">
        <w:t>important that the framework within which competing views are weighed and adjudicated upon</w:t>
      </w:r>
      <w:r w:rsidR="00C30E28">
        <w:t xml:space="preserve"> </w:t>
      </w:r>
      <w:r w:rsidRPr="00613EEC">
        <w:t xml:space="preserve">encompasses how the various participants think about the issues in dispute. Traditional mental </w:t>
      </w:r>
      <w:r w:rsidRPr="00613EEC">
        <w:lastRenderedPageBreak/>
        <w:t>health law</w:t>
      </w:r>
      <w:r w:rsidR="00C30E28">
        <w:t xml:space="preserve"> </w:t>
      </w:r>
      <w:r w:rsidRPr="00613EEC">
        <w:t>is clearly directed towards matters of substance which despite the opacity of the statutory language can</w:t>
      </w:r>
      <w:r w:rsidR="00C30E28">
        <w:t xml:space="preserve"> </w:t>
      </w:r>
      <w:r w:rsidRPr="00613EEC">
        <w:t>be readily understood by the participants, including the person subject to compulsion. That the current</w:t>
      </w:r>
      <w:r w:rsidR="00C30E28">
        <w:t xml:space="preserve"> </w:t>
      </w:r>
      <w:r w:rsidRPr="00613EEC">
        <w:t>law fits with psychiatric thinking and practice is hardly surprising, but it also reflects how people with no</w:t>
      </w:r>
      <w:r w:rsidR="00C30E28">
        <w:t xml:space="preserve"> </w:t>
      </w:r>
      <w:r w:rsidRPr="00613EEC">
        <w:t>medical training intuitively think about these issues. This can be seen when friends and relatives of a</w:t>
      </w:r>
      <w:r w:rsidR="00C30E28">
        <w:t xml:space="preserve"> </w:t>
      </w:r>
      <w:r w:rsidRPr="00613EEC">
        <w:t>detained patient give evidence at a tribunal hearing. The way in which they express their views generally</w:t>
      </w:r>
      <w:r w:rsidR="00C30E28">
        <w:t xml:space="preserve"> </w:t>
      </w:r>
      <w:r w:rsidR="00C30E28" w:rsidRPr="00C30E28">
        <w:t>accords with the current legal framework, though not necessarily with the findings of the tribunal in any</w:t>
      </w:r>
      <w:r w:rsidR="00C30E28">
        <w:t xml:space="preserve"> </w:t>
      </w:r>
      <w:r w:rsidR="00C30E28" w:rsidRPr="00C30E28">
        <w:t>given case. That the law is directed to what professionals and lay people regard as relevant and important</w:t>
      </w:r>
      <w:r w:rsidR="00C30E28">
        <w:t xml:space="preserve"> </w:t>
      </w:r>
      <w:r w:rsidR="00C30E28" w:rsidRPr="00C30E28">
        <w:t>is the best guarantee, together with an effective and fair procedure, that people will not be unnecessarily</w:t>
      </w:r>
      <w:r w:rsidR="00C30E28">
        <w:t xml:space="preserve"> </w:t>
      </w:r>
      <w:r w:rsidR="00C30E28" w:rsidRPr="00C30E28">
        <w:t>– and therefore unlawfully – detained.</w:t>
      </w:r>
    </w:p>
    <w:p w:rsidR="00C30E28" w:rsidRDefault="00C30E28" w:rsidP="00C30E28">
      <w:r w:rsidRPr="00C30E28">
        <w:t>In contrast to the current law, a capacity-based statute would have as its starting point the question of</w:t>
      </w:r>
      <w:r>
        <w:t xml:space="preserve"> </w:t>
      </w:r>
      <w:r w:rsidRPr="00C30E28">
        <w:t>capacity. The mental capacity tribunal would of necessity have to decide in every case whether or not P,</w:t>
      </w:r>
      <w:r>
        <w:t xml:space="preserve"> </w:t>
      </w:r>
      <w:r w:rsidRPr="00C30E28">
        <w:t>who objects to receiving treatment, has capacity to consent to it. Having disposed of the issue of capacity,</w:t>
      </w:r>
      <w:r>
        <w:t xml:space="preserve"> </w:t>
      </w:r>
      <w:r w:rsidRPr="00C30E28">
        <w:t>and if the finding is that P lacks capacity, the tribunal would under clause 21 then determine whether P</w:t>
      </w:r>
      <w:r>
        <w:t xml:space="preserve"> </w:t>
      </w:r>
      <w:r w:rsidRPr="00C30E28">
        <w:t>is entitled to refuse that to which he objects. It does this with reference to the following test: that it is in</w:t>
      </w:r>
      <w:r>
        <w:t xml:space="preserve"> </w:t>
      </w:r>
      <w:r w:rsidRPr="00C30E28">
        <w:t>P’s best interests and the objective cannot be achieved in a less restrictive fashion, and that the use of</w:t>
      </w:r>
      <w:r>
        <w:t xml:space="preserve"> </w:t>
      </w:r>
      <w:r w:rsidRPr="00C30E28">
        <w:t>compulsion is both necessary and proportionate.</w:t>
      </w:r>
      <w:r>
        <w:rPr>
          <w:rStyle w:val="FootnoteReference"/>
        </w:rPr>
        <w:footnoteReference w:id="13"/>
      </w:r>
      <w:r w:rsidRPr="00C30E28">
        <w:t xml:space="preserve"> A question that should concern us is as to P’s input</w:t>
      </w:r>
      <w:r>
        <w:t xml:space="preserve"> </w:t>
      </w:r>
      <w:r w:rsidRPr="00C30E28">
        <w:t>into this process.</w:t>
      </w:r>
    </w:p>
    <w:p w:rsidR="00C30E28" w:rsidRPr="00C30E28" w:rsidRDefault="00C30E28" w:rsidP="00C30E28"/>
    <w:p w:rsidR="00C30E28" w:rsidRPr="00C30E28" w:rsidRDefault="00C30E28" w:rsidP="00C30E28">
      <w:pPr>
        <w:rPr>
          <w:b/>
          <w:bCs/>
          <w:sz w:val="24"/>
        </w:rPr>
      </w:pPr>
      <w:r w:rsidRPr="00C30E28">
        <w:rPr>
          <w:b/>
          <w:bCs/>
          <w:sz w:val="24"/>
        </w:rPr>
        <w:t>Deciding whether P has capacity</w:t>
      </w:r>
    </w:p>
    <w:p w:rsidR="00613EEC" w:rsidRDefault="00C30E28" w:rsidP="00C30E28">
      <w:r w:rsidRPr="00C30E28">
        <w:t>A fundamental criticism that can be made of a law which allows compulsory psychiatric treatment only</w:t>
      </w:r>
      <w:r>
        <w:t xml:space="preserve"> </w:t>
      </w:r>
      <w:r w:rsidRPr="00C30E28">
        <w:t>where the patient lacks capacity to consent is that a tribunal hearing is not the best setting in which to</w:t>
      </w:r>
      <w:r>
        <w:t xml:space="preserve"> </w:t>
      </w:r>
      <w:r w:rsidRPr="00C30E28">
        <w:t>assess an individual’s mental capacity. It will no doubt be pointed out that courts, in a wide variety of</w:t>
      </w:r>
      <w:r>
        <w:t xml:space="preserve"> </w:t>
      </w:r>
      <w:r w:rsidRPr="00C30E28">
        <w:t>situations, are used to deciding whether someone has, or had, mental capacity to make a particular</w:t>
      </w:r>
      <w:r>
        <w:t xml:space="preserve"> </w:t>
      </w:r>
      <w:r w:rsidRPr="00C30E28">
        <w:t>decision. However, where the issue of capacity is linked to non-consensual psychiatric treatment, it is not</w:t>
      </w:r>
      <w:r>
        <w:t xml:space="preserve"> </w:t>
      </w:r>
      <w:r w:rsidRPr="00C30E28">
        <w:t>difficult to envisage cases in which the person subject to compulsion, knowing the law, will answer</w:t>
      </w:r>
      <w:r>
        <w:t xml:space="preserve"> </w:t>
      </w:r>
      <w:r w:rsidRPr="00C30E28">
        <w:t>questions about their understanding of their illness with the legal test for capacity in mind. In such a case</w:t>
      </w:r>
      <w:r>
        <w:t xml:space="preserve"> </w:t>
      </w:r>
      <w:r w:rsidRPr="00C30E28">
        <w:t>the tribunal may see its inquisitorial function as requiring it, through questioning the patient, to</w:t>
      </w:r>
      <w:r>
        <w:t xml:space="preserve"> </w:t>
      </w:r>
      <w:r w:rsidRPr="00C30E28">
        <w:t>demonstrate to its own satisfaction his lack of capacity. As one has sometimes seen at tribunal hearings</w:t>
      </w:r>
      <w:r>
        <w:t xml:space="preserve"> </w:t>
      </w:r>
      <w:r w:rsidRPr="00C30E28">
        <w:t>under the present law, something similar can happen when questions are directed towards exposing the</w:t>
      </w:r>
      <w:r>
        <w:t xml:space="preserve"> </w:t>
      </w:r>
      <w:r w:rsidRPr="00C30E28">
        <w:t xml:space="preserve">patient’s lack of insight into his condition. But while mental capacity is a binary concept – </w:t>
      </w:r>
      <w:proofErr w:type="gramStart"/>
      <w:r w:rsidRPr="00C30E28">
        <w:t>a person</w:t>
      </w:r>
      <w:proofErr w:type="gramEnd"/>
      <w:r w:rsidRPr="00C30E28">
        <w:t xml:space="preserve"> either</w:t>
      </w:r>
      <w:r>
        <w:t xml:space="preserve"> </w:t>
      </w:r>
      <w:r w:rsidRPr="00C30E28">
        <w:t>does, or does not, have the capacity to make this decision at this time – insight is a matter of degree.</w:t>
      </w:r>
      <w:r>
        <w:t xml:space="preserve"> </w:t>
      </w:r>
      <w:r w:rsidRPr="00C30E28">
        <w:t>Moreover, a finding that the patient’s insight is impaired does not form part of the foundational criteria</w:t>
      </w:r>
      <w:r>
        <w:t xml:space="preserve"> </w:t>
      </w:r>
      <w:r w:rsidRPr="00C30E28">
        <w:t>for compulsory treatment, though it may be relevant to an assessment of the likelihood that the patient</w:t>
      </w:r>
      <w:r>
        <w:t xml:space="preserve"> </w:t>
      </w:r>
      <w:r w:rsidRPr="00C30E28">
        <w:t>would accept treatment if he were free to decide for himself, a question that can be answered without</w:t>
      </w:r>
      <w:r>
        <w:t xml:space="preserve"> </w:t>
      </w:r>
      <w:r w:rsidRPr="00C30E28">
        <w:t>reference to the concept of mental capacity. The MCA rightly demands that findings of incapacity are</w:t>
      </w:r>
      <w:r>
        <w:t xml:space="preserve"> </w:t>
      </w:r>
      <w:r w:rsidRPr="00C30E28">
        <w:t>made only after every practicable step has been taken to enable the person concerned to make the</w:t>
      </w:r>
      <w:r>
        <w:t xml:space="preserve"> </w:t>
      </w:r>
      <w:r w:rsidRPr="00C30E28">
        <w:t>decision for himself. It is difficult to see how this could readily be achieved in a tribunal hearing. If the</w:t>
      </w:r>
      <w:r>
        <w:t xml:space="preserve"> </w:t>
      </w:r>
      <w:r w:rsidRPr="00C30E28">
        <w:t xml:space="preserve">hearing was not </w:t>
      </w:r>
      <w:r w:rsidRPr="00C30E28">
        <w:lastRenderedPageBreak/>
        <w:t>considered to be a suitable occasion for assessing the patient’s capacity, tribunals would</w:t>
      </w:r>
      <w:r>
        <w:t xml:space="preserve"> </w:t>
      </w:r>
      <w:r w:rsidRPr="00C30E28">
        <w:t>instead have to rely on expert evidence. In most cases this would come from the treating clinician who</w:t>
      </w:r>
      <w:r>
        <w:t xml:space="preserve"> </w:t>
      </w:r>
      <w:r w:rsidRPr="00C30E28">
        <w:t>will have been in a position to carry out a capacity assessment in circumstances sanctioned by the MCA.</w:t>
      </w:r>
      <w:r>
        <w:t xml:space="preserve"> </w:t>
      </w:r>
      <w:r w:rsidRPr="00C30E28">
        <w:t>Where, however, the patient disputed the treating clinician’s account of the interview at which capacity</w:t>
      </w:r>
      <w:r>
        <w:t xml:space="preserve"> </w:t>
      </w:r>
      <w:r w:rsidRPr="00C30E28">
        <w:t>was assessed, or claimed that the position has changed since that interview, the tribunal would,</w:t>
      </w:r>
      <w:r>
        <w:t xml:space="preserve"> </w:t>
      </w:r>
      <w:r w:rsidRPr="00C30E28">
        <w:t>unavoidably, have to make its own assessment of capacity. That a task could prove difficult is not, of</w:t>
      </w:r>
      <w:r>
        <w:t xml:space="preserve"> </w:t>
      </w:r>
      <w:r w:rsidRPr="00C30E28">
        <w:t>course, a reason for its not being attempted, but it is a ground for questioning its utility.</w:t>
      </w:r>
    </w:p>
    <w:p w:rsidR="00C30E28" w:rsidRDefault="00C30E28" w:rsidP="00C30E28"/>
    <w:p w:rsidR="00C30E28" w:rsidRPr="00C30E28" w:rsidRDefault="00C30E28" w:rsidP="00C30E28">
      <w:pPr>
        <w:rPr>
          <w:b/>
          <w:bCs/>
          <w:sz w:val="24"/>
        </w:rPr>
      </w:pPr>
      <w:r w:rsidRPr="00C30E28">
        <w:rPr>
          <w:b/>
          <w:bCs/>
          <w:sz w:val="24"/>
        </w:rPr>
        <w:t>Deciding what is in P’s best interests</w:t>
      </w:r>
    </w:p>
    <w:p w:rsidR="00C30E28" w:rsidRPr="00C30E28" w:rsidRDefault="00C30E28" w:rsidP="00C30E28">
      <w:r w:rsidRPr="00C30E28">
        <w:t>Having dealt with the issue of capacity, and assuming it finds that the patient lacks capacity to consent</w:t>
      </w:r>
      <w:r>
        <w:t xml:space="preserve"> </w:t>
      </w:r>
      <w:r w:rsidRPr="00C30E28">
        <w:t>to the treatment, the tribunal would then have to decide whether the treatment, possibly involving</w:t>
      </w:r>
      <w:r>
        <w:t xml:space="preserve"> </w:t>
      </w:r>
      <w:r w:rsidRPr="00C30E28">
        <w:t>deprivation of liberty, is in the patient’s best interests. The answer will be found by applying the principles</w:t>
      </w:r>
      <w:r>
        <w:t xml:space="preserve"> </w:t>
      </w:r>
      <w:r w:rsidRPr="00C30E28">
        <w:t>of section 4 of the MCA and going through the items that are listed there. These include P’s “past and</w:t>
      </w:r>
      <w:r>
        <w:t xml:space="preserve"> </w:t>
      </w:r>
      <w:r w:rsidRPr="00C30E28">
        <w:t>present wishes and feelings” and “the beliefs and values that would be likely to influence his decision if</w:t>
      </w:r>
      <w:r>
        <w:t xml:space="preserve"> </w:t>
      </w:r>
      <w:r w:rsidRPr="00C30E28">
        <w:t>he had capacity”. Put simply, P’s own views are among the factors the decision maker weighs in coming</w:t>
      </w:r>
      <w:r>
        <w:t xml:space="preserve"> </w:t>
      </w:r>
      <w:r w:rsidRPr="00C30E28">
        <w:t>to a conclusion on what is in his best interests. Given that clause 21 of the Model Law is concerned only</w:t>
      </w:r>
      <w:r>
        <w:t xml:space="preserve"> </w:t>
      </w:r>
      <w:r w:rsidRPr="00C30E28">
        <w:t>with cases where P is objecting to treatment, one must allow that among P’s views is likely to be a strong</w:t>
      </w:r>
      <w:r>
        <w:t xml:space="preserve"> </w:t>
      </w:r>
      <w:r w:rsidRPr="00C30E28">
        <w:t>wish not to have things done to him against his will.</w:t>
      </w:r>
      <w:r>
        <w:rPr>
          <w:rStyle w:val="FootnoteReference"/>
        </w:rPr>
        <w:footnoteReference w:id="14"/>
      </w:r>
      <w:r w:rsidRPr="00C30E28">
        <w:t xml:space="preserve"> This takes us back, by a different route, to the</w:t>
      </w:r>
      <w:r>
        <w:t xml:space="preserve"> </w:t>
      </w:r>
      <w:r w:rsidRPr="00C30E28">
        <w:t>essential point in mental health law which is the justification for imposing compulsion on a person who</w:t>
      </w:r>
      <w:r>
        <w:t xml:space="preserve"> </w:t>
      </w:r>
      <w:r w:rsidRPr="00C30E28">
        <w:t>has a mental disorder. If this is indeed the fundamental issue, we might wish to ask which route we prefer</w:t>
      </w:r>
      <w:r>
        <w:t xml:space="preserve"> </w:t>
      </w:r>
      <w:r w:rsidRPr="00C30E28">
        <w:t>and how P is most likely to be able effectively to participate in the process. Although the distinction is</w:t>
      </w:r>
      <w:r>
        <w:t xml:space="preserve"> </w:t>
      </w:r>
      <w:r w:rsidRPr="00C30E28">
        <w:t>blurred by the breadth of a best interests inquiry under section 4 of the MCA, there is an essential</w:t>
      </w:r>
      <w:r>
        <w:t xml:space="preserve"> </w:t>
      </w:r>
      <w:r w:rsidRPr="00C30E28">
        <w:t>difference between a rights-based approach (people have rights which in certain circumstances society is</w:t>
      </w:r>
      <w:r>
        <w:t xml:space="preserve"> </w:t>
      </w:r>
      <w:r w:rsidRPr="00C30E28">
        <w:t>entitled to override) and a paternalistic approach (P lacks capacity to make this decision so we must make</w:t>
      </w:r>
      <w:r>
        <w:t xml:space="preserve"> </w:t>
      </w:r>
      <w:r w:rsidRPr="00C30E28">
        <w:t>it in P’s best interests, taking account of P’s wishes and feelings).</w:t>
      </w:r>
    </w:p>
    <w:p w:rsidR="00C30E28" w:rsidRDefault="00C30E28" w:rsidP="00C30E28">
      <w:r w:rsidRPr="00C30E28">
        <w:t>A related concern is how the change to a mental capacity and ‘best interests’ jurisdiction would affect the</w:t>
      </w:r>
      <w:r>
        <w:t xml:space="preserve"> </w:t>
      </w:r>
      <w:r w:rsidRPr="00C30E28">
        <w:t>work of tribunals. That tribunals under the present law are able to get through the current volume of</w:t>
      </w:r>
      <w:r>
        <w:t xml:space="preserve"> </w:t>
      </w:r>
      <w:r w:rsidRPr="00C30E28">
        <w:t>cases without breaching the detained patient’s right to a speedy hearing is due to the narrowness of the</w:t>
      </w:r>
      <w:r>
        <w:t xml:space="preserve"> </w:t>
      </w:r>
      <w:r w:rsidRPr="00C30E28">
        <w:t>inquiry. A typical tribunal hearing, with oral evidence, lasts about two hours. Experience of the High</w:t>
      </w:r>
      <w:r>
        <w:t xml:space="preserve"> </w:t>
      </w:r>
      <w:r w:rsidRPr="00C30E28">
        <w:t>Court’s former inherent jurisdiction and of the Court of Protection’s jurisdiction under the MCA is that</w:t>
      </w:r>
      <w:r>
        <w:t xml:space="preserve"> </w:t>
      </w:r>
      <w:r w:rsidRPr="00C30E28">
        <w:t>cases take many weeks, if not months, and that the Court depends heavily on expert evidence in its</w:t>
      </w:r>
      <w:r>
        <w:t xml:space="preserve"> </w:t>
      </w:r>
      <w:r w:rsidRPr="00C30E28">
        <w:t>determination of both capacity and best interests. While it is true that in every case involving compulsory</w:t>
      </w:r>
      <w:r>
        <w:t xml:space="preserve"> </w:t>
      </w:r>
      <w:r w:rsidRPr="00C30E28">
        <w:t>psychiatric treatment there is, in the person of the responsible clinician, a suitably qualified expert readily</w:t>
      </w:r>
      <w:r>
        <w:t xml:space="preserve"> </w:t>
      </w:r>
      <w:r w:rsidRPr="00C30E28">
        <w:t>to hand, the responsible clinician is not a court-appointed expert but comes to the tribunal on behalf of</w:t>
      </w:r>
      <w:r>
        <w:t xml:space="preserve"> </w:t>
      </w:r>
      <w:r w:rsidRPr="00C30E28">
        <w:t>a party to the proceedings to put forward evidence which is intended to show that the criteria for</w:t>
      </w:r>
      <w:r>
        <w:t xml:space="preserve"> </w:t>
      </w:r>
      <w:r w:rsidRPr="00C30E28">
        <w:t>compulsion are made out. Given the different nature of the tribunal’s inquiry under a capacity-based law,</w:t>
      </w:r>
      <w:r>
        <w:t xml:space="preserve"> </w:t>
      </w:r>
      <w:r w:rsidRPr="00C30E28">
        <w:t>where the patient’s capacity and best interests are in issue, the question arises whether the tribunal would</w:t>
      </w:r>
      <w:r>
        <w:t xml:space="preserve"> </w:t>
      </w:r>
      <w:r w:rsidRPr="00C30E28">
        <w:t xml:space="preserve">routinely need </w:t>
      </w:r>
      <w:r w:rsidRPr="00C30E28">
        <w:lastRenderedPageBreak/>
        <w:t>independent expert evidence on these matters. If independent expert evidence were not</w:t>
      </w:r>
      <w:r>
        <w:t xml:space="preserve"> </w:t>
      </w:r>
      <w:r w:rsidRPr="00C30E28">
        <w:t>available, one wonders how the tribunal would satisfy itself of the matters comprehended by section 4 of</w:t>
      </w:r>
      <w:r>
        <w:t xml:space="preserve"> </w:t>
      </w:r>
      <w:r w:rsidRPr="00C30E28">
        <w:t>the MCA.</w:t>
      </w:r>
    </w:p>
    <w:p w:rsidR="00C30E28" w:rsidRPr="00C30E28" w:rsidRDefault="00C30E28" w:rsidP="00C30E28"/>
    <w:p w:rsidR="00C30E28" w:rsidRPr="00C30E28" w:rsidRDefault="00C30E28" w:rsidP="00C30E28">
      <w:pPr>
        <w:rPr>
          <w:b/>
          <w:bCs/>
          <w:sz w:val="24"/>
        </w:rPr>
      </w:pPr>
      <w:r w:rsidRPr="00C30E28">
        <w:rPr>
          <w:b/>
          <w:bCs/>
          <w:sz w:val="24"/>
        </w:rPr>
        <w:t>The problem of paternalism</w:t>
      </w:r>
    </w:p>
    <w:p w:rsidR="00C30E28" w:rsidRPr="00C30E28" w:rsidRDefault="00C30E28" w:rsidP="00C30E28">
      <w:r w:rsidRPr="00C30E28">
        <w:t>Seen from the point of view of a person who is diagnosed as suffering from mental disorder, there is one</w:t>
      </w:r>
      <w:r>
        <w:t xml:space="preserve"> </w:t>
      </w:r>
      <w:r w:rsidRPr="00C30E28">
        <w:t>potential advantage of a capacity-based law which needs to be faced. A person who has capacity will be</w:t>
      </w:r>
      <w:r>
        <w:t xml:space="preserve"> </w:t>
      </w:r>
      <w:r w:rsidRPr="00C30E28">
        <w:t>entitled to refuse psychiatric treatment, just as he can refuse all other types of medical treatment,</w:t>
      </w:r>
      <w:r>
        <w:t xml:space="preserve"> </w:t>
      </w:r>
      <w:r w:rsidRPr="00C30E28">
        <w:t>regardless of the views of professionals or members of mental health tribunals about the likely</w:t>
      </w:r>
      <w:r>
        <w:t xml:space="preserve"> </w:t>
      </w:r>
      <w:r w:rsidRPr="00C30E28">
        <w:t>consequences of a refusal. It could be argued by its proponents that if a change to a capacity-based mental</w:t>
      </w:r>
      <w:r>
        <w:t xml:space="preserve"> </w:t>
      </w:r>
      <w:r w:rsidRPr="00C30E28">
        <w:t>health law were to bring this about for only a small number of people it would be a vindication of their</w:t>
      </w:r>
      <w:r>
        <w:t xml:space="preserve"> </w:t>
      </w:r>
      <w:r w:rsidRPr="00C30E28">
        <w:t>position. The tribunal would perform the necessary and important role of making principled decisions</w:t>
      </w:r>
      <w:r>
        <w:t xml:space="preserve"> </w:t>
      </w:r>
      <w:r w:rsidRPr="00C30E28">
        <w:t>about capacity, unsullied by pragmatic concerns about risk. To put the case for a capacity-based law in</w:t>
      </w:r>
      <w:r>
        <w:t xml:space="preserve"> </w:t>
      </w:r>
      <w:r w:rsidRPr="00C30E28">
        <w:t>this way, with its appeal to principle over pragmatism, would be disingenuous because it avoids what is</w:t>
      </w:r>
      <w:r>
        <w:t xml:space="preserve"> </w:t>
      </w:r>
      <w:r w:rsidRPr="00C30E28">
        <w:t>fundamentally at stake in any system of law for compelling people with mental disorders to accept</w:t>
      </w:r>
      <w:r>
        <w:t xml:space="preserve"> </w:t>
      </w:r>
      <w:r w:rsidRPr="00C30E28">
        <w:t>treatment. The subject matter of mental health law necessarily gives rise to questions about whether,</w:t>
      </w:r>
      <w:r>
        <w:t xml:space="preserve"> </w:t>
      </w:r>
      <w:r w:rsidRPr="00C30E28">
        <w:t xml:space="preserve">either generally or in particular </w:t>
      </w:r>
      <w:proofErr w:type="gramStart"/>
      <w:r w:rsidRPr="00C30E28">
        <w:t>cases,</w:t>
      </w:r>
      <w:proofErr w:type="gramEnd"/>
      <w:r w:rsidRPr="00C30E28">
        <w:t xml:space="preserve"> we are detaining people unnecessarily or for excessive periods of</w:t>
      </w:r>
      <w:r>
        <w:t xml:space="preserve"> </w:t>
      </w:r>
      <w:r w:rsidRPr="00C30E28">
        <w:t>time, and whether clinical arguments in favour of treatment provide justification for denying personal</w:t>
      </w:r>
      <w:r>
        <w:t xml:space="preserve"> </w:t>
      </w:r>
      <w:r w:rsidRPr="00C30E28">
        <w:t>autonomy to the individual concerned. The elevation of mental capacity would do nothing to enhance</w:t>
      </w:r>
      <w:r>
        <w:t xml:space="preserve"> </w:t>
      </w:r>
      <w:r w:rsidRPr="00C30E28">
        <w:t>the judicial consideration of these and related issues which, as we have seen, are at the heart of decision</w:t>
      </w:r>
      <w:r>
        <w:t>-</w:t>
      </w:r>
      <w:r w:rsidRPr="00C30E28">
        <w:t>making</w:t>
      </w:r>
      <w:r>
        <w:t xml:space="preserve"> </w:t>
      </w:r>
      <w:r w:rsidRPr="00C30E28">
        <w:t>under the existing law.</w:t>
      </w:r>
    </w:p>
    <w:p w:rsidR="00C30E28" w:rsidRPr="00613EEC" w:rsidRDefault="00C30E28" w:rsidP="00C30E28">
      <w:r w:rsidRPr="00C30E28">
        <w:t>One matter that should concern us when considering any proposal for reform is the tendency in the field</w:t>
      </w:r>
      <w:r>
        <w:t xml:space="preserve"> </w:t>
      </w:r>
      <w:r w:rsidRPr="00C30E28">
        <w:t>of mental health law towards benign paternalism: the wish to do what is best for a person who is</w:t>
      </w:r>
      <w:r>
        <w:t xml:space="preserve"> </w:t>
      </w:r>
      <w:r w:rsidRPr="00C30E28">
        <w:t>disadvantaged. This is compounded by an understandable aversion to taking risks with other people’s</w:t>
      </w:r>
      <w:r>
        <w:t xml:space="preserve"> </w:t>
      </w:r>
      <w:r w:rsidRPr="00C30E28">
        <w:t>health and safety, including risks that we ourselves might be willing to bear where our own health is</w:t>
      </w:r>
      <w:r>
        <w:t xml:space="preserve"> </w:t>
      </w:r>
      <w:r w:rsidRPr="00C30E28">
        <w:t>concerned. If, as seems likely, the vast majority of those who are detainable under the MHA could be</w:t>
      </w:r>
      <w:r>
        <w:t xml:space="preserve"> </w:t>
      </w:r>
      <w:r w:rsidRPr="00C30E28">
        <w:t>expected at the point of detention to fail a capacity test in relation to treatment of their mental disorder,</w:t>
      </w:r>
      <w:r>
        <w:t xml:space="preserve"> </w:t>
      </w:r>
      <w:r w:rsidRPr="00C30E28">
        <w:t>a best interests approach would inevitably tend towards increased paternalism which in this field means</w:t>
      </w:r>
      <w:r w:rsidR="00E55EDD">
        <w:t xml:space="preserve"> </w:t>
      </w:r>
      <w:r w:rsidRPr="00C30E28">
        <w:t>less, not more, liberty. While, as we have seen, mental health law must necessarily allow a broad</w:t>
      </w:r>
      <w:r w:rsidR="00E55EDD">
        <w:t xml:space="preserve"> </w:t>
      </w:r>
      <w:r w:rsidRPr="00C30E28">
        <w:t>discretion, the application of legal standards which direct the decision-maker to what is essential in</w:t>
      </w:r>
      <w:r w:rsidR="00E55EDD">
        <w:t xml:space="preserve"> </w:t>
      </w:r>
      <w:bookmarkStart w:id="0" w:name="_GoBack"/>
      <w:bookmarkEnd w:id="0"/>
      <w:r w:rsidRPr="00C30E28">
        <w:t>balancing risks and rights is a necessary discipline for us all.</w:t>
      </w:r>
    </w:p>
    <w:sectPr w:rsidR="00C30E28" w:rsidRPr="00613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D8" w:rsidRDefault="005F3FD8" w:rsidP="005F3FD8">
      <w:pPr>
        <w:spacing w:after="0" w:line="240" w:lineRule="auto"/>
      </w:pPr>
      <w:r>
        <w:separator/>
      </w:r>
    </w:p>
  </w:endnote>
  <w:endnote w:type="continuationSeparator" w:id="0">
    <w:p w:rsidR="005F3FD8" w:rsidRDefault="005F3FD8" w:rsidP="005F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D8" w:rsidRDefault="005F3FD8" w:rsidP="005F3FD8">
      <w:pPr>
        <w:spacing w:after="0" w:line="240" w:lineRule="auto"/>
      </w:pPr>
      <w:r>
        <w:separator/>
      </w:r>
    </w:p>
  </w:footnote>
  <w:footnote w:type="continuationSeparator" w:id="0">
    <w:p w:rsidR="005F3FD8" w:rsidRDefault="005F3FD8" w:rsidP="005F3FD8">
      <w:pPr>
        <w:spacing w:after="0" w:line="240" w:lineRule="auto"/>
      </w:pPr>
      <w:r>
        <w:continuationSeparator/>
      </w:r>
    </w:p>
  </w:footnote>
  <w:footnote w:id="1">
    <w:p w:rsidR="005F3FD8" w:rsidRPr="005F3FD8" w:rsidRDefault="005F3FD8">
      <w:pPr>
        <w:pStyle w:val="FootnoteText"/>
        <w:rPr>
          <w:sz w:val="16"/>
        </w:rPr>
      </w:pPr>
      <w:r w:rsidRPr="005F3FD8">
        <w:rPr>
          <w:rStyle w:val="FootnoteReference"/>
          <w:sz w:val="16"/>
        </w:rPr>
        <w:footnoteRef/>
      </w:r>
      <w:r w:rsidRPr="005F3FD8">
        <w:rPr>
          <w:sz w:val="16"/>
        </w:rPr>
        <w:t xml:space="preserve"> </w:t>
      </w:r>
      <w:proofErr w:type="gramStart"/>
      <w:r w:rsidRPr="005F3FD8">
        <w:rPr>
          <w:sz w:val="16"/>
        </w:rPr>
        <w:t>Solicitor, Scott-Moncrieff, Harbour &amp; Sinclair; Part-time Judge of the First-tier Tribunal (Mental Health).</w:t>
      </w:r>
      <w:proofErr w:type="gramEnd"/>
    </w:p>
  </w:footnote>
  <w:footnote w:id="2">
    <w:p w:rsidR="00D92714" w:rsidRPr="00D92714" w:rsidRDefault="00D92714" w:rsidP="00D92714">
      <w:pPr>
        <w:pStyle w:val="FootnoteText"/>
        <w:rPr>
          <w:sz w:val="16"/>
        </w:rPr>
      </w:pPr>
      <w:r w:rsidRPr="00D92714">
        <w:rPr>
          <w:rStyle w:val="FootnoteReference"/>
          <w:sz w:val="16"/>
        </w:rPr>
        <w:footnoteRef/>
      </w:r>
      <w:r w:rsidRPr="00D92714">
        <w:rPr>
          <w:sz w:val="16"/>
        </w:rPr>
        <w:t xml:space="preserve"> </w:t>
      </w:r>
      <w:r w:rsidRPr="00D92714">
        <w:rPr>
          <w:sz w:val="16"/>
        </w:rPr>
        <w:t>“Why should a doctor decide on the level of risk that is</w:t>
      </w:r>
      <w:r w:rsidRPr="00D92714">
        <w:rPr>
          <w:sz w:val="16"/>
        </w:rPr>
        <w:t xml:space="preserve"> </w:t>
      </w:r>
      <w:r w:rsidRPr="00D92714">
        <w:rPr>
          <w:sz w:val="16"/>
        </w:rPr>
        <w:t>acceptable to an individual, or to a group? Medical</w:t>
      </w:r>
      <w:r w:rsidRPr="00D92714">
        <w:rPr>
          <w:sz w:val="16"/>
        </w:rPr>
        <w:t xml:space="preserve"> </w:t>
      </w:r>
      <w:r w:rsidRPr="00D92714">
        <w:rPr>
          <w:sz w:val="16"/>
        </w:rPr>
        <w:t>training does not enable one to answer a question of this</w:t>
      </w:r>
      <w:r w:rsidRPr="00D92714">
        <w:rPr>
          <w:sz w:val="16"/>
        </w:rPr>
        <w:t xml:space="preserve"> </w:t>
      </w:r>
      <w:r w:rsidRPr="00D92714">
        <w:rPr>
          <w:sz w:val="16"/>
        </w:rPr>
        <w:t>type, and it could never do so, because it is not that sort of</w:t>
      </w:r>
      <w:r w:rsidRPr="00D92714">
        <w:rPr>
          <w:sz w:val="16"/>
        </w:rPr>
        <w:t xml:space="preserve"> </w:t>
      </w:r>
      <w:r w:rsidRPr="00D92714">
        <w:rPr>
          <w:sz w:val="16"/>
        </w:rPr>
        <w:t xml:space="preserve">question.” Anthony </w:t>
      </w:r>
      <w:proofErr w:type="spellStart"/>
      <w:r w:rsidRPr="00D92714">
        <w:rPr>
          <w:sz w:val="16"/>
        </w:rPr>
        <w:t>Maden</w:t>
      </w:r>
      <w:proofErr w:type="spellEnd"/>
      <w:r w:rsidRPr="00D92714">
        <w:rPr>
          <w:sz w:val="16"/>
        </w:rPr>
        <w:t xml:space="preserve"> Treating Violence (OUP</w:t>
      </w:r>
      <w:r w:rsidRPr="00D92714">
        <w:rPr>
          <w:sz w:val="16"/>
        </w:rPr>
        <w:t xml:space="preserve"> </w:t>
      </w:r>
      <w:r w:rsidRPr="00D92714">
        <w:rPr>
          <w:sz w:val="16"/>
        </w:rPr>
        <w:t>2007) page 70. See also, for example, the judgment in R</w:t>
      </w:r>
      <w:r w:rsidRPr="00D92714">
        <w:rPr>
          <w:sz w:val="16"/>
        </w:rPr>
        <w:t xml:space="preserve"> </w:t>
      </w:r>
      <w:r w:rsidRPr="00D92714">
        <w:rPr>
          <w:sz w:val="16"/>
        </w:rPr>
        <w:t>(on the application of Warren) v Mental Health Review</w:t>
      </w:r>
      <w:r w:rsidRPr="00D92714">
        <w:rPr>
          <w:sz w:val="16"/>
        </w:rPr>
        <w:t xml:space="preserve"> </w:t>
      </w:r>
      <w:r w:rsidRPr="00D92714">
        <w:rPr>
          <w:sz w:val="16"/>
        </w:rPr>
        <w:t>Tribunal (London and North East Region</w:t>
      </w:r>
      <w:proofErr w:type="gramStart"/>
      <w:r w:rsidRPr="00D92714">
        <w:rPr>
          <w:sz w:val="16"/>
        </w:rPr>
        <w:t>)[</w:t>
      </w:r>
      <w:proofErr w:type="gramEnd"/>
      <w:r w:rsidRPr="00D92714">
        <w:rPr>
          <w:sz w:val="16"/>
        </w:rPr>
        <w:t>2002] EWHC</w:t>
      </w:r>
      <w:r w:rsidRPr="00D92714">
        <w:rPr>
          <w:sz w:val="16"/>
        </w:rPr>
        <w:t xml:space="preserve"> </w:t>
      </w:r>
      <w:r w:rsidRPr="00D92714">
        <w:rPr>
          <w:sz w:val="16"/>
        </w:rPr>
        <w:t xml:space="preserve">811 (Admin) where, at paragraph 16, Jack </w:t>
      </w:r>
      <w:proofErr w:type="spellStart"/>
      <w:r w:rsidRPr="00D92714">
        <w:rPr>
          <w:sz w:val="16"/>
        </w:rPr>
        <w:t>Beatson</w:t>
      </w:r>
      <w:proofErr w:type="spellEnd"/>
      <w:r w:rsidRPr="00D92714">
        <w:rPr>
          <w:sz w:val="16"/>
        </w:rPr>
        <w:t xml:space="preserve"> QC</w:t>
      </w:r>
      <w:r w:rsidRPr="00D92714">
        <w:rPr>
          <w:sz w:val="16"/>
        </w:rPr>
        <w:t xml:space="preserve"> </w:t>
      </w:r>
      <w:r w:rsidRPr="00D92714">
        <w:rPr>
          <w:sz w:val="16"/>
        </w:rPr>
        <w:t>referred to “the diagnostic question of whether there is a</w:t>
      </w:r>
      <w:r w:rsidRPr="00D92714">
        <w:rPr>
          <w:sz w:val="16"/>
        </w:rPr>
        <w:t xml:space="preserve"> </w:t>
      </w:r>
      <w:r w:rsidRPr="00D92714">
        <w:rPr>
          <w:sz w:val="16"/>
        </w:rPr>
        <w:t>mental disorder and the policy question of whether it is</w:t>
      </w:r>
      <w:r w:rsidRPr="00D92714">
        <w:rPr>
          <w:sz w:val="16"/>
        </w:rPr>
        <w:t xml:space="preserve"> </w:t>
      </w:r>
      <w:r w:rsidRPr="00D92714">
        <w:rPr>
          <w:sz w:val="16"/>
        </w:rPr>
        <w:t>safe to discharge”.</w:t>
      </w:r>
    </w:p>
  </w:footnote>
  <w:footnote w:id="3">
    <w:p w:rsidR="00D92714" w:rsidRPr="00D92714" w:rsidRDefault="00D92714" w:rsidP="00D92714">
      <w:pPr>
        <w:pStyle w:val="FootnoteText"/>
        <w:rPr>
          <w:sz w:val="16"/>
        </w:rPr>
      </w:pPr>
      <w:r w:rsidRPr="00D92714">
        <w:rPr>
          <w:rStyle w:val="FootnoteReference"/>
          <w:sz w:val="16"/>
        </w:rPr>
        <w:footnoteRef/>
      </w:r>
      <w:r w:rsidRPr="00D92714">
        <w:rPr>
          <w:sz w:val="16"/>
        </w:rPr>
        <w:t xml:space="preserve"> </w:t>
      </w:r>
      <w:proofErr w:type="gramStart"/>
      <w:r w:rsidRPr="00D92714">
        <w:rPr>
          <w:sz w:val="16"/>
        </w:rPr>
        <w:t>R v Canons Park Mental Health Review Tribunal ex.</w:t>
      </w:r>
      <w:r w:rsidRPr="00D92714">
        <w:rPr>
          <w:sz w:val="16"/>
        </w:rPr>
        <w:t xml:space="preserve"> </w:t>
      </w:r>
      <w:r w:rsidRPr="00D92714">
        <w:rPr>
          <w:sz w:val="16"/>
        </w:rPr>
        <w:t xml:space="preserve">parte A [1994] 1 All ER 481, at 490, per. </w:t>
      </w:r>
      <w:proofErr w:type="spellStart"/>
      <w:r w:rsidRPr="00D92714">
        <w:rPr>
          <w:sz w:val="16"/>
        </w:rPr>
        <w:t>Sedley</w:t>
      </w:r>
      <w:proofErr w:type="spellEnd"/>
      <w:r w:rsidRPr="00D92714">
        <w:rPr>
          <w:sz w:val="16"/>
        </w:rPr>
        <w:t xml:space="preserve"> J.</w:t>
      </w:r>
      <w:proofErr w:type="gramEnd"/>
    </w:p>
  </w:footnote>
  <w:footnote w:id="4">
    <w:p w:rsidR="00D92714" w:rsidRPr="00D92714" w:rsidRDefault="00D92714" w:rsidP="00D92714">
      <w:pPr>
        <w:pStyle w:val="FootnoteText"/>
        <w:rPr>
          <w:sz w:val="16"/>
        </w:rPr>
      </w:pPr>
      <w:r w:rsidRPr="00D92714">
        <w:rPr>
          <w:rStyle w:val="FootnoteReference"/>
          <w:sz w:val="16"/>
        </w:rPr>
        <w:footnoteRef/>
      </w:r>
      <w:r w:rsidRPr="00D92714">
        <w:rPr>
          <w:sz w:val="16"/>
        </w:rPr>
        <w:t xml:space="preserve"> </w:t>
      </w:r>
      <w:proofErr w:type="gramStart"/>
      <w:r w:rsidRPr="00D92714">
        <w:rPr>
          <w:sz w:val="16"/>
        </w:rPr>
        <w:t>R v London and South West Region Mental Health Review</w:t>
      </w:r>
      <w:r w:rsidRPr="00D92714">
        <w:rPr>
          <w:sz w:val="16"/>
        </w:rPr>
        <w:t xml:space="preserve"> </w:t>
      </w:r>
      <w:r w:rsidRPr="00D92714">
        <w:rPr>
          <w:sz w:val="16"/>
        </w:rPr>
        <w:t>Tribunal Ex p. Moyle [1999] MHLR 195, at para 36, per</w:t>
      </w:r>
      <w:r w:rsidRPr="00D92714">
        <w:rPr>
          <w:sz w:val="16"/>
        </w:rPr>
        <w:t xml:space="preserve"> </w:t>
      </w:r>
      <w:r w:rsidRPr="00D92714">
        <w:rPr>
          <w:sz w:val="16"/>
        </w:rPr>
        <w:t>Latham J.</w:t>
      </w:r>
      <w:proofErr w:type="gramEnd"/>
    </w:p>
  </w:footnote>
  <w:footnote w:id="5">
    <w:p w:rsidR="00613EEC" w:rsidRPr="00613EEC" w:rsidRDefault="00613EEC" w:rsidP="00613EEC">
      <w:pPr>
        <w:pStyle w:val="FootnoteText"/>
        <w:rPr>
          <w:sz w:val="16"/>
        </w:rPr>
      </w:pPr>
      <w:r w:rsidRPr="00613EEC">
        <w:rPr>
          <w:rStyle w:val="FootnoteReference"/>
          <w:sz w:val="16"/>
        </w:rPr>
        <w:footnoteRef/>
      </w:r>
      <w:r w:rsidRPr="00613EEC">
        <w:rPr>
          <w:sz w:val="16"/>
        </w:rPr>
        <w:t xml:space="preserve"> </w:t>
      </w:r>
      <w:r w:rsidRPr="00613EEC">
        <w:rPr>
          <w:sz w:val="16"/>
        </w:rPr>
        <w:t xml:space="preserve">R (on the application of H) v Mental Health Review Tribunal, North and North East London Region [2001] EWCA </w:t>
      </w:r>
      <w:proofErr w:type="spellStart"/>
      <w:r w:rsidRPr="00613EEC">
        <w:rPr>
          <w:sz w:val="16"/>
        </w:rPr>
        <w:t>Civ</w:t>
      </w:r>
      <w:proofErr w:type="spellEnd"/>
      <w:r w:rsidRPr="00613EEC">
        <w:rPr>
          <w:sz w:val="16"/>
        </w:rPr>
        <w:t xml:space="preserve"> 415,</w:t>
      </w:r>
      <w:r w:rsidRPr="00613EEC">
        <w:rPr>
          <w:sz w:val="16"/>
        </w:rPr>
        <w:t xml:space="preserve"> </w:t>
      </w:r>
      <w:r w:rsidRPr="00613EEC">
        <w:rPr>
          <w:sz w:val="16"/>
        </w:rPr>
        <w:t>at para 33, per Lord Phillips MR.</w:t>
      </w:r>
    </w:p>
  </w:footnote>
  <w:footnote w:id="6">
    <w:p w:rsidR="00613EEC" w:rsidRPr="00613EEC" w:rsidRDefault="00613EEC">
      <w:pPr>
        <w:pStyle w:val="FootnoteText"/>
        <w:rPr>
          <w:sz w:val="16"/>
        </w:rPr>
      </w:pPr>
      <w:r w:rsidRPr="00613EEC">
        <w:rPr>
          <w:rStyle w:val="FootnoteReference"/>
          <w:sz w:val="16"/>
        </w:rPr>
        <w:footnoteRef/>
      </w:r>
      <w:r w:rsidRPr="00613EEC">
        <w:rPr>
          <w:sz w:val="16"/>
        </w:rPr>
        <w:t xml:space="preserve"> </w:t>
      </w:r>
      <w:proofErr w:type="spellStart"/>
      <w:proofErr w:type="gramStart"/>
      <w:r w:rsidRPr="00613EEC">
        <w:rPr>
          <w:sz w:val="16"/>
        </w:rPr>
        <w:t>Litwa</w:t>
      </w:r>
      <w:proofErr w:type="spellEnd"/>
      <w:r w:rsidRPr="00613EEC">
        <w:rPr>
          <w:sz w:val="16"/>
        </w:rPr>
        <w:t xml:space="preserve"> v Poland (2001) 33 EHRR 53, at para 78.</w:t>
      </w:r>
      <w:proofErr w:type="gramEnd"/>
    </w:p>
  </w:footnote>
  <w:footnote w:id="7">
    <w:p w:rsidR="00613EEC" w:rsidRPr="00613EEC" w:rsidRDefault="00613EEC" w:rsidP="00613EEC">
      <w:pPr>
        <w:pStyle w:val="FootnoteText"/>
        <w:rPr>
          <w:sz w:val="16"/>
        </w:rPr>
      </w:pPr>
      <w:r w:rsidRPr="00613EEC">
        <w:rPr>
          <w:rStyle w:val="FootnoteReference"/>
          <w:sz w:val="16"/>
        </w:rPr>
        <w:footnoteRef/>
      </w:r>
      <w:r w:rsidRPr="00613EEC">
        <w:rPr>
          <w:sz w:val="16"/>
        </w:rPr>
        <w:t xml:space="preserve"> </w:t>
      </w:r>
      <w:proofErr w:type="gramStart"/>
      <w:r w:rsidRPr="00613EEC">
        <w:rPr>
          <w:sz w:val="16"/>
        </w:rPr>
        <w:t>R (on the application of B) v Dr SS (Responsible Medical Officer), Second Opinion Appointed Doctor and the Secretary of</w:t>
      </w:r>
      <w:r w:rsidRPr="00613EEC">
        <w:rPr>
          <w:sz w:val="16"/>
        </w:rPr>
        <w:t xml:space="preserve"> </w:t>
      </w:r>
      <w:r w:rsidRPr="00613EEC">
        <w:rPr>
          <w:sz w:val="16"/>
        </w:rPr>
        <w:t xml:space="preserve">State for Health [2006] EWCA </w:t>
      </w:r>
      <w:proofErr w:type="spellStart"/>
      <w:r w:rsidRPr="00613EEC">
        <w:rPr>
          <w:sz w:val="16"/>
        </w:rPr>
        <w:t>Civ</w:t>
      </w:r>
      <w:proofErr w:type="spellEnd"/>
      <w:r w:rsidRPr="00613EEC">
        <w:rPr>
          <w:sz w:val="16"/>
        </w:rPr>
        <w:t xml:space="preserve"> 28, at para 47, per Lord Phillips CJ.</w:t>
      </w:r>
      <w:proofErr w:type="gramEnd"/>
    </w:p>
  </w:footnote>
  <w:footnote w:id="8">
    <w:p w:rsidR="00613EEC" w:rsidRPr="00613EEC" w:rsidRDefault="00613EEC">
      <w:pPr>
        <w:pStyle w:val="FootnoteText"/>
        <w:rPr>
          <w:sz w:val="16"/>
        </w:rPr>
      </w:pPr>
      <w:r w:rsidRPr="00613EEC">
        <w:rPr>
          <w:rStyle w:val="FootnoteReference"/>
          <w:sz w:val="16"/>
        </w:rPr>
        <w:footnoteRef/>
      </w:r>
      <w:r w:rsidRPr="00613EEC">
        <w:rPr>
          <w:sz w:val="16"/>
        </w:rPr>
        <w:t xml:space="preserve"> </w:t>
      </w:r>
      <w:proofErr w:type="gramStart"/>
      <w:r w:rsidRPr="00613EEC">
        <w:rPr>
          <w:sz w:val="16"/>
        </w:rPr>
        <w:t>Ibid, at para 50.</w:t>
      </w:r>
      <w:proofErr w:type="gramEnd"/>
    </w:p>
  </w:footnote>
  <w:footnote w:id="9">
    <w:p w:rsidR="00613EEC" w:rsidRPr="00613EEC" w:rsidRDefault="00613EEC" w:rsidP="00613EEC">
      <w:pPr>
        <w:pStyle w:val="FootnoteText"/>
        <w:rPr>
          <w:sz w:val="16"/>
        </w:rPr>
      </w:pPr>
      <w:r w:rsidRPr="00613EEC">
        <w:rPr>
          <w:rStyle w:val="FootnoteReference"/>
          <w:sz w:val="16"/>
        </w:rPr>
        <w:footnoteRef/>
      </w:r>
      <w:r w:rsidRPr="00613EEC">
        <w:rPr>
          <w:sz w:val="16"/>
        </w:rPr>
        <w:t xml:space="preserve"> </w:t>
      </w:r>
      <w:r w:rsidRPr="00613EEC">
        <w:rPr>
          <w:sz w:val="16"/>
        </w:rPr>
        <w:t>This is stated in the authors’ paper: “So long as it is clearly applicable to the circumstances the advance decision has effect as if</w:t>
      </w:r>
      <w:r w:rsidRPr="00613EEC">
        <w:rPr>
          <w:sz w:val="16"/>
        </w:rPr>
        <w:t xml:space="preserve"> </w:t>
      </w:r>
      <w:r w:rsidRPr="00613EEC">
        <w:rPr>
          <w:sz w:val="16"/>
        </w:rPr>
        <w:t>the person had the capacity to make such a decision at the later time. Such decisions may still be overridden when treatment</w:t>
      </w:r>
      <w:r w:rsidRPr="00613EEC">
        <w:rPr>
          <w:sz w:val="16"/>
        </w:rPr>
        <w:t xml:space="preserve"> </w:t>
      </w:r>
      <w:r w:rsidRPr="00613EEC">
        <w:rPr>
          <w:sz w:val="16"/>
        </w:rPr>
        <w:t>without the consent of the person is expressly authorised by the Act.” It is not, however, incorporated into the Model Law,</w:t>
      </w:r>
      <w:r w:rsidRPr="00613EEC">
        <w:rPr>
          <w:sz w:val="16"/>
        </w:rPr>
        <w:t xml:space="preserve"> </w:t>
      </w:r>
      <w:r w:rsidRPr="00613EEC">
        <w:rPr>
          <w:sz w:val="16"/>
        </w:rPr>
        <w:t>clauses 53 and 54 of which make no reference to advance decisions being overridden in these circumstances. Neither the paper</w:t>
      </w:r>
      <w:r w:rsidRPr="00613EEC">
        <w:rPr>
          <w:sz w:val="16"/>
        </w:rPr>
        <w:t xml:space="preserve"> </w:t>
      </w:r>
      <w:r w:rsidRPr="00613EEC">
        <w:rPr>
          <w:sz w:val="16"/>
        </w:rPr>
        <w:t>nor the Model Law says whether the decision of a person’s substitute decision maker (SDM) could be overridden where the</w:t>
      </w:r>
      <w:r w:rsidRPr="00613EEC">
        <w:rPr>
          <w:sz w:val="16"/>
        </w:rPr>
        <w:t xml:space="preserve"> </w:t>
      </w:r>
      <w:r w:rsidRPr="00613EEC">
        <w:rPr>
          <w:sz w:val="16"/>
        </w:rPr>
        <w:t>clause 21 criteria are satisfied.</w:t>
      </w:r>
    </w:p>
  </w:footnote>
  <w:footnote w:id="10">
    <w:p w:rsidR="00C30E28" w:rsidRPr="00C30E28" w:rsidRDefault="00C30E28">
      <w:pPr>
        <w:pStyle w:val="FootnoteText"/>
        <w:rPr>
          <w:sz w:val="16"/>
        </w:rPr>
      </w:pPr>
      <w:r w:rsidRPr="00C30E28">
        <w:rPr>
          <w:rStyle w:val="FootnoteReference"/>
          <w:sz w:val="16"/>
        </w:rPr>
        <w:footnoteRef/>
      </w:r>
      <w:r w:rsidRPr="00C30E28">
        <w:rPr>
          <w:sz w:val="16"/>
        </w:rPr>
        <w:t xml:space="preserve"> This is required by Article 5(4) of the European Convention on Human Rights.</w:t>
      </w:r>
    </w:p>
  </w:footnote>
  <w:footnote w:id="11">
    <w:p w:rsidR="00C30E28" w:rsidRPr="00C30E28" w:rsidRDefault="00C30E28" w:rsidP="00C30E28">
      <w:pPr>
        <w:pStyle w:val="FootnoteText"/>
        <w:rPr>
          <w:sz w:val="16"/>
        </w:rPr>
      </w:pPr>
      <w:r w:rsidRPr="00C30E28">
        <w:rPr>
          <w:rStyle w:val="FootnoteReference"/>
          <w:sz w:val="16"/>
        </w:rPr>
        <w:footnoteRef/>
      </w:r>
      <w:r w:rsidRPr="00C30E28">
        <w:rPr>
          <w:sz w:val="16"/>
        </w:rPr>
        <w:t xml:space="preserve"> </w:t>
      </w:r>
      <w:r w:rsidRPr="00C30E28">
        <w:rPr>
          <w:sz w:val="16"/>
        </w:rPr>
        <w:t>In describing the legal test under the MHA I have deliberately omitted the appropriate treatment criterion (“that appropriate</w:t>
      </w:r>
      <w:r w:rsidRPr="00C30E28">
        <w:rPr>
          <w:sz w:val="16"/>
        </w:rPr>
        <w:t xml:space="preserve"> </w:t>
      </w:r>
      <w:r w:rsidRPr="00C30E28">
        <w:rPr>
          <w:sz w:val="16"/>
        </w:rPr>
        <w:t>medical treatment is available for him”) which was introduced by the Mental Health Act 2007.</w:t>
      </w:r>
    </w:p>
  </w:footnote>
  <w:footnote w:id="12">
    <w:p w:rsidR="00C30E28" w:rsidRPr="00C30E28" w:rsidRDefault="00C30E28">
      <w:pPr>
        <w:pStyle w:val="FootnoteText"/>
        <w:rPr>
          <w:sz w:val="16"/>
        </w:rPr>
      </w:pPr>
      <w:r w:rsidRPr="00C30E28">
        <w:rPr>
          <w:rStyle w:val="FootnoteReference"/>
          <w:sz w:val="16"/>
        </w:rPr>
        <w:footnoteRef/>
      </w:r>
      <w:r w:rsidRPr="00C30E28">
        <w:rPr>
          <w:sz w:val="16"/>
        </w:rPr>
        <w:t xml:space="preserve"> Taken from: ‘Mental Health: Tribunal Procedure’, </w:t>
      </w:r>
      <w:proofErr w:type="spellStart"/>
      <w:r w:rsidRPr="00C30E28">
        <w:rPr>
          <w:sz w:val="16"/>
        </w:rPr>
        <w:t>Gostin</w:t>
      </w:r>
      <w:proofErr w:type="spellEnd"/>
      <w:r w:rsidRPr="00C30E28">
        <w:rPr>
          <w:sz w:val="16"/>
        </w:rPr>
        <w:t xml:space="preserve"> and Fennell Longman, 2nd </w:t>
      </w:r>
      <w:proofErr w:type="gramStart"/>
      <w:r w:rsidRPr="00C30E28">
        <w:rPr>
          <w:sz w:val="16"/>
        </w:rPr>
        <w:t>edition.,</w:t>
      </w:r>
      <w:proofErr w:type="gramEnd"/>
      <w:r w:rsidRPr="00C30E28">
        <w:rPr>
          <w:sz w:val="16"/>
        </w:rPr>
        <w:t xml:space="preserve"> 1992 page 4.</w:t>
      </w:r>
    </w:p>
  </w:footnote>
  <w:footnote w:id="13">
    <w:p w:rsidR="00C30E28" w:rsidRPr="00C30E28" w:rsidRDefault="00C30E28" w:rsidP="00C30E28">
      <w:pPr>
        <w:pStyle w:val="FootnoteText"/>
        <w:rPr>
          <w:sz w:val="16"/>
        </w:rPr>
      </w:pPr>
      <w:r w:rsidRPr="00C30E28">
        <w:rPr>
          <w:rStyle w:val="FootnoteReference"/>
          <w:sz w:val="16"/>
        </w:rPr>
        <w:footnoteRef/>
      </w:r>
      <w:r w:rsidRPr="00C30E28">
        <w:rPr>
          <w:sz w:val="16"/>
        </w:rPr>
        <w:t xml:space="preserve"> </w:t>
      </w:r>
      <w:r w:rsidRPr="00C30E28">
        <w:rPr>
          <w:sz w:val="16"/>
        </w:rPr>
        <w:t xml:space="preserve">I have omitted the treatment criterion, “that the treatment is likely to alleviate or prevent </w:t>
      </w:r>
      <w:proofErr w:type="gramStart"/>
      <w:r w:rsidRPr="00C30E28">
        <w:rPr>
          <w:sz w:val="16"/>
        </w:rPr>
        <w:t>a deterioration</w:t>
      </w:r>
      <w:proofErr w:type="gramEnd"/>
      <w:r w:rsidRPr="00C30E28">
        <w:rPr>
          <w:sz w:val="16"/>
        </w:rPr>
        <w:t xml:space="preserve"> in the patient’s</w:t>
      </w:r>
      <w:r w:rsidRPr="00C30E28">
        <w:rPr>
          <w:sz w:val="16"/>
        </w:rPr>
        <w:t xml:space="preserve"> </w:t>
      </w:r>
      <w:r w:rsidRPr="00C30E28">
        <w:rPr>
          <w:sz w:val="16"/>
        </w:rPr>
        <w:t>condition”. Although this is different from the MHA appropriate treatment criterion (see footnote 11 above) either formulation</w:t>
      </w:r>
      <w:r w:rsidRPr="00C30E28">
        <w:rPr>
          <w:sz w:val="16"/>
        </w:rPr>
        <w:t xml:space="preserve"> </w:t>
      </w:r>
      <w:r w:rsidRPr="00C30E28">
        <w:rPr>
          <w:sz w:val="16"/>
        </w:rPr>
        <w:t>is compatible with either traditional mental health law or a capacity-based law.</w:t>
      </w:r>
    </w:p>
  </w:footnote>
  <w:footnote w:id="14">
    <w:p w:rsidR="00C30E28" w:rsidRPr="00C30E28" w:rsidRDefault="00C30E28" w:rsidP="00C30E28">
      <w:pPr>
        <w:pStyle w:val="FootnoteText"/>
        <w:rPr>
          <w:sz w:val="16"/>
        </w:rPr>
      </w:pPr>
      <w:r w:rsidRPr="00C30E28">
        <w:rPr>
          <w:rStyle w:val="FootnoteReference"/>
          <w:sz w:val="16"/>
        </w:rPr>
        <w:footnoteRef/>
      </w:r>
      <w:r w:rsidRPr="00C30E28">
        <w:rPr>
          <w:sz w:val="16"/>
        </w:rPr>
        <w:t xml:space="preserve"> </w:t>
      </w:r>
      <w:r w:rsidRPr="00C30E28">
        <w:rPr>
          <w:sz w:val="16"/>
        </w:rPr>
        <w:t>This point was articulated by Judge Marshall QC, sitting as a nominated judge of the Court of Protection, in Re S and S</w:t>
      </w:r>
      <w:r w:rsidRPr="00C30E28">
        <w:rPr>
          <w:sz w:val="16"/>
        </w:rPr>
        <w:t xml:space="preserve"> </w:t>
      </w:r>
      <w:r w:rsidRPr="00C30E28">
        <w:rPr>
          <w:sz w:val="16"/>
        </w:rPr>
        <w:t>(Protected Persons), cases 11475121 and 11475138, Judgment given on 25th November 2008. The judge said that “having his</w:t>
      </w:r>
      <w:r w:rsidRPr="00C30E28">
        <w:rPr>
          <w:sz w:val="16"/>
        </w:rPr>
        <w:t xml:space="preserve"> </w:t>
      </w:r>
      <w:r w:rsidRPr="00C30E28">
        <w:rPr>
          <w:sz w:val="16"/>
        </w:rPr>
        <w:t>views and wishes taken into account and respected is a very significant aspect of P’s best interests”. The converse of this is “the</w:t>
      </w:r>
      <w:r w:rsidRPr="00C30E28">
        <w:rPr>
          <w:sz w:val="16"/>
        </w:rPr>
        <w:t xml:space="preserve"> </w:t>
      </w:r>
      <w:r w:rsidRPr="00C30E28">
        <w:rPr>
          <w:sz w:val="16"/>
        </w:rPr>
        <w:t>sense of frustration, impotence, anger and lack of self-worth” that P might experience in having his expressed wishes overruled.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D8"/>
    <w:rsid w:val="00081B23"/>
    <w:rsid w:val="005F3FD8"/>
    <w:rsid w:val="00613EEC"/>
    <w:rsid w:val="00C30E28"/>
    <w:rsid w:val="00D92714"/>
    <w:rsid w:val="00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3F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F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F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3F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F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CEDD-2A8C-44EC-98CF-CAFCF93F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4</cp:revision>
  <dcterms:created xsi:type="dcterms:W3CDTF">2014-11-12T13:11:00Z</dcterms:created>
  <dcterms:modified xsi:type="dcterms:W3CDTF">2014-11-12T14:43:00Z</dcterms:modified>
</cp:coreProperties>
</file>