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B0" w:rsidRPr="00250BB0" w:rsidRDefault="00250BB0" w:rsidP="00250BB0">
      <w:pPr>
        <w:rPr>
          <w:sz w:val="40"/>
          <w:szCs w:val="40"/>
        </w:rPr>
      </w:pPr>
      <w:r w:rsidRPr="00250BB0">
        <w:rPr>
          <w:sz w:val="40"/>
          <w:szCs w:val="40"/>
        </w:rPr>
        <w:t>Community Care and the Law, by Luke Clements, Second Edition</w:t>
      </w:r>
    </w:p>
    <w:p w:rsidR="00250BB0" w:rsidRPr="00250BB0" w:rsidRDefault="00250BB0" w:rsidP="00250BB0">
      <w:pPr>
        <w:rPr>
          <w:sz w:val="28"/>
          <w:szCs w:val="28"/>
        </w:rPr>
      </w:pPr>
      <w:r w:rsidRPr="00250BB0">
        <w:rPr>
          <w:sz w:val="28"/>
          <w:szCs w:val="28"/>
        </w:rPr>
        <w:t>Published by Legal Action Group 2000, £30</w:t>
      </w:r>
    </w:p>
    <w:p w:rsidR="00250BB0" w:rsidRDefault="00250BB0" w:rsidP="00250BB0">
      <w:pPr>
        <w:spacing w:line="240" w:lineRule="auto"/>
      </w:pPr>
    </w:p>
    <w:p w:rsidR="00250BB0" w:rsidRDefault="00250BB0" w:rsidP="00250BB0">
      <w:pPr>
        <w:spacing w:line="240" w:lineRule="auto"/>
      </w:pPr>
      <w:r>
        <w:t>In Luke Clements’ Introduction to this revised second edition he describes the state of community</w:t>
      </w:r>
    </w:p>
    <w:p w:rsidR="00250BB0" w:rsidRDefault="00250BB0" w:rsidP="00250BB0">
      <w:pPr>
        <w:spacing w:line="240" w:lineRule="auto"/>
      </w:pPr>
      <w:r>
        <w:t>care law as a “mess” and a “hotchpotch” of conflicting statutes which have been enacted over a</w:t>
      </w:r>
    </w:p>
    <w:p w:rsidR="00250BB0" w:rsidRDefault="00250BB0" w:rsidP="00250BB0">
      <w:pPr>
        <w:spacing w:line="240" w:lineRule="auto"/>
      </w:pPr>
      <w:r>
        <w:t>period of 50 years with no unifying principles underlying them. It is, he says, “crying out for</w:t>
      </w:r>
    </w:p>
    <w:p w:rsidR="00250BB0" w:rsidRDefault="00250BB0" w:rsidP="00250BB0">
      <w:pPr>
        <w:spacing w:line="240" w:lineRule="auto"/>
      </w:pPr>
      <w:r>
        <w:t>codification”. That cry for reform seems no closer to being answered than it was four years ago</w:t>
      </w:r>
    </w:p>
    <w:p w:rsidR="00250BB0" w:rsidRDefault="00250BB0" w:rsidP="00250BB0">
      <w:pPr>
        <w:spacing w:line="240" w:lineRule="auto"/>
      </w:pPr>
      <w:r>
        <w:t>when the first edition was published. However the cries of those trying to study, teach and apply</w:t>
      </w:r>
    </w:p>
    <w:p w:rsidR="00250BB0" w:rsidRDefault="00250BB0" w:rsidP="00250BB0">
      <w:pPr>
        <w:spacing w:line="240" w:lineRule="auto"/>
      </w:pPr>
      <w:r>
        <w:t>community care law have been responded to with the publication of this book.</w:t>
      </w:r>
    </w:p>
    <w:p w:rsidR="00250BB0" w:rsidRDefault="00250BB0" w:rsidP="00250BB0">
      <w:pPr>
        <w:spacing w:line="240" w:lineRule="auto"/>
      </w:pPr>
    </w:p>
    <w:p w:rsidR="00250BB0" w:rsidRDefault="00250BB0" w:rsidP="00250BB0">
      <w:pPr>
        <w:spacing w:line="240" w:lineRule="auto"/>
      </w:pPr>
      <w:r>
        <w:t>The aim is to state the law as of April 2000 though some later developments are also mentioned.</w:t>
      </w:r>
    </w:p>
    <w:p w:rsidR="00250BB0" w:rsidRDefault="00250BB0" w:rsidP="00250BB0">
      <w:pPr>
        <w:spacing w:line="240" w:lineRule="auto"/>
      </w:pPr>
      <w:r>
        <w:t>The author is to some extent the victim of his own success because the first edition (and other</w:t>
      </w:r>
    </w:p>
    <w:p w:rsidR="00250BB0" w:rsidRDefault="00250BB0" w:rsidP="00250BB0">
      <w:pPr>
        <w:spacing w:line="240" w:lineRule="auto"/>
      </w:pPr>
      <w:r>
        <w:t>books by Gordon and Mackintosh</w:t>
      </w:r>
      <w:r w:rsidR="0067499B">
        <w:rPr>
          <w:rStyle w:val="FootnoteReference"/>
        </w:rPr>
        <w:footnoteReference w:id="1"/>
      </w:r>
      <w:r>
        <w:t xml:space="preserve"> and Mandelstam</w:t>
      </w:r>
      <w:r w:rsidR="0067499B">
        <w:rPr>
          <w:rStyle w:val="FootnoteReference"/>
        </w:rPr>
        <w:footnoteReference w:id="2"/>
      </w:r>
      <w:r>
        <w:t>) played a vital part in “opening up”</w:t>
      </w:r>
    </w:p>
    <w:p w:rsidR="00250BB0" w:rsidRDefault="00250BB0" w:rsidP="00250BB0">
      <w:pPr>
        <w:spacing w:line="240" w:lineRule="auto"/>
      </w:pPr>
      <w:r>
        <w:t>community care law and in encouraging service users and their advisers to bring legal challenges.</w:t>
      </w:r>
    </w:p>
    <w:p w:rsidR="00250BB0" w:rsidRDefault="00250BB0" w:rsidP="00250BB0">
      <w:pPr>
        <w:spacing w:line="240" w:lineRule="auto"/>
      </w:pPr>
      <w:r>
        <w:t>In the four years since the first edition of the book the pace of change in community care law has</w:t>
      </w:r>
    </w:p>
    <w:p w:rsidR="00250BB0" w:rsidRDefault="00250BB0" w:rsidP="00250BB0">
      <w:pPr>
        <w:spacing w:line="240" w:lineRule="auto"/>
      </w:pPr>
      <w:r>
        <w:t>accelerated enormously making it inevitable that the most recent developments cannot be</w:t>
      </w:r>
    </w:p>
    <w:p w:rsidR="00250BB0" w:rsidRDefault="00250BB0" w:rsidP="00250BB0">
      <w:pPr>
        <w:spacing w:line="240" w:lineRule="auto"/>
      </w:pPr>
      <w:r>
        <w:t>included. For example in the discussion of the Immigration and Asylum Act 1999 no reference is</w:t>
      </w:r>
    </w:p>
    <w:p w:rsidR="00250BB0" w:rsidRDefault="00250BB0" w:rsidP="00250BB0">
      <w:pPr>
        <w:spacing w:line="240" w:lineRule="auto"/>
      </w:pPr>
      <w:r>
        <w:t xml:space="preserve">made to the important case of </w:t>
      </w:r>
      <w:r w:rsidRPr="0067499B">
        <w:rPr>
          <w:i/>
        </w:rPr>
        <w:t>ex p.</w:t>
      </w:r>
      <w:r>
        <w:t xml:space="preserve"> O</w:t>
      </w:r>
      <w:r w:rsidR="0067499B">
        <w:rPr>
          <w:rStyle w:val="FootnoteReference"/>
        </w:rPr>
        <w:footnoteReference w:id="3"/>
      </w:r>
      <w:r>
        <w:t xml:space="preserve"> in which the Court of Appeal all but refused on policy</w:t>
      </w:r>
    </w:p>
    <w:p w:rsidR="00250BB0" w:rsidRDefault="00250BB0" w:rsidP="00250BB0">
      <w:pPr>
        <w:spacing w:line="240" w:lineRule="auto"/>
      </w:pPr>
      <w:r>
        <w:t>grounds to give statutory wording its natural and obvious meaning. Neither has it been possible to</w:t>
      </w:r>
    </w:p>
    <w:p w:rsidR="00250BB0" w:rsidRDefault="00250BB0" w:rsidP="00250BB0">
      <w:pPr>
        <w:spacing w:line="240" w:lineRule="auto"/>
      </w:pPr>
      <w:r>
        <w:t>include a discussion of the Court of Appeal’s decision in the second Re F case on the inherent</w:t>
      </w:r>
    </w:p>
    <w:p w:rsidR="00250BB0" w:rsidRDefault="00250BB0" w:rsidP="00250BB0">
      <w:pPr>
        <w:spacing w:line="240" w:lineRule="auto"/>
      </w:pPr>
      <w:r>
        <w:t>jurisdiction of the High Court concerning mentally incapacitated persons</w:t>
      </w:r>
      <w:r w:rsidR="0067499B">
        <w:rPr>
          <w:rStyle w:val="FootnoteReference"/>
        </w:rPr>
        <w:footnoteReference w:id="4"/>
      </w:r>
      <w:r>
        <w:t>. Clements, with good</w:t>
      </w:r>
    </w:p>
    <w:p w:rsidR="00250BB0" w:rsidRDefault="00250BB0" w:rsidP="00250BB0">
      <w:pPr>
        <w:spacing w:line="240" w:lineRule="auto"/>
      </w:pPr>
      <w:r>
        <w:t>reason, refers to the interface between health and social care as a “minefield”. Here again the rapid</w:t>
      </w:r>
    </w:p>
    <w:p w:rsidR="00250BB0" w:rsidRDefault="00250BB0" w:rsidP="00250BB0">
      <w:pPr>
        <w:spacing w:line="240" w:lineRule="auto"/>
      </w:pPr>
      <w:r>
        <w:t>pace of change has meant that the book does not quite keep up with the very latest developments</w:t>
      </w:r>
    </w:p>
    <w:p w:rsidR="00250BB0" w:rsidRDefault="00250BB0" w:rsidP="00250BB0">
      <w:pPr>
        <w:spacing w:line="240" w:lineRule="auto"/>
      </w:pPr>
      <w:r>
        <w:t>such as the details of partnership arrangements under the Health Act 1999, the NHS National Plan</w:t>
      </w:r>
    </w:p>
    <w:p w:rsidR="00250BB0" w:rsidRDefault="00250BB0" w:rsidP="00250BB0">
      <w:pPr>
        <w:spacing w:line="240" w:lineRule="auto"/>
      </w:pPr>
      <w:r>
        <w:t>and proposals for social care trusts.</w:t>
      </w:r>
    </w:p>
    <w:p w:rsidR="00250BB0" w:rsidRDefault="00250BB0" w:rsidP="00250BB0">
      <w:pPr>
        <w:spacing w:line="240" w:lineRule="auto"/>
      </w:pPr>
    </w:p>
    <w:p w:rsidR="00250BB0" w:rsidRDefault="00250BB0" w:rsidP="00250BB0">
      <w:pPr>
        <w:spacing w:line="240" w:lineRule="auto"/>
      </w:pPr>
      <w:r>
        <w:t>The basic structure of the work is retained, with introductory chapters on the sources of</w:t>
      </w:r>
    </w:p>
    <w:p w:rsidR="00250BB0" w:rsidRDefault="00250BB0" w:rsidP="00250BB0">
      <w:pPr>
        <w:spacing w:line="240" w:lineRule="auto"/>
      </w:pPr>
      <w:r>
        <w:t>community care law and the duties to plan and assess, followed by chapters dealing with specific</w:t>
      </w:r>
    </w:p>
    <w:p w:rsidR="00250BB0" w:rsidRDefault="00250BB0" w:rsidP="00250BB0">
      <w:pPr>
        <w:spacing w:line="240" w:lineRule="auto"/>
      </w:pPr>
      <w:r>
        <w:t>subject areas such as residential accommodation, NHS responsibilities for community care</w:t>
      </w:r>
    </w:p>
    <w:p w:rsidR="00250BB0" w:rsidRDefault="00250BB0" w:rsidP="00250BB0">
      <w:pPr>
        <w:spacing w:line="240" w:lineRule="auto"/>
      </w:pPr>
      <w:r>
        <w:t>services, charging and the interplay between housing and community care. The last chapter in the</w:t>
      </w:r>
    </w:p>
    <w:p w:rsidR="00250BB0" w:rsidRDefault="00250BB0" w:rsidP="00250BB0">
      <w:pPr>
        <w:spacing w:line="240" w:lineRule="auto"/>
      </w:pPr>
      <w:r>
        <w:t>book deals with remedies including judicial review and the Human Rights Act. There is a clear</w:t>
      </w:r>
    </w:p>
    <w:p w:rsidR="00250BB0" w:rsidRDefault="00250BB0" w:rsidP="00250BB0">
      <w:pPr>
        <w:spacing w:line="240" w:lineRule="auto"/>
      </w:pPr>
      <w:r>
        <w:t>account of the grounds for, and the procedures of, judicial review before the coming into force of</w:t>
      </w:r>
    </w:p>
    <w:p w:rsidR="00250BB0" w:rsidRDefault="00250BB0" w:rsidP="00250BB0">
      <w:pPr>
        <w:spacing w:line="240" w:lineRule="auto"/>
      </w:pPr>
      <w:r>
        <w:t>the Human Rights Act and the introduction of new rules setting up the Administrative Court.</w:t>
      </w:r>
    </w:p>
    <w:p w:rsidR="00250BB0" w:rsidRDefault="00250BB0" w:rsidP="00250BB0">
      <w:pPr>
        <w:spacing w:line="240" w:lineRule="auto"/>
      </w:pPr>
      <w:r>
        <w:t>However the text does not attempt to discuss to what extent, after the Human Rights Act, the</w:t>
      </w:r>
    </w:p>
    <w:p w:rsidR="00250BB0" w:rsidRDefault="00250BB0" w:rsidP="00250BB0">
      <w:pPr>
        <w:spacing w:line="240" w:lineRule="auto"/>
      </w:pPr>
      <w:r>
        <w:t>Administrative Court will be prepared to go beyond the “anxious scrutiny” of decisions touching</w:t>
      </w:r>
    </w:p>
    <w:p w:rsidR="00250BB0" w:rsidRDefault="00250BB0" w:rsidP="00250BB0">
      <w:pPr>
        <w:spacing w:line="240" w:lineRule="auto"/>
      </w:pPr>
      <w:proofErr w:type="gramStart"/>
      <w:r>
        <w:t>on</w:t>
      </w:r>
      <w:proofErr w:type="gramEnd"/>
      <w:r>
        <w:t xml:space="preserve"> human rights issues, and review directly the merits of decisions before it. It is also somewhat</w:t>
      </w:r>
    </w:p>
    <w:p w:rsidR="00250BB0" w:rsidRDefault="00250BB0" w:rsidP="00250BB0">
      <w:pPr>
        <w:spacing w:line="240" w:lineRule="auto"/>
      </w:pPr>
      <w:r>
        <w:t>surprising, given the expertise of the author in the human rights field, that his discussion of</w:t>
      </w:r>
    </w:p>
    <w:p w:rsidR="00250BB0" w:rsidRDefault="00250BB0" w:rsidP="00250BB0">
      <w:pPr>
        <w:spacing w:line="240" w:lineRule="auto"/>
      </w:pPr>
      <w:r>
        <w:t>human rights issues is largely confined to the remedies chapter rather than more closely integrated</w:t>
      </w:r>
    </w:p>
    <w:p w:rsidR="00F9680E" w:rsidRDefault="00250BB0" w:rsidP="00250BB0">
      <w:pPr>
        <w:spacing w:line="240" w:lineRule="auto"/>
      </w:pPr>
      <w:proofErr w:type="gramStart"/>
      <w:r>
        <w:t>into</w:t>
      </w:r>
      <w:proofErr w:type="gramEnd"/>
      <w:r>
        <w:t xml:space="preserve"> the main body of the text.</w:t>
      </w:r>
    </w:p>
    <w:p w:rsidR="00E65724" w:rsidRDefault="00E65724" w:rsidP="00250BB0">
      <w:pPr>
        <w:spacing w:line="240" w:lineRule="auto"/>
      </w:pPr>
    </w:p>
    <w:p w:rsidR="00E65724" w:rsidRDefault="00E65724" w:rsidP="00E65724">
      <w:pPr>
        <w:spacing w:line="240" w:lineRule="auto"/>
      </w:pPr>
      <w:r>
        <w:t>Turning to the treatment of some specific issues of interest to mental health lawyers the new</w:t>
      </w:r>
    </w:p>
    <w:p w:rsidR="00E65724" w:rsidRDefault="00E65724" w:rsidP="00E65724">
      <w:pPr>
        <w:spacing w:line="240" w:lineRule="auto"/>
      </w:pPr>
      <w:r>
        <w:t>edition deals with a number of cases dealing with the housing rights of the mentally disordered.</w:t>
      </w:r>
    </w:p>
    <w:p w:rsidR="00E65724" w:rsidRDefault="00E65724" w:rsidP="00E65724">
      <w:pPr>
        <w:spacing w:line="240" w:lineRule="auto"/>
      </w:pPr>
      <w:r>
        <w:t xml:space="preserve">These include the decision of the Court of Appeal in </w:t>
      </w:r>
      <w:r w:rsidRPr="00E65724">
        <w:rPr>
          <w:i/>
        </w:rPr>
        <w:t>Croydon LBC v. Moody</w:t>
      </w:r>
      <w:r>
        <w:rPr>
          <w:rStyle w:val="FootnoteReference"/>
          <w:i/>
        </w:rPr>
        <w:footnoteReference w:id="5"/>
      </w:r>
      <w:r>
        <w:t xml:space="preserve"> that in considering</w:t>
      </w:r>
    </w:p>
    <w:p w:rsidR="00E65724" w:rsidRDefault="00E65724" w:rsidP="00E65724">
      <w:pPr>
        <w:spacing w:line="240" w:lineRule="auto"/>
      </w:pPr>
      <w:proofErr w:type="gramStart"/>
      <w:r>
        <w:t>the</w:t>
      </w:r>
      <w:proofErr w:type="gramEnd"/>
      <w:r>
        <w:t xml:space="preserve"> reasonableness of a possession order on the grounds of nuisance, the fact that the tenant had</w:t>
      </w:r>
    </w:p>
    <w:p w:rsidR="00E65724" w:rsidRDefault="00E65724" w:rsidP="00E65724">
      <w:pPr>
        <w:spacing w:line="240" w:lineRule="auto"/>
      </w:pPr>
      <w:r>
        <w:t>agreed to treatment for his treatable personality disorder should be taken into account, and the</w:t>
      </w:r>
    </w:p>
    <w:p w:rsidR="00E65724" w:rsidRDefault="00E65724" w:rsidP="00E65724">
      <w:pPr>
        <w:spacing w:line="240" w:lineRule="auto"/>
      </w:pPr>
      <w:r>
        <w:t xml:space="preserve">important decision of Scott Baker J. in </w:t>
      </w:r>
      <w:r w:rsidRPr="009035E8">
        <w:rPr>
          <w:i/>
        </w:rPr>
        <w:t xml:space="preserve">ex p. </w:t>
      </w:r>
      <w:proofErr w:type="spellStart"/>
      <w:r w:rsidRPr="009035E8">
        <w:rPr>
          <w:i/>
        </w:rPr>
        <w:t>Penfold</w:t>
      </w:r>
      <w:proofErr w:type="spellEnd"/>
      <w:r w:rsidR="009035E8">
        <w:rPr>
          <w:rStyle w:val="FootnoteReference"/>
          <w:i/>
        </w:rPr>
        <w:footnoteReference w:id="6"/>
      </w:r>
      <w:r>
        <w:t xml:space="preserve"> that “ordinary” accommodation might have</w:t>
      </w:r>
    </w:p>
    <w:p w:rsidR="00E65724" w:rsidRDefault="00E65724" w:rsidP="00E65724">
      <w:pPr>
        <w:spacing w:line="240" w:lineRule="auto"/>
      </w:pPr>
      <w:proofErr w:type="gramStart"/>
      <w:r>
        <w:t>to</w:t>
      </w:r>
      <w:proofErr w:type="gramEnd"/>
      <w:r>
        <w:t xml:space="preserve"> be provided under s.21 of the National Assistance Act 1948 even when a local authority’s</w:t>
      </w:r>
    </w:p>
    <w:p w:rsidR="00E65724" w:rsidRPr="00956B9F" w:rsidRDefault="00E65724" w:rsidP="00E65724">
      <w:pPr>
        <w:spacing w:line="240" w:lineRule="auto"/>
        <w:rPr>
          <w:i/>
        </w:rPr>
      </w:pPr>
      <w:r>
        <w:t xml:space="preserve">homelessness duty had been discharged. Also referred to is the Court of Appeal decision in </w:t>
      </w:r>
      <w:r w:rsidRPr="00956B9F">
        <w:rPr>
          <w:i/>
        </w:rPr>
        <w:t>ex p</w:t>
      </w:r>
    </w:p>
    <w:p w:rsidR="00E65724" w:rsidRDefault="00E65724" w:rsidP="00E65724">
      <w:pPr>
        <w:spacing w:line="240" w:lineRule="auto"/>
      </w:pPr>
      <w:r w:rsidRPr="00956B9F">
        <w:rPr>
          <w:i/>
        </w:rPr>
        <w:t>Kujtim</w:t>
      </w:r>
      <w:r w:rsidR="009035E8">
        <w:rPr>
          <w:rStyle w:val="FootnoteReference"/>
        </w:rPr>
        <w:footnoteReference w:id="7"/>
      </w:r>
      <w:r>
        <w:t xml:space="preserve"> on the circumstances in which </w:t>
      </w:r>
      <w:proofErr w:type="gramStart"/>
      <w:r>
        <w:t>a</w:t>
      </w:r>
      <w:proofErr w:type="gramEnd"/>
      <w:r>
        <w:t xml:space="preserve"> s.21 duty may treated as discharged by a local authority.</w:t>
      </w:r>
    </w:p>
    <w:p w:rsidR="00E65724" w:rsidRDefault="00E65724" w:rsidP="00E65724">
      <w:pPr>
        <w:spacing w:line="240" w:lineRule="auto"/>
      </w:pPr>
      <w:r>
        <w:t>That case raises a number of questions about the extent of continuing obligations of health and</w:t>
      </w:r>
    </w:p>
    <w:p w:rsidR="00E65724" w:rsidRDefault="00E65724" w:rsidP="00E65724">
      <w:pPr>
        <w:spacing w:line="240" w:lineRule="auto"/>
      </w:pPr>
      <w:r>
        <w:t>social services towards clients who are reluctant, or refuse to engage with services offered to them</w:t>
      </w:r>
    </w:p>
    <w:p w:rsidR="00E65724" w:rsidRDefault="00E65724" w:rsidP="00E65724">
      <w:pPr>
        <w:spacing w:line="240" w:lineRule="auto"/>
      </w:pPr>
      <w:r>
        <w:t>- especially when their reluctance or inability to accept help has itself been identified as a facet of</w:t>
      </w:r>
    </w:p>
    <w:p w:rsidR="00E65724" w:rsidRDefault="00E65724" w:rsidP="00E65724">
      <w:pPr>
        <w:spacing w:line="240" w:lineRule="auto"/>
      </w:pPr>
      <w:proofErr w:type="gramStart"/>
      <w:r>
        <w:t>their</w:t>
      </w:r>
      <w:proofErr w:type="gramEnd"/>
      <w:r>
        <w:t xml:space="preserve"> need.</w:t>
      </w:r>
    </w:p>
    <w:p w:rsidR="00956B9F" w:rsidRDefault="00956B9F" w:rsidP="00956B9F">
      <w:pPr>
        <w:spacing w:line="240" w:lineRule="auto"/>
      </w:pPr>
      <w:r>
        <w:lastRenderedPageBreak/>
        <w:t>Section 117 Mental Health Act 1983 duties inevitably loom large, though Clements properly</w:t>
      </w:r>
    </w:p>
    <w:p w:rsidR="00956B9F" w:rsidRDefault="00956B9F" w:rsidP="00956B9F">
      <w:pPr>
        <w:spacing w:line="240" w:lineRule="auto"/>
      </w:pPr>
      <w:r>
        <w:t>reminds us that the majority of the mentally ill and formerly mentally ill do not qualify under</w:t>
      </w:r>
    </w:p>
    <w:p w:rsidR="00956B9F" w:rsidRDefault="00956B9F" w:rsidP="00956B9F">
      <w:pPr>
        <w:spacing w:line="240" w:lineRule="auto"/>
      </w:pPr>
      <w:r>
        <w:t>s.117. Curiously, although he draws attention to the backbench origins of other important</w:t>
      </w:r>
    </w:p>
    <w:p w:rsidR="00956B9F" w:rsidRDefault="00956B9F" w:rsidP="00956B9F">
      <w:pPr>
        <w:spacing w:line="240" w:lineRule="auto"/>
      </w:pPr>
      <w:r>
        <w:t>community care provisions, he does not mention the origin of section 117 as being a backbench</w:t>
      </w:r>
    </w:p>
    <w:p w:rsidR="00956B9F" w:rsidRDefault="00956B9F" w:rsidP="00956B9F">
      <w:pPr>
        <w:spacing w:line="240" w:lineRule="auto"/>
      </w:pPr>
      <w:r>
        <w:t>amendment to the Mental Health (Amendment) Act 1982 brought by Baroness Masham.</w:t>
      </w:r>
    </w:p>
    <w:p w:rsidR="00956B9F" w:rsidRDefault="00956B9F" w:rsidP="00956B9F">
      <w:pPr>
        <w:spacing w:line="240" w:lineRule="auto"/>
      </w:pPr>
      <w:r>
        <w:t>Depending on one’s point of view, a reading of the relevant Hansard debates demonstrates either</w:t>
      </w:r>
    </w:p>
    <w:p w:rsidR="00956B9F" w:rsidRDefault="00956B9F" w:rsidP="00956B9F">
      <w:pPr>
        <w:spacing w:line="240" w:lineRule="auto"/>
      </w:pPr>
      <w:r>
        <w:t>the danger that when legislating in this manner a legislative provision will be passed by Parliament</w:t>
      </w:r>
    </w:p>
    <w:p w:rsidR="00956B9F" w:rsidRDefault="00956B9F" w:rsidP="00956B9F">
      <w:pPr>
        <w:spacing w:line="240" w:lineRule="auto"/>
      </w:pPr>
      <w:r>
        <w:t>which will prove to have far-reaching and completely unintended consequences, or the vital and</w:t>
      </w:r>
    </w:p>
    <w:p w:rsidR="00956B9F" w:rsidRDefault="00956B9F" w:rsidP="00956B9F">
      <w:pPr>
        <w:spacing w:line="240" w:lineRule="auto"/>
      </w:pPr>
      <w:r>
        <w:t>positive role of the backbencher in effecting social change.</w:t>
      </w:r>
    </w:p>
    <w:p w:rsidR="007E6FD1" w:rsidRDefault="007E6FD1" w:rsidP="00956B9F">
      <w:pPr>
        <w:spacing w:line="240" w:lineRule="auto"/>
      </w:pPr>
    </w:p>
    <w:p w:rsidR="007E6FD1" w:rsidRDefault="007E6FD1" w:rsidP="007E6FD1">
      <w:pPr>
        <w:spacing w:line="240" w:lineRule="auto"/>
      </w:pPr>
      <w:r>
        <w:t>In connection with the perennial problems in securing compliance with s.117 care planning duties,</w:t>
      </w:r>
    </w:p>
    <w:p w:rsidR="007E6FD1" w:rsidRDefault="007E6FD1" w:rsidP="007E6FD1">
      <w:pPr>
        <w:spacing w:line="240" w:lineRule="auto"/>
      </w:pPr>
      <w:r>
        <w:t xml:space="preserve">Clements refers to the decisions in the </w:t>
      </w:r>
      <w:r w:rsidRPr="007E6FD1">
        <w:rPr>
          <w:i/>
        </w:rPr>
        <w:t>Hall</w:t>
      </w:r>
      <w:r>
        <w:t xml:space="preserve"> case</w:t>
      </w:r>
      <w:r>
        <w:rPr>
          <w:rStyle w:val="FootnoteReference"/>
        </w:rPr>
        <w:footnoteReference w:id="8"/>
      </w:r>
      <w:r>
        <w:t xml:space="preserve"> and guidance,</w:t>
      </w:r>
      <w:r>
        <w:rPr>
          <w:rStyle w:val="FootnoteReference"/>
        </w:rPr>
        <w:footnoteReference w:id="9"/>
      </w:r>
      <w:r>
        <w:t xml:space="preserve"> though not the National Service</w:t>
      </w:r>
    </w:p>
    <w:p w:rsidR="007E6FD1" w:rsidRDefault="007E6FD1" w:rsidP="007E6FD1">
      <w:pPr>
        <w:spacing w:line="240" w:lineRule="auto"/>
      </w:pPr>
      <w:r>
        <w:t>Framework.</w:t>
      </w:r>
      <w:r>
        <w:rPr>
          <w:rStyle w:val="FootnoteReference"/>
        </w:rPr>
        <w:footnoteReference w:id="10"/>
      </w:r>
      <w:r>
        <w:t xml:space="preserve"> The decision in the case of </w:t>
      </w:r>
      <w:r w:rsidRPr="007E6FD1">
        <w:rPr>
          <w:i/>
        </w:rPr>
        <w:t>ex p. K</w:t>
      </w:r>
      <w:r>
        <w:rPr>
          <w:rStyle w:val="FootnoteReference"/>
        </w:rPr>
        <w:footnoteReference w:id="11"/>
      </w:r>
      <w:r>
        <w:t>, in which Burton J. took a robust and</w:t>
      </w:r>
    </w:p>
    <w:p w:rsidR="007E6FD1" w:rsidRDefault="007E6FD1" w:rsidP="007E6FD1">
      <w:pPr>
        <w:spacing w:line="240" w:lineRule="auto"/>
      </w:pPr>
      <w:r>
        <w:t>controversial view that there was no absolute duty on a health authority to comply with s.117</w:t>
      </w:r>
    </w:p>
    <w:p w:rsidR="007E6FD1" w:rsidRDefault="007E6FD1" w:rsidP="007E6FD1">
      <w:pPr>
        <w:spacing w:line="240" w:lineRule="auto"/>
      </w:pPr>
      <w:r>
        <w:t xml:space="preserve">duties when individual clinicians were unwilling to provide clinical </w:t>
      </w:r>
      <w:r>
        <w:t>supervision</w:t>
      </w:r>
      <w:r>
        <w:t xml:space="preserve"> came too late for</w:t>
      </w:r>
    </w:p>
    <w:p w:rsidR="007E6FD1" w:rsidRDefault="007E6FD1" w:rsidP="007E6FD1">
      <w:pPr>
        <w:spacing w:line="240" w:lineRule="auto"/>
      </w:pPr>
      <w:r>
        <w:t>inclusion. Clements points out that as s.117 places no restriction on the services that might be</w:t>
      </w:r>
    </w:p>
    <w:p w:rsidR="007E6FD1" w:rsidRDefault="007E6FD1" w:rsidP="007E6FD1">
      <w:pPr>
        <w:spacing w:line="240" w:lineRule="auto"/>
      </w:pPr>
      <w:r>
        <w:t>provided, s.117 services are virtually unlimited in nature including where appropriate the provision</w:t>
      </w:r>
    </w:p>
    <w:p w:rsidR="007E6FD1" w:rsidRDefault="007E6FD1" w:rsidP="007E6FD1">
      <w:pPr>
        <w:spacing w:line="240" w:lineRule="auto"/>
      </w:pPr>
      <w:proofErr w:type="gramStart"/>
      <w:r>
        <w:t>of</w:t>
      </w:r>
      <w:proofErr w:type="gramEnd"/>
      <w:r>
        <w:t xml:space="preserve"> accommodation. Questions still remains about the extent of the duty - for example would it</w:t>
      </w:r>
    </w:p>
    <w:p w:rsidR="007E6FD1" w:rsidRDefault="007E6FD1" w:rsidP="007E6FD1">
      <w:pPr>
        <w:spacing w:line="240" w:lineRule="auto"/>
      </w:pPr>
      <w:r>
        <w:t>extend to purchasing a house for an allegedly “difficult” person such as Mr. Hall if there is no</w:t>
      </w:r>
    </w:p>
    <w:p w:rsidR="007E6FD1" w:rsidRDefault="007E6FD1" w:rsidP="007E6FD1">
      <w:pPr>
        <w:spacing w:line="240" w:lineRule="auto"/>
      </w:pPr>
      <w:r>
        <w:t xml:space="preserve">other way of meeting his needs? Following the case of </w:t>
      </w:r>
      <w:r w:rsidRPr="007E6FD1">
        <w:rPr>
          <w:i/>
        </w:rPr>
        <w:t>ex p. Watson</w:t>
      </w:r>
      <w:r>
        <w:rPr>
          <w:rStyle w:val="FootnoteReference"/>
        </w:rPr>
        <w:footnoteReference w:id="12"/>
      </w:r>
      <w:r>
        <w:t>, Clements now states clearly</w:t>
      </w:r>
    </w:p>
    <w:p w:rsidR="007E6FD1" w:rsidRDefault="007E6FD1" w:rsidP="007E6FD1">
      <w:pPr>
        <w:spacing w:line="240" w:lineRule="auto"/>
      </w:pPr>
      <w:r>
        <w:t>that s.117 services may not be charged for, and more cautiously suggests there might be a human</w:t>
      </w:r>
    </w:p>
    <w:p w:rsidR="007E6FD1" w:rsidRDefault="007E6FD1" w:rsidP="007E6FD1">
      <w:pPr>
        <w:spacing w:line="240" w:lineRule="auto"/>
      </w:pPr>
      <w:r>
        <w:t>rights challenge to charges made for accommodation to those subject to guardianship who do not</w:t>
      </w:r>
    </w:p>
    <w:p w:rsidR="00986133" w:rsidRDefault="00986133" w:rsidP="00986133">
      <w:pPr>
        <w:spacing w:line="240" w:lineRule="auto"/>
      </w:pPr>
      <w:r>
        <w:t>qualify under s.117. However he does not deal in any detail with the massive problems posed to</w:t>
      </w:r>
    </w:p>
    <w:p w:rsidR="00986133" w:rsidRDefault="00986133" w:rsidP="00986133">
      <w:pPr>
        <w:spacing w:line="240" w:lineRule="auto"/>
      </w:pPr>
      <w:r>
        <w:t xml:space="preserve">social services authorities by the possibility that large numbers of service users might now have </w:t>
      </w:r>
    </w:p>
    <w:p w:rsidR="00986133" w:rsidRDefault="00986133" w:rsidP="00986133">
      <w:pPr>
        <w:spacing w:line="240" w:lineRule="auto"/>
      </w:pPr>
      <w:r>
        <w:t>restitutionary claim</w:t>
      </w:r>
      <w:bookmarkStart w:id="0" w:name="_GoBack"/>
      <w:bookmarkEnd w:id="0"/>
      <w:r>
        <w:t xml:space="preserve">s to charges already paid, nor with the stark unfairness to those now paying </w:t>
      </w:r>
    </w:p>
    <w:p w:rsidR="00986133" w:rsidRDefault="00986133" w:rsidP="00986133">
      <w:pPr>
        <w:spacing w:line="240" w:lineRule="auto"/>
      </w:pPr>
      <w:proofErr w:type="gramStart"/>
      <w:r>
        <w:lastRenderedPageBreak/>
        <w:t>for</w:t>
      </w:r>
      <w:proofErr w:type="gramEnd"/>
      <w:r>
        <w:t xml:space="preserve"> services because they happen not to qualify under s.117, which others in no greater actual need </w:t>
      </w:r>
    </w:p>
    <w:p w:rsidR="00986133" w:rsidRDefault="00986133" w:rsidP="00986133">
      <w:pPr>
        <w:spacing w:line="240" w:lineRule="auto"/>
      </w:pPr>
      <w:r>
        <w:t>receive free of charge.</w:t>
      </w:r>
    </w:p>
    <w:p w:rsidR="00986133" w:rsidRDefault="00986133" w:rsidP="00986133">
      <w:pPr>
        <w:spacing w:line="240" w:lineRule="auto"/>
      </w:pPr>
    </w:p>
    <w:p w:rsidR="00986133" w:rsidRDefault="00986133" w:rsidP="00986133">
      <w:pPr>
        <w:spacing w:line="240" w:lineRule="auto"/>
      </w:pPr>
      <w:r>
        <w:t xml:space="preserve">The Legal Action Group are to be congratulated for keeping the price down to such a reasonable </w:t>
      </w:r>
    </w:p>
    <w:p w:rsidR="00986133" w:rsidRDefault="00986133" w:rsidP="00986133">
      <w:pPr>
        <w:spacing w:line="240" w:lineRule="auto"/>
      </w:pPr>
      <w:r>
        <w:t xml:space="preserve">level, and for the improvements to the layout of the book. In particular the marginal indexing and </w:t>
      </w:r>
    </w:p>
    <w:p w:rsidR="00986133" w:rsidRDefault="00986133" w:rsidP="00986133">
      <w:pPr>
        <w:spacing w:line="240" w:lineRule="auto"/>
      </w:pPr>
      <w:r>
        <w:t xml:space="preserve">flow charts now included, make the book far easier to use. A useful selection of the essential </w:t>
      </w:r>
    </w:p>
    <w:p w:rsidR="00986133" w:rsidRDefault="00986133" w:rsidP="00986133">
      <w:pPr>
        <w:spacing w:line="240" w:lineRule="auto"/>
      </w:pPr>
      <w:r>
        <w:t xml:space="preserve">statutory provisions and guidance can be found at the end of the book, and while the coverage of </w:t>
      </w:r>
    </w:p>
    <w:p w:rsidR="00986133" w:rsidRDefault="00986133" w:rsidP="00986133">
      <w:pPr>
        <w:spacing w:line="240" w:lineRule="auto"/>
      </w:pPr>
      <w:r>
        <w:t xml:space="preserve">guidance is not extensive, this is a minor quibble given the availability of this material on the </w:t>
      </w:r>
    </w:p>
    <w:p w:rsidR="00986133" w:rsidRDefault="00986133" w:rsidP="00986133">
      <w:pPr>
        <w:spacing w:line="240" w:lineRule="auto"/>
      </w:pPr>
      <w:r>
        <w:t xml:space="preserve">internet and the quality of the text. In its first edition, this book established itself as an </w:t>
      </w:r>
    </w:p>
    <w:p w:rsidR="00986133" w:rsidRDefault="00986133" w:rsidP="00986133">
      <w:pPr>
        <w:spacing w:line="240" w:lineRule="auto"/>
      </w:pPr>
      <w:r>
        <w:t xml:space="preserve">essential guide to the complex area of community care law. Until the arrival of a third edition </w:t>
      </w:r>
    </w:p>
    <w:p w:rsidR="00986133" w:rsidRDefault="00986133" w:rsidP="00986133">
      <w:pPr>
        <w:spacing w:line="240" w:lineRule="auto"/>
      </w:pPr>
      <w:r>
        <w:t xml:space="preserve">(surely sooner than four years from now) it remains an essential purchase for everybody working </w:t>
      </w:r>
    </w:p>
    <w:p w:rsidR="00986133" w:rsidRDefault="00986133" w:rsidP="00986133">
      <w:pPr>
        <w:spacing w:line="240" w:lineRule="auto"/>
      </w:pPr>
      <w:r>
        <w:t>within this area of law.</w:t>
      </w:r>
    </w:p>
    <w:p w:rsidR="00986133" w:rsidRDefault="00986133" w:rsidP="00986133">
      <w:pPr>
        <w:spacing w:line="240" w:lineRule="auto"/>
      </w:pPr>
    </w:p>
    <w:p w:rsidR="00986133" w:rsidRDefault="00986133" w:rsidP="00986133">
      <w:pPr>
        <w:spacing w:line="240" w:lineRule="auto"/>
      </w:pPr>
      <w:r>
        <w:t>Mark Mullins,</w:t>
      </w:r>
    </w:p>
    <w:p w:rsidR="00986133" w:rsidRDefault="00986133" w:rsidP="00986133">
      <w:pPr>
        <w:spacing w:line="240" w:lineRule="auto"/>
      </w:pPr>
      <w:r>
        <w:t>Barrister, Coram Chambers, London</w:t>
      </w:r>
    </w:p>
    <w:sectPr w:rsidR="00986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9B" w:rsidRDefault="0067499B" w:rsidP="0067499B">
      <w:pPr>
        <w:spacing w:after="0" w:line="240" w:lineRule="auto"/>
      </w:pPr>
      <w:r>
        <w:separator/>
      </w:r>
    </w:p>
  </w:endnote>
  <w:endnote w:type="continuationSeparator" w:id="0">
    <w:p w:rsidR="0067499B" w:rsidRDefault="0067499B" w:rsidP="0067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9B" w:rsidRDefault="0067499B" w:rsidP="0067499B">
      <w:pPr>
        <w:spacing w:after="0" w:line="240" w:lineRule="auto"/>
      </w:pPr>
      <w:r>
        <w:separator/>
      </w:r>
    </w:p>
  </w:footnote>
  <w:footnote w:type="continuationSeparator" w:id="0">
    <w:p w:rsidR="0067499B" w:rsidRDefault="0067499B" w:rsidP="0067499B">
      <w:pPr>
        <w:spacing w:after="0" w:line="240" w:lineRule="auto"/>
      </w:pPr>
      <w:r>
        <w:continuationSeparator/>
      </w:r>
    </w:p>
  </w:footnote>
  <w:footnote w:id="1">
    <w:p w:rsidR="0067499B" w:rsidRPr="0067499B" w:rsidRDefault="0067499B" w:rsidP="0067499B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67499B">
        <w:rPr>
          <w:sz w:val="16"/>
        </w:rPr>
        <w:t>Gordon</w:t>
      </w:r>
      <w:r>
        <w:rPr>
          <w:sz w:val="16"/>
        </w:rPr>
        <w:t xml:space="preserve"> and Mackintosh “Community Care </w:t>
      </w:r>
      <w:r w:rsidRPr="0067499B">
        <w:rPr>
          <w:sz w:val="16"/>
        </w:rPr>
        <w:t>Assessments - A Pract</w:t>
      </w:r>
      <w:r>
        <w:rPr>
          <w:sz w:val="16"/>
        </w:rPr>
        <w:t xml:space="preserve">ical Legal Framework” Sweet and </w:t>
      </w:r>
      <w:r w:rsidRPr="0067499B">
        <w:rPr>
          <w:sz w:val="16"/>
        </w:rPr>
        <w:t>Maxwell 2nd edition 1996</w:t>
      </w:r>
    </w:p>
  </w:footnote>
  <w:footnote w:id="2">
    <w:p w:rsidR="0067499B" w:rsidRPr="0067499B" w:rsidRDefault="0067499B" w:rsidP="0067499B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67499B">
        <w:rPr>
          <w:sz w:val="16"/>
        </w:rPr>
        <w:t>Mandelstam “Comm</w:t>
      </w:r>
      <w:r>
        <w:rPr>
          <w:sz w:val="16"/>
        </w:rPr>
        <w:t xml:space="preserve">unity Care and the Law” Jessica </w:t>
      </w:r>
      <w:r w:rsidRPr="0067499B">
        <w:rPr>
          <w:sz w:val="16"/>
        </w:rPr>
        <w:t>Kingsley Publishers 2nd edition 1999</w:t>
      </w:r>
    </w:p>
  </w:footnote>
  <w:footnote w:id="3">
    <w:p w:rsidR="0067499B" w:rsidRPr="0067499B" w:rsidRDefault="0067499B" w:rsidP="0067499B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67499B">
        <w:rPr>
          <w:sz w:val="16"/>
        </w:rPr>
        <w:t>“O” v London Borough</w:t>
      </w:r>
      <w:r>
        <w:rPr>
          <w:sz w:val="16"/>
        </w:rPr>
        <w:t xml:space="preserve"> of </w:t>
      </w:r>
      <w:proofErr w:type="spellStart"/>
      <w:r>
        <w:rPr>
          <w:sz w:val="16"/>
        </w:rPr>
        <w:t>Wandsworth</w:t>
      </w:r>
      <w:proofErr w:type="spellEnd"/>
      <w:r>
        <w:rPr>
          <w:sz w:val="16"/>
        </w:rPr>
        <w:t xml:space="preserve">, R. v. Leicester </w:t>
      </w:r>
      <w:r w:rsidRPr="0067499B">
        <w:rPr>
          <w:sz w:val="16"/>
        </w:rPr>
        <w:t xml:space="preserve">City Council ex p. </w:t>
      </w:r>
      <w:proofErr w:type="spellStart"/>
      <w:r w:rsidRPr="0067499B">
        <w:rPr>
          <w:sz w:val="16"/>
        </w:rPr>
        <w:t>Bhikha</w:t>
      </w:r>
      <w:proofErr w:type="spellEnd"/>
      <w:r w:rsidRPr="0067499B">
        <w:rPr>
          <w:sz w:val="16"/>
        </w:rPr>
        <w:t>, CA Times 18th July 2000</w:t>
      </w:r>
    </w:p>
  </w:footnote>
  <w:footnote w:id="4">
    <w:p w:rsidR="0067499B" w:rsidRDefault="0067499B" w:rsidP="006749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499B">
        <w:rPr>
          <w:sz w:val="16"/>
        </w:rPr>
        <w:t>Re. F (Adult: Court’s ju</w:t>
      </w:r>
      <w:r w:rsidRPr="0067499B">
        <w:rPr>
          <w:sz w:val="16"/>
        </w:rPr>
        <w:t xml:space="preserve">risdiction) CA Times July 25th, </w:t>
      </w:r>
      <w:r w:rsidRPr="0067499B">
        <w:rPr>
          <w:sz w:val="16"/>
        </w:rPr>
        <w:t>[2000] 3 FCR 30</w:t>
      </w:r>
    </w:p>
  </w:footnote>
  <w:footnote w:id="5">
    <w:p w:rsidR="00E65724" w:rsidRPr="009035E8" w:rsidRDefault="00E65724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9035E8">
        <w:rPr>
          <w:sz w:val="16"/>
        </w:rPr>
        <w:t>(1999) 2 CCLR 92</w:t>
      </w:r>
    </w:p>
  </w:footnote>
  <w:footnote w:id="6">
    <w:p w:rsidR="009035E8" w:rsidRDefault="009035E8" w:rsidP="009035E8">
      <w:pPr>
        <w:pStyle w:val="FootnoteText"/>
      </w:pPr>
      <w:r>
        <w:rPr>
          <w:rStyle w:val="FootnoteReference"/>
        </w:rPr>
        <w:footnoteRef/>
      </w:r>
      <w:r w:rsidRPr="009035E8">
        <w:rPr>
          <w:sz w:val="16"/>
        </w:rPr>
        <w:t xml:space="preserve"> </w:t>
      </w:r>
      <w:r w:rsidRPr="009035E8">
        <w:rPr>
          <w:sz w:val="16"/>
        </w:rPr>
        <w:t>[1998] 1 CCLR 315,</w:t>
      </w:r>
      <w:r w:rsidRPr="009035E8">
        <w:rPr>
          <w:sz w:val="16"/>
        </w:rPr>
        <w:t xml:space="preserve"> also see R. v. Wigan MBC ex p. </w:t>
      </w:r>
      <w:proofErr w:type="spellStart"/>
      <w:r w:rsidRPr="009035E8">
        <w:rPr>
          <w:sz w:val="16"/>
        </w:rPr>
        <w:t>Tammage</w:t>
      </w:r>
      <w:proofErr w:type="spellEnd"/>
      <w:r w:rsidRPr="009035E8">
        <w:rPr>
          <w:sz w:val="16"/>
        </w:rPr>
        <w:t xml:space="preserve"> [1998] 1 CCLR 582</w:t>
      </w:r>
    </w:p>
  </w:footnote>
  <w:footnote w:id="7">
    <w:p w:rsidR="009035E8" w:rsidRPr="009035E8" w:rsidRDefault="009035E8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9035E8">
        <w:rPr>
          <w:sz w:val="16"/>
        </w:rPr>
        <w:t>[1999] 2 CCLR 340</w:t>
      </w:r>
    </w:p>
  </w:footnote>
  <w:footnote w:id="8">
    <w:p w:rsidR="007E6FD1" w:rsidRDefault="007E6F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6FD1">
        <w:rPr>
          <w:sz w:val="16"/>
        </w:rPr>
        <w:t>(1999) 2 CCLR 361, (1999) 2 CCLR 383</w:t>
      </w:r>
    </w:p>
  </w:footnote>
  <w:footnote w:id="9">
    <w:p w:rsidR="007E6FD1" w:rsidRPr="00F816F1" w:rsidRDefault="007E6FD1" w:rsidP="007E6FD1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F816F1">
        <w:rPr>
          <w:sz w:val="16"/>
        </w:rPr>
        <w:t xml:space="preserve">In Hall the Court of </w:t>
      </w:r>
      <w:r w:rsidRPr="00F816F1">
        <w:rPr>
          <w:sz w:val="16"/>
        </w:rPr>
        <w:t xml:space="preserve">Appeal said that the wording of </w:t>
      </w:r>
      <w:r w:rsidRPr="00F816F1">
        <w:rPr>
          <w:sz w:val="16"/>
        </w:rPr>
        <w:t>the current Code of Prac</w:t>
      </w:r>
      <w:r w:rsidRPr="00F816F1">
        <w:rPr>
          <w:sz w:val="16"/>
        </w:rPr>
        <w:t xml:space="preserve">tice suggested that a care plan </w:t>
      </w:r>
      <w:r w:rsidRPr="00F816F1">
        <w:rPr>
          <w:sz w:val="16"/>
        </w:rPr>
        <w:t>“at least in embryo” should be avai</w:t>
      </w:r>
      <w:r w:rsidRPr="00F816F1">
        <w:rPr>
          <w:sz w:val="16"/>
        </w:rPr>
        <w:t xml:space="preserve">lable .Building </w:t>
      </w:r>
      <w:r w:rsidRPr="00F816F1">
        <w:rPr>
          <w:sz w:val="16"/>
        </w:rPr>
        <w:t>Bridges - A Guide t</w:t>
      </w:r>
      <w:r w:rsidRPr="00F816F1">
        <w:rPr>
          <w:sz w:val="16"/>
        </w:rPr>
        <w:t xml:space="preserve">o Arrangements for Inter Agency </w:t>
      </w:r>
      <w:r w:rsidRPr="00F816F1">
        <w:rPr>
          <w:sz w:val="16"/>
        </w:rPr>
        <w:t xml:space="preserve">Working for the </w:t>
      </w:r>
      <w:r w:rsidRPr="00F816F1">
        <w:rPr>
          <w:sz w:val="16"/>
        </w:rPr>
        <w:t xml:space="preserve">Care and Protection of Severely </w:t>
      </w:r>
      <w:r w:rsidRPr="00F816F1">
        <w:rPr>
          <w:sz w:val="16"/>
        </w:rPr>
        <w:t>Mentally Ill Peopl</w:t>
      </w:r>
      <w:r w:rsidRPr="00F816F1">
        <w:rPr>
          <w:sz w:val="16"/>
        </w:rPr>
        <w:t xml:space="preserve">e” (Department of Health 1995), </w:t>
      </w:r>
      <w:r w:rsidRPr="00F816F1">
        <w:rPr>
          <w:sz w:val="16"/>
        </w:rPr>
        <w:t>Effective Care Co-ordination in Mental Health</w:t>
      </w:r>
    </w:p>
    <w:p w:rsidR="007E6FD1" w:rsidRPr="007E6FD1" w:rsidRDefault="007E6FD1" w:rsidP="007E6FD1">
      <w:pPr>
        <w:pStyle w:val="FootnoteText"/>
        <w:rPr>
          <w:sz w:val="18"/>
        </w:rPr>
      </w:pPr>
      <w:r w:rsidRPr="00F816F1">
        <w:rPr>
          <w:sz w:val="16"/>
        </w:rPr>
        <w:t>Services: Modernising the Care Programme Appr</w:t>
      </w:r>
      <w:r w:rsidRPr="00F816F1">
        <w:rPr>
          <w:sz w:val="16"/>
        </w:rPr>
        <w:t xml:space="preserve">oach </w:t>
      </w:r>
      <w:r w:rsidRPr="00F816F1">
        <w:rPr>
          <w:sz w:val="16"/>
        </w:rPr>
        <w:t>(Department of Health 1999).</w:t>
      </w:r>
    </w:p>
  </w:footnote>
  <w:footnote w:id="10">
    <w:p w:rsidR="007E6FD1" w:rsidRDefault="007E6FD1" w:rsidP="00F816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816F1" w:rsidRPr="00F816F1">
        <w:rPr>
          <w:sz w:val="16"/>
        </w:rPr>
        <w:t>National Serv</w:t>
      </w:r>
      <w:r w:rsidR="00F816F1" w:rsidRPr="00F816F1">
        <w:rPr>
          <w:sz w:val="16"/>
        </w:rPr>
        <w:t xml:space="preserve">ice Framework for Mental Health </w:t>
      </w:r>
      <w:r w:rsidR="00F816F1" w:rsidRPr="00F816F1">
        <w:rPr>
          <w:sz w:val="16"/>
        </w:rPr>
        <w:t>(Department of Health 1999).</w:t>
      </w:r>
    </w:p>
  </w:footnote>
  <w:footnote w:id="11">
    <w:p w:rsidR="007E6FD1" w:rsidRDefault="007E6FD1" w:rsidP="00F816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816F1" w:rsidRPr="00F816F1">
        <w:rPr>
          <w:sz w:val="16"/>
        </w:rPr>
        <w:t>9th June 2000. The Cou</w:t>
      </w:r>
      <w:r w:rsidR="00F816F1" w:rsidRPr="00F816F1">
        <w:rPr>
          <w:sz w:val="16"/>
        </w:rPr>
        <w:t xml:space="preserve">rt of Appeal has given leave to </w:t>
      </w:r>
      <w:r w:rsidR="00F816F1" w:rsidRPr="00F816F1">
        <w:rPr>
          <w:sz w:val="16"/>
        </w:rPr>
        <w:t>appeal.</w:t>
      </w:r>
    </w:p>
  </w:footnote>
  <w:footnote w:id="12">
    <w:p w:rsidR="007E6FD1" w:rsidRPr="00F816F1" w:rsidRDefault="007E6FD1" w:rsidP="00F816F1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F816F1" w:rsidRPr="00F816F1">
        <w:rPr>
          <w:sz w:val="16"/>
        </w:rPr>
        <w:t xml:space="preserve">In which the Court </w:t>
      </w:r>
      <w:r w:rsidR="00F816F1" w:rsidRPr="00F816F1">
        <w:rPr>
          <w:sz w:val="16"/>
        </w:rPr>
        <w:t xml:space="preserve">of Appeal on the 27th July 2000 </w:t>
      </w:r>
      <w:r w:rsidR="00F816F1" w:rsidRPr="00F816F1">
        <w:rPr>
          <w:sz w:val="16"/>
        </w:rPr>
        <w:t xml:space="preserve">upheld the decision </w:t>
      </w:r>
      <w:r w:rsidR="00F816F1">
        <w:rPr>
          <w:sz w:val="16"/>
        </w:rPr>
        <w:t xml:space="preserve">of Sullivan J (1999) 2 CCLR 402 </w:t>
      </w:r>
      <w:r w:rsidR="00F816F1" w:rsidRPr="00F816F1">
        <w:rPr>
          <w:sz w:val="16"/>
        </w:rPr>
        <w:t>A petition has been sub</w:t>
      </w:r>
      <w:r w:rsidR="00F816F1" w:rsidRPr="00F816F1">
        <w:rPr>
          <w:sz w:val="16"/>
        </w:rPr>
        <w:t xml:space="preserve">mitted to the House of Lords by </w:t>
      </w:r>
      <w:r w:rsidR="00F816F1" w:rsidRPr="00F816F1">
        <w:rPr>
          <w:sz w:val="16"/>
        </w:rPr>
        <w:t>the unsuccessful local authorities.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EE"/>
    <w:rsid w:val="000E7DB1"/>
    <w:rsid w:val="00250BB0"/>
    <w:rsid w:val="005C3FD8"/>
    <w:rsid w:val="00630280"/>
    <w:rsid w:val="0067499B"/>
    <w:rsid w:val="007E6FD1"/>
    <w:rsid w:val="009035E8"/>
    <w:rsid w:val="00956B9F"/>
    <w:rsid w:val="00986133"/>
    <w:rsid w:val="009A0BF7"/>
    <w:rsid w:val="00A210EE"/>
    <w:rsid w:val="00B115A3"/>
    <w:rsid w:val="00BC0252"/>
    <w:rsid w:val="00E65724"/>
    <w:rsid w:val="00F816F1"/>
    <w:rsid w:val="00F9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49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9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9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49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9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2014-10-15T09:10:00Z</dcterms:created>
  <dcterms:modified xsi:type="dcterms:W3CDTF">2014-10-15T09:29:00Z</dcterms:modified>
</cp:coreProperties>
</file>