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73C" w:rsidRPr="00E7253A" w:rsidRDefault="003D773C" w:rsidP="003D773C">
      <w:pPr>
        <w:pStyle w:val="BodyA"/>
        <w:spacing w:after="0" w:line="240" w:lineRule="auto"/>
        <w:jc w:val="center"/>
        <w:rPr>
          <w:rStyle w:val="legds2"/>
          <w:rFonts w:ascii="Helvetica" w:hAnsi="Helvetica" w:cs="Helvetica"/>
          <w:b/>
          <w:bCs/>
          <w:smallCaps/>
          <w:sz w:val="24"/>
          <w:szCs w:val="24"/>
          <w:lang w:val="en-GB"/>
        </w:rPr>
      </w:pPr>
      <w:r w:rsidRPr="00E7253A">
        <w:rPr>
          <w:rStyle w:val="legds2"/>
          <w:rFonts w:ascii="Helvetica" w:hAnsi="Helvetica" w:cs="Helvetica"/>
          <w:b/>
          <w:bCs/>
          <w:smallCaps/>
          <w:sz w:val="24"/>
          <w:szCs w:val="24"/>
          <w:lang w:val="en-GB"/>
        </w:rPr>
        <w:t>Editorial</w:t>
      </w:r>
    </w:p>
    <w:p w:rsidR="003D773C" w:rsidRDefault="003D773C" w:rsidP="003D773C">
      <w:pPr>
        <w:pStyle w:val="BodyA"/>
        <w:spacing w:after="0" w:line="240" w:lineRule="auto"/>
        <w:jc w:val="center"/>
        <w:rPr>
          <w:rStyle w:val="legds2"/>
          <w:rFonts w:ascii="Helvetica" w:hAnsi="Helvetica" w:cs="Helvetica"/>
          <w:b/>
          <w:bCs/>
          <w:i/>
          <w:smallCaps/>
          <w:sz w:val="24"/>
          <w:szCs w:val="24"/>
          <w:lang w:val="en-GB"/>
        </w:rPr>
      </w:pPr>
      <w:r w:rsidRPr="00E7253A">
        <w:rPr>
          <w:rStyle w:val="legds2"/>
          <w:rFonts w:ascii="Helvetica" w:hAnsi="Helvetica" w:cs="Helvetica"/>
          <w:b/>
          <w:bCs/>
          <w:i/>
          <w:smallCaps/>
          <w:sz w:val="24"/>
          <w:szCs w:val="24"/>
          <w:lang w:val="en-GB"/>
        </w:rPr>
        <w:t xml:space="preserve">Deprivation of Liberty in a Health and Social Care Context: </w:t>
      </w:r>
    </w:p>
    <w:p w:rsidR="003D773C" w:rsidRPr="00E7253A" w:rsidRDefault="003D773C" w:rsidP="003D773C">
      <w:pPr>
        <w:pStyle w:val="BodyA"/>
        <w:spacing w:after="0" w:line="240" w:lineRule="auto"/>
        <w:jc w:val="center"/>
        <w:rPr>
          <w:rStyle w:val="legds2"/>
          <w:rFonts w:ascii="Helvetica" w:hAnsi="Helvetica" w:cs="Helvetica"/>
          <w:i/>
          <w:sz w:val="24"/>
          <w:szCs w:val="24"/>
          <w:lang w:val="en-GB"/>
        </w:rPr>
      </w:pPr>
      <w:proofErr w:type="spellStart"/>
      <w:r w:rsidRPr="00E7253A">
        <w:rPr>
          <w:rStyle w:val="legds2"/>
          <w:rFonts w:ascii="Helvetica" w:hAnsi="Helvetica" w:cs="Helvetica"/>
          <w:b/>
          <w:bCs/>
          <w:i/>
          <w:smallCaps/>
          <w:sz w:val="24"/>
          <w:szCs w:val="24"/>
          <w:lang w:val="en-GB"/>
        </w:rPr>
        <w:t>DoLS</w:t>
      </w:r>
      <w:proofErr w:type="spellEnd"/>
      <w:r w:rsidRPr="00E7253A">
        <w:rPr>
          <w:rStyle w:val="legds2"/>
          <w:rFonts w:ascii="Helvetica" w:hAnsi="Helvetica" w:cs="Helvetica"/>
          <w:b/>
          <w:bCs/>
          <w:i/>
          <w:smallCaps/>
          <w:sz w:val="24"/>
          <w:szCs w:val="24"/>
          <w:lang w:val="en-GB"/>
        </w:rPr>
        <w:t xml:space="preserve"> and the ways forward</w:t>
      </w:r>
    </w:p>
    <w:p w:rsidR="003D773C" w:rsidRPr="00E7253A" w:rsidRDefault="003D773C" w:rsidP="003D773C">
      <w:pPr>
        <w:pStyle w:val="BodyA"/>
        <w:spacing w:after="0" w:line="240" w:lineRule="auto"/>
        <w:rPr>
          <w:rFonts w:ascii="Helvetica" w:eastAsia="Helvetica" w:hAnsi="Helvetica" w:cs="Helvetica"/>
          <w:sz w:val="24"/>
          <w:szCs w:val="24"/>
          <w:lang w:val="en-GB"/>
        </w:rPr>
      </w:pPr>
    </w:p>
    <w:p w:rsidR="003D773C" w:rsidRPr="00E7253A" w:rsidRDefault="003D773C" w:rsidP="003D773C">
      <w:pPr>
        <w:spacing w:after="0"/>
        <w:rPr>
          <w:rStyle w:val="apple-converted-space"/>
          <w:rFonts w:ascii="Helvetica" w:hAnsi="Helvetica" w:cs="Helvetica"/>
          <w:sz w:val="24"/>
          <w:szCs w:val="24"/>
          <w:lang w:val="en-GB"/>
        </w:rPr>
      </w:pPr>
      <w:r w:rsidRPr="00E7253A">
        <w:rPr>
          <w:rFonts w:ascii="Helvetica" w:hAnsi="Helvetica" w:cs="Helvetica"/>
          <w:sz w:val="24"/>
          <w:szCs w:val="24"/>
          <w:lang w:val="en-GB"/>
        </w:rPr>
        <w:t>Deprivation of Liberty Safeguards (</w:t>
      </w:r>
      <w:proofErr w:type="spellStart"/>
      <w:r w:rsidRPr="00E7253A">
        <w:rPr>
          <w:rFonts w:ascii="Helvetica" w:hAnsi="Helvetica" w:cs="Helvetica"/>
          <w:sz w:val="24"/>
          <w:szCs w:val="24"/>
          <w:lang w:val="en-GB"/>
        </w:rPr>
        <w:t>DoLS</w:t>
      </w:r>
      <w:proofErr w:type="spellEnd"/>
      <w:r w:rsidRPr="00E7253A">
        <w:rPr>
          <w:rFonts w:ascii="Helvetica" w:hAnsi="Helvetica" w:cs="Helvetica"/>
          <w:sz w:val="24"/>
          <w:szCs w:val="24"/>
          <w:lang w:val="en-GB"/>
        </w:rPr>
        <w:t xml:space="preserve">) </w:t>
      </w:r>
      <w:proofErr w:type="gramStart"/>
      <w:r w:rsidRPr="00E7253A">
        <w:rPr>
          <w:rFonts w:ascii="Helvetica" w:hAnsi="Helvetica" w:cs="Helvetica"/>
          <w:noProof/>
          <w:sz w:val="24"/>
          <w:szCs w:val="24"/>
          <w:lang w:val="en-GB"/>
        </w:rPr>
        <w:t>were</w:t>
      </w:r>
      <w:r w:rsidRPr="00E7253A">
        <w:rPr>
          <w:rFonts w:ascii="Helvetica" w:hAnsi="Helvetica" w:cs="Helvetica"/>
          <w:sz w:val="24"/>
          <w:szCs w:val="24"/>
          <w:lang w:val="en-GB"/>
        </w:rPr>
        <w:t xml:space="preserve"> introduced</w:t>
      </w:r>
      <w:proofErr w:type="gramEnd"/>
      <w:r w:rsidRPr="00E7253A">
        <w:rPr>
          <w:rFonts w:ascii="Helvetica" w:hAnsi="Helvetica" w:cs="Helvetica"/>
          <w:sz w:val="24"/>
          <w:szCs w:val="24"/>
          <w:lang w:val="en-GB"/>
        </w:rPr>
        <w:t xml:space="preserve"> in England and Wales in 2007 and came into force in 2009 as a response to the European Court of Human Rights decision in the case of</w:t>
      </w:r>
      <w:r w:rsidRPr="00E7253A">
        <w:rPr>
          <w:rStyle w:val="apple-converted-space"/>
          <w:rFonts w:ascii="Helvetica" w:hAnsi="Helvetica" w:cs="Helvetica"/>
          <w:sz w:val="24"/>
          <w:szCs w:val="24"/>
          <w:lang w:val="en-GB"/>
        </w:rPr>
        <w:t xml:space="preserve"> </w:t>
      </w:r>
      <w:r w:rsidRPr="00E7253A">
        <w:rPr>
          <w:rStyle w:val="Emphasis"/>
          <w:rFonts w:ascii="Helvetica" w:hAnsi="Helvetica" w:cs="Helvetica"/>
          <w:sz w:val="24"/>
          <w:szCs w:val="24"/>
          <w:lang w:val="en-GB"/>
        </w:rPr>
        <w:t>HL v UK</w:t>
      </w:r>
      <w:r w:rsidRPr="00E7253A">
        <w:rPr>
          <w:rStyle w:val="Emphasis"/>
          <w:rFonts w:ascii="Helvetica" w:hAnsi="Helvetica" w:cs="Helvetica"/>
          <w:i w:val="0"/>
          <w:sz w:val="24"/>
          <w:szCs w:val="24"/>
          <w:lang w:val="en-GB"/>
        </w:rPr>
        <w:t>.</w:t>
      </w:r>
      <w:r w:rsidRPr="00E7253A">
        <w:rPr>
          <w:rStyle w:val="FootnoteReference"/>
          <w:rFonts w:ascii="Helvetica" w:hAnsi="Helvetica" w:cs="Helvetica"/>
          <w:iCs/>
          <w:sz w:val="24"/>
          <w:szCs w:val="24"/>
          <w:lang w:val="en-GB"/>
        </w:rPr>
        <w:footnoteReference w:id="1"/>
      </w:r>
      <w:r w:rsidRPr="00E7253A">
        <w:rPr>
          <w:rStyle w:val="Emphasis"/>
          <w:rFonts w:ascii="Helvetica" w:hAnsi="Helvetica" w:cs="Helvetica"/>
          <w:sz w:val="24"/>
          <w:szCs w:val="24"/>
          <w:lang w:val="en-GB"/>
        </w:rPr>
        <w:t xml:space="preserve"> </w:t>
      </w:r>
      <w:r w:rsidRPr="00E7253A">
        <w:rPr>
          <w:rFonts w:ascii="Helvetica" w:hAnsi="Helvetica" w:cs="Helvetica"/>
          <w:sz w:val="24"/>
          <w:szCs w:val="24"/>
          <w:lang w:val="en-GB"/>
        </w:rPr>
        <w:t>The Court held that the lack of legal safeguards for incapacitated adults deprived of their liberty in hospitals and care homes, the so-called ‘</w:t>
      </w:r>
      <w:proofErr w:type="spellStart"/>
      <w:r w:rsidRPr="00E7253A">
        <w:rPr>
          <w:rFonts w:ascii="Helvetica" w:hAnsi="Helvetica" w:cs="Helvetica"/>
          <w:sz w:val="24"/>
          <w:szCs w:val="24"/>
          <w:lang w:val="en-GB"/>
        </w:rPr>
        <w:t>Bournewood</w:t>
      </w:r>
      <w:proofErr w:type="spellEnd"/>
      <w:r w:rsidRPr="00E7253A">
        <w:rPr>
          <w:rFonts w:ascii="Helvetica" w:hAnsi="Helvetica" w:cs="Helvetica"/>
          <w:sz w:val="24"/>
          <w:szCs w:val="24"/>
          <w:lang w:val="en-GB"/>
        </w:rPr>
        <w:t xml:space="preserve"> gap’, was a breach of Article 5 (Right to liberty and security) of the European Convention on Human Rights. </w:t>
      </w:r>
    </w:p>
    <w:p w:rsidR="003D773C" w:rsidRPr="00E7253A" w:rsidRDefault="003D773C" w:rsidP="003D773C">
      <w:pPr>
        <w:spacing w:after="0"/>
        <w:rPr>
          <w:rStyle w:val="apple-converted-space"/>
          <w:rFonts w:ascii="Helvetica" w:hAnsi="Helvetica" w:cs="Helvetica"/>
          <w:sz w:val="24"/>
          <w:szCs w:val="24"/>
          <w:lang w:val="en-GB"/>
        </w:rPr>
      </w:pPr>
    </w:p>
    <w:p w:rsidR="003D773C" w:rsidRPr="00E7253A" w:rsidRDefault="003D773C" w:rsidP="003D773C">
      <w:pPr>
        <w:spacing w:after="0"/>
        <w:rPr>
          <w:rStyle w:val="Emphasis"/>
          <w:rFonts w:ascii="Helvetica" w:hAnsi="Helvetica" w:cs="Helvetica"/>
          <w:i w:val="0"/>
          <w:sz w:val="24"/>
          <w:szCs w:val="24"/>
          <w:lang w:val="en-GB"/>
        </w:rPr>
      </w:pPr>
      <w:r w:rsidRPr="00E7253A">
        <w:rPr>
          <w:rStyle w:val="apple-converted-space"/>
          <w:rFonts w:ascii="Helvetica" w:hAnsi="Helvetica" w:cs="Helvetica"/>
          <w:sz w:val="24"/>
          <w:szCs w:val="24"/>
          <w:lang w:val="en-GB"/>
        </w:rPr>
        <w:t xml:space="preserve">Recent developments have reinforced the importance of discussions about the future of </w:t>
      </w:r>
      <w:proofErr w:type="spellStart"/>
      <w:r w:rsidRPr="00E7253A">
        <w:rPr>
          <w:rStyle w:val="apple-converted-space"/>
          <w:rFonts w:ascii="Helvetica" w:hAnsi="Helvetica" w:cs="Helvetica"/>
          <w:sz w:val="24"/>
          <w:szCs w:val="24"/>
          <w:lang w:val="en-GB"/>
        </w:rPr>
        <w:t>DoLS</w:t>
      </w:r>
      <w:proofErr w:type="spellEnd"/>
      <w:r w:rsidRPr="00E7253A">
        <w:rPr>
          <w:rStyle w:val="apple-converted-space"/>
          <w:rFonts w:ascii="Helvetica" w:hAnsi="Helvetica" w:cs="Helvetica"/>
          <w:sz w:val="24"/>
          <w:szCs w:val="24"/>
          <w:lang w:val="en-GB"/>
        </w:rPr>
        <w:t>. First, t</w:t>
      </w:r>
      <w:r w:rsidRPr="00E7253A">
        <w:rPr>
          <w:rStyle w:val="Emphasis"/>
          <w:rFonts w:ascii="Helvetica" w:hAnsi="Helvetica" w:cs="Helvetica"/>
          <w:i w:val="0"/>
          <w:sz w:val="24"/>
          <w:szCs w:val="24"/>
          <w:lang w:val="en-GB"/>
        </w:rPr>
        <w:t xml:space="preserve">he </w:t>
      </w:r>
      <w:r w:rsidRPr="00E7253A">
        <w:rPr>
          <w:rFonts w:ascii="Helvetica" w:hAnsi="Helvetica" w:cs="Helvetica"/>
          <w:sz w:val="24"/>
          <w:szCs w:val="24"/>
          <w:lang w:val="en-GB"/>
        </w:rPr>
        <w:t xml:space="preserve">House of Lords Select Committee post-legislative scrutiny of the Mental Capacity Act 2005 concluded in 2014 that </w:t>
      </w:r>
      <w:proofErr w:type="spellStart"/>
      <w:r w:rsidRPr="00E7253A">
        <w:rPr>
          <w:rFonts w:ascii="Helvetica" w:hAnsi="Helvetica" w:cs="Helvetica"/>
          <w:sz w:val="24"/>
          <w:szCs w:val="24"/>
          <w:lang w:val="en-GB"/>
        </w:rPr>
        <w:t>DoLS</w:t>
      </w:r>
      <w:proofErr w:type="spellEnd"/>
      <w:r w:rsidRPr="00E7253A">
        <w:rPr>
          <w:rFonts w:ascii="Helvetica" w:hAnsi="Helvetica" w:cs="Helvetica"/>
          <w:sz w:val="24"/>
          <w:szCs w:val="24"/>
          <w:lang w:val="en-GB"/>
        </w:rPr>
        <w:t xml:space="preserve">, due to their excessive complexity and lack of clarity, are not ‘fit for purpose’ and called for them to </w:t>
      </w:r>
      <w:proofErr w:type="gramStart"/>
      <w:r w:rsidRPr="00E7253A">
        <w:rPr>
          <w:rFonts w:ascii="Helvetica" w:hAnsi="Helvetica" w:cs="Helvetica"/>
          <w:sz w:val="24"/>
          <w:szCs w:val="24"/>
          <w:lang w:val="en-GB"/>
        </w:rPr>
        <w:t>be replaced</w:t>
      </w:r>
      <w:proofErr w:type="gramEnd"/>
      <w:r w:rsidRPr="00E7253A">
        <w:rPr>
          <w:rFonts w:ascii="Helvetica" w:hAnsi="Helvetica" w:cs="Helvetica"/>
          <w:sz w:val="24"/>
          <w:szCs w:val="24"/>
          <w:lang w:val="en-GB"/>
        </w:rPr>
        <w:t>. Second, t</w:t>
      </w:r>
      <w:r w:rsidRPr="00E7253A">
        <w:rPr>
          <w:rStyle w:val="apple-converted-space"/>
          <w:rFonts w:ascii="Helvetica" w:hAnsi="Helvetica" w:cs="Helvetica"/>
          <w:sz w:val="24"/>
          <w:szCs w:val="24"/>
          <w:lang w:val="en-GB"/>
        </w:rPr>
        <w:t xml:space="preserve">he Supreme Court decision in </w:t>
      </w:r>
      <w:r w:rsidRPr="00E7253A">
        <w:rPr>
          <w:rStyle w:val="Emphasis"/>
          <w:rFonts w:ascii="Helvetica" w:hAnsi="Helvetica" w:cs="Helvetica"/>
          <w:sz w:val="24"/>
          <w:szCs w:val="24"/>
          <w:lang w:val="en-GB"/>
        </w:rPr>
        <w:t>Cheshire West and Cheshire Council v P</w:t>
      </w:r>
      <w:r w:rsidRPr="00E7253A">
        <w:rPr>
          <w:rStyle w:val="FootnoteReference"/>
          <w:rFonts w:ascii="Helvetica" w:hAnsi="Helvetica" w:cs="Helvetica"/>
          <w:i/>
          <w:iCs/>
          <w:sz w:val="24"/>
          <w:szCs w:val="24"/>
          <w:lang w:val="en-GB"/>
        </w:rPr>
        <w:footnoteReference w:id="2"/>
      </w:r>
      <w:r w:rsidRPr="00E7253A">
        <w:rPr>
          <w:rStyle w:val="Emphasis"/>
          <w:rFonts w:ascii="Helvetica" w:hAnsi="Helvetica" w:cs="Helvetica"/>
          <w:i w:val="0"/>
          <w:sz w:val="24"/>
          <w:szCs w:val="24"/>
          <w:lang w:val="en-GB"/>
        </w:rPr>
        <w:t>c</w:t>
      </w:r>
      <w:r w:rsidRPr="00E7253A">
        <w:rPr>
          <w:rFonts w:ascii="Helvetica" w:hAnsi="Helvetica" w:cs="Helvetica"/>
          <w:sz w:val="24"/>
          <w:szCs w:val="24"/>
          <w:lang w:val="en-GB"/>
        </w:rPr>
        <w:t xml:space="preserve">larified that an incapacitated person, whose care arrangements are the state’s responsibility, is to </w:t>
      </w:r>
      <w:proofErr w:type="gramStart"/>
      <w:r w:rsidRPr="00E7253A">
        <w:rPr>
          <w:rFonts w:ascii="Helvetica" w:hAnsi="Helvetica" w:cs="Helvetica"/>
          <w:sz w:val="24"/>
          <w:szCs w:val="24"/>
          <w:lang w:val="en-GB"/>
        </w:rPr>
        <w:t>be considered</w:t>
      </w:r>
      <w:proofErr w:type="gramEnd"/>
      <w:r w:rsidRPr="00E7253A">
        <w:rPr>
          <w:rFonts w:ascii="Helvetica" w:hAnsi="Helvetica" w:cs="Helvetica"/>
          <w:sz w:val="24"/>
          <w:szCs w:val="24"/>
          <w:lang w:val="en-GB"/>
        </w:rPr>
        <w:t xml:space="preserve"> objectively deprived of her liberty if she is subject to continuous supervision and control and is not free to leave. This is the case irrespective of the person’s compliance or lack of objection and of the relative normality of the placement or the reason for it. This decision has had a major impact on </w:t>
      </w:r>
      <w:r w:rsidRPr="00E7253A">
        <w:rPr>
          <w:rStyle w:val="Emphasis"/>
          <w:rFonts w:ascii="Helvetica" w:hAnsi="Helvetica" w:cs="Helvetica"/>
          <w:i w:val="0"/>
          <w:sz w:val="24"/>
          <w:szCs w:val="24"/>
          <w:lang w:val="en-GB"/>
        </w:rPr>
        <w:t xml:space="preserve">social and health care bodies, who </w:t>
      </w:r>
      <w:proofErr w:type="gramStart"/>
      <w:r w:rsidRPr="00E7253A">
        <w:rPr>
          <w:rStyle w:val="Emphasis"/>
          <w:rFonts w:ascii="Helvetica" w:hAnsi="Helvetica" w:cs="Helvetica"/>
          <w:i w:val="0"/>
          <w:sz w:val="24"/>
          <w:szCs w:val="24"/>
          <w:lang w:val="en-GB"/>
        </w:rPr>
        <w:t>have been overwhelmed</w:t>
      </w:r>
      <w:proofErr w:type="gramEnd"/>
      <w:r w:rsidRPr="00E7253A">
        <w:rPr>
          <w:rStyle w:val="Emphasis"/>
          <w:rFonts w:ascii="Helvetica" w:hAnsi="Helvetica" w:cs="Helvetica"/>
          <w:i w:val="0"/>
          <w:sz w:val="24"/>
          <w:szCs w:val="24"/>
          <w:lang w:val="en-GB"/>
        </w:rPr>
        <w:t xml:space="preserve"> by the consequent increase in the number of applications.</w:t>
      </w:r>
      <w:r w:rsidRPr="00E7253A">
        <w:rPr>
          <w:rStyle w:val="FootnoteReference"/>
          <w:rFonts w:ascii="Helvetica" w:hAnsi="Helvetica" w:cs="Helvetica"/>
          <w:iCs/>
          <w:sz w:val="24"/>
          <w:szCs w:val="24"/>
          <w:lang w:val="en-GB"/>
        </w:rPr>
        <w:footnoteReference w:id="3"/>
      </w:r>
      <w:r w:rsidRPr="00E7253A">
        <w:rPr>
          <w:rStyle w:val="Emphasis"/>
          <w:rFonts w:ascii="Helvetica" w:hAnsi="Helvetica" w:cs="Helvetica"/>
          <w:i w:val="0"/>
          <w:sz w:val="24"/>
          <w:szCs w:val="24"/>
          <w:lang w:val="en-GB"/>
        </w:rPr>
        <w:t xml:space="preserve"> Baroness Hale, who wrote the leading opinion in </w:t>
      </w:r>
      <w:r w:rsidRPr="00E7253A">
        <w:rPr>
          <w:rStyle w:val="Emphasis"/>
          <w:rFonts w:ascii="Helvetica" w:hAnsi="Helvetica" w:cs="Helvetica"/>
          <w:sz w:val="24"/>
          <w:szCs w:val="24"/>
          <w:lang w:val="en-GB"/>
        </w:rPr>
        <w:t>Cheshire West</w:t>
      </w:r>
      <w:r w:rsidRPr="00E7253A">
        <w:rPr>
          <w:rStyle w:val="Emphasis"/>
          <w:rFonts w:ascii="Helvetica" w:hAnsi="Helvetica" w:cs="Helvetica"/>
          <w:i w:val="0"/>
          <w:sz w:val="24"/>
          <w:szCs w:val="24"/>
          <w:lang w:val="en-GB"/>
        </w:rPr>
        <w:t xml:space="preserve">, recognized the need for a system that expands the protection to </w:t>
      </w:r>
      <w:r w:rsidRPr="00E7253A">
        <w:rPr>
          <w:rFonts w:ascii="Helvetica" w:hAnsi="Helvetica" w:cs="Helvetica"/>
          <w:sz w:val="24"/>
          <w:szCs w:val="24"/>
          <w:lang w:val="en-GB"/>
        </w:rPr>
        <w:t xml:space="preserve">placements outside hospitals and care homes, but that does not need to be as elaborate as </w:t>
      </w:r>
      <w:proofErr w:type="spellStart"/>
      <w:r w:rsidRPr="00E7253A">
        <w:rPr>
          <w:rFonts w:ascii="Helvetica" w:hAnsi="Helvetica" w:cs="Helvetica"/>
          <w:sz w:val="24"/>
          <w:szCs w:val="24"/>
          <w:lang w:val="en-GB"/>
        </w:rPr>
        <w:t>DoLS</w:t>
      </w:r>
      <w:proofErr w:type="spellEnd"/>
      <w:r w:rsidRPr="00E7253A">
        <w:rPr>
          <w:rFonts w:ascii="Helvetica" w:hAnsi="Helvetica" w:cs="Helvetica"/>
          <w:sz w:val="24"/>
          <w:szCs w:val="24"/>
          <w:lang w:val="en-GB"/>
        </w:rPr>
        <w:t>.</w:t>
      </w:r>
      <w:r w:rsidRPr="00E7253A">
        <w:rPr>
          <w:rStyle w:val="FootnoteReference"/>
          <w:rFonts w:ascii="Helvetica" w:hAnsi="Helvetica" w:cs="Helvetica"/>
          <w:sz w:val="24"/>
          <w:szCs w:val="24"/>
          <w:lang w:val="en-GB"/>
        </w:rPr>
        <w:footnoteReference w:id="4"/>
      </w:r>
      <w:r w:rsidRPr="00E7253A">
        <w:rPr>
          <w:rFonts w:ascii="Helvetica" w:hAnsi="Helvetica" w:cs="Helvetica"/>
          <w:i/>
          <w:sz w:val="24"/>
          <w:szCs w:val="24"/>
          <w:lang w:val="en-GB"/>
        </w:rPr>
        <w:t xml:space="preserve"> </w:t>
      </w:r>
      <w:r w:rsidRPr="00E7253A">
        <w:rPr>
          <w:rFonts w:ascii="Helvetica" w:hAnsi="Helvetica" w:cs="Helvetica"/>
          <w:sz w:val="24"/>
          <w:szCs w:val="24"/>
          <w:lang w:val="en-GB"/>
        </w:rPr>
        <w:t xml:space="preserve">Considering the findings of the House of Lords Select Committee and the Supreme Court decision in </w:t>
      </w:r>
      <w:r w:rsidRPr="00E7253A">
        <w:rPr>
          <w:rStyle w:val="Emphasis"/>
          <w:rFonts w:ascii="Helvetica" w:hAnsi="Helvetica" w:cs="Helvetica"/>
          <w:sz w:val="24"/>
          <w:szCs w:val="24"/>
          <w:lang w:val="en-GB"/>
        </w:rPr>
        <w:t xml:space="preserve">Cheshire West, </w:t>
      </w:r>
      <w:r w:rsidRPr="00E7253A">
        <w:rPr>
          <w:rFonts w:ascii="Helvetica" w:hAnsi="Helvetica" w:cs="Helvetica"/>
          <w:sz w:val="24"/>
          <w:szCs w:val="24"/>
          <w:lang w:val="en-GB"/>
        </w:rPr>
        <w:t>t</w:t>
      </w:r>
      <w:r w:rsidRPr="00E7253A">
        <w:rPr>
          <w:rStyle w:val="Emphasis"/>
          <w:rFonts w:ascii="Helvetica" w:hAnsi="Helvetica" w:cs="Helvetica"/>
          <w:i w:val="0"/>
          <w:sz w:val="24"/>
          <w:szCs w:val="24"/>
          <w:lang w:val="en-GB"/>
        </w:rPr>
        <w:t xml:space="preserve">he Law Commission is currently working on proposals to </w:t>
      </w:r>
      <w:r w:rsidRPr="00E7253A">
        <w:rPr>
          <w:rFonts w:ascii="Helvetica" w:hAnsi="Helvetica" w:cs="Helvetica"/>
          <w:sz w:val="24"/>
          <w:szCs w:val="24"/>
          <w:lang w:val="en-GB"/>
        </w:rPr>
        <w:t xml:space="preserve">replace </w:t>
      </w:r>
      <w:proofErr w:type="spellStart"/>
      <w:r w:rsidRPr="00E7253A">
        <w:rPr>
          <w:rFonts w:ascii="Helvetica" w:hAnsi="Helvetica" w:cs="Helvetica"/>
          <w:sz w:val="24"/>
          <w:szCs w:val="24"/>
          <w:lang w:val="en-GB"/>
        </w:rPr>
        <w:t>DoLS</w:t>
      </w:r>
      <w:proofErr w:type="spellEnd"/>
      <w:r w:rsidRPr="00E7253A">
        <w:rPr>
          <w:rFonts w:ascii="Helvetica" w:hAnsi="Helvetica" w:cs="Helvetica"/>
          <w:sz w:val="24"/>
          <w:szCs w:val="24"/>
          <w:lang w:val="en-GB"/>
        </w:rPr>
        <w:t xml:space="preserve"> with a system that would suit health and social care providers and users better.</w:t>
      </w:r>
    </w:p>
    <w:p w:rsidR="003D773C" w:rsidRPr="00E7253A" w:rsidRDefault="003D773C" w:rsidP="003D773C">
      <w:pPr>
        <w:spacing w:after="0"/>
        <w:rPr>
          <w:rStyle w:val="legds2"/>
          <w:rFonts w:ascii="Helvetica" w:hAnsi="Helvetica" w:cs="Helvetica"/>
          <w:sz w:val="24"/>
          <w:szCs w:val="24"/>
          <w:lang w:val="en-GB"/>
        </w:rPr>
      </w:pPr>
    </w:p>
    <w:p w:rsidR="003D773C" w:rsidRPr="00E7253A" w:rsidRDefault="003D773C" w:rsidP="003D773C">
      <w:pPr>
        <w:spacing w:after="0"/>
        <w:rPr>
          <w:rStyle w:val="legds2"/>
          <w:rFonts w:ascii="Helvetica" w:hAnsi="Helvetica" w:cs="Helvetica"/>
          <w:sz w:val="24"/>
          <w:szCs w:val="24"/>
          <w:lang w:val="en-GB"/>
        </w:rPr>
      </w:pPr>
      <w:r w:rsidRPr="00E7253A">
        <w:rPr>
          <w:rStyle w:val="legds2"/>
          <w:rFonts w:ascii="Helvetica" w:hAnsi="Helvetica" w:cs="Helvetica"/>
          <w:sz w:val="24"/>
          <w:szCs w:val="24"/>
          <w:lang w:val="en-GB"/>
        </w:rPr>
        <w:t>In the context of a general acceptance that legal reforms are necessary, this issue of the IJMHCL brings together research articles and contributions based on relevant experience in legal practice and policy-making to discuss deprivation of liberty in health and social care settings. This issue draws on the ‘</w:t>
      </w:r>
      <w:r w:rsidRPr="00E7253A">
        <w:rPr>
          <w:rFonts w:ascii="Helvetica" w:hAnsi="Helvetica" w:cs="Helvetica"/>
          <w:sz w:val="24"/>
          <w:szCs w:val="24"/>
          <w:lang w:val="en-GB"/>
        </w:rPr>
        <w:t>Rethinking Deprivation of Liberty in a Health and Social Care Context</w:t>
      </w:r>
      <w:r w:rsidRPr="00E7253A">
        <w:rPr>
          <w:rFonts w:ascii="Helvetica" w:hAnsi="Helvetica" w:cs="Helvetica"/>
          <w:bCs/>
          <w:sz w:val="24"/>
          <w:szCs w:val="24"/>
          <w:lang w:val="en-GB"/>
        </w:rPr>
        <w:t>’</w:t>
      </w:r>
      <w:r w:rsidRPr="00E7253A">
        <w:rPr>
          <w:rStyle w:val="legds2"/>
          <w:rFonts w:ascii="Helvetica" w:hAnsi="Helvetica" w:cs="Helvetica"/>
          <w:sz w:val="24"/>
          <w:szCs w:val="24"/>
          <w:lang w:val="en-GB"/>
        </w:rPr>
        <w:t xml:space="preserve"> conference held in London on 30 </w:t>
      </w:r>
      <w:proofErr w:type="gramStart"/>
      <w:r w:rsidRPr="00E7253A">
        <w:rPr>
          <w:rStyle w:val="legds2"/>
          <w:rFonts w:ascii="Helvetica" w:hAnsi="Helvetica" w:cs="Helvetica"/>
          <w:sz w:val="24"/>
          <w:szCs w:val="24"/>
          <w:lang w:val="en-GB"/>
        </w:rPr>
        <w:t>September,</w:t>
      </w:r>
      <w:proofErr w:type="gramEnd"/>
      <w:r w:rsidRPr="00E7253A">
        <w:rPr>
          <w:rStyle w:val="legds2"/>
          <w:rFonts w:ascii="Helvetica" w:hAnsi="Helvetica" w:cs="Helvetica"/>
          <w:sz w:val="24"/>
          <w:szCs w:val="24"/>
          <w:lang w:val="en-GB"/>
        </w:rPr>
        <w:t xml:space="preserve"> 2015. This conference, convened by the Department of Law at Queen Mary University of London with the support of the </w:t>
      </w:r>
      <w:proofErr w:type="spellStart"/>
      <w:r w:rsidRPr="00E7253A">
        <w:rPr>
          <w:rStyle w:val="legds2"/>
          <w:rFonts w:ascii="Helvetica" w:hAnsi="Helvetica" w:cs="Helvetica"/>
          <w:sz w:val="24"/>
          <w:szCs w:val="24"/>
          <w:lang w:val="en-GB"/>
        </w:rPr>
        <w:t>Wellcome</w:t>
      </w:r>
      <w:proofErr w:type="spellEnd"/>
      <w:r w:rsidRPr="00E7253A">
        <w:rPr>
          <w:rStyle w:val="legds2"/>
          <w:rFonts w:ascii="Helvetica" w:hAnsi="Helvetica" w:cs="Helvetica"/>
          <w:sz w:val="24"/>
          <w:szCs w:val="24"/>
          <w:lang w:val="en-GB"/>
        </w:rPr>
        <w:t xml:space="preserve"> Trust</w:t>
      </w:r>
      <w:r w:rsidRPr="00E7253A">
        <w:rPr>
          <w:rStyle w:val="FootnoteReference"/>
          <w:rFonts w:ascii="Helvetica" w:hAnsi="Helvetica" w:cs="Helvetica"/>
          <w:sz w:val="24"/>
          <w:szCs w:val="24"/>
          <w:lang w:val="en-GB"/>
        </w:rPr>
        <w:footnoteReference w:id="5"/>
      </w:r>
      <w:r w:rsidRPr="00E7253A">
        <w:rPr>
          <w:rStyle w:val="legds2"/>
          <w:rFonts w:ascii="Helvetica" w:hAnsi="Helvetica" w:cs="Helvetica"/>
          <w:sz w:val="24"/>
          <w:szCs w:val="24"/>
          <w:lang w:val="en-GB"/>
        </w:rPr>
        <w:t xml:space="preserve">, </w:t>
      </w:r>
      <w:r w:rsidRPr="00E7253A">
        <w:rPr>
          <w:rFonts w:ascii="Helvetica" w:hAnsi="Helvetica" w:cs="Helvetica"/>
          <w:sz w:val="24"/>
          <w:szCs w:val="24"/>
          <w:shd w:val="clear" w:color="auto" w:fill="FFFFFF"/>
          <w:lang w:val="en-GB"/>
        </w:rPr>
        <w:t xml:space="preserve">assembled experts from different jurisdictions to consider alternatives to </w:t>
      </w:r>
      <w:proofErr w:type="spellStart"/>
      <w:r w:rsidRPr="00E7253A">
        <w:rPr>
          <w:rFonts w:ascii="Helvetica" w:hAnsi="Helvetica" w:cs="Helvetica"/>
          <w:sz w:val="24"/>
          <w:szCs w:val="24"/>
          <w:shd w:val="clear" w:color="auto" w:fill="FFFFFF"/>
          <w:lang w:val="en-GB"/>
        </w:rPr>
        <w:t>DoLS</w:t>
      </w:r>
      <w:proofErr w:type="spellEnd"/>
      <w:r w:rsidRPr="00E7253A">
        <w:rPr>
          <w:rStyle w:val="legds2"/>
          <w:rFonts w:ascii="Helvetica" w:hAnsi="Helvetica" w:cs="Helvetica"/>
          <w:sz w:val="24"/>
          <w:szCs w:val="24"/>
          <w:lang w:val="en-GB"/>
        </w:rPr>
        <w:t xml:space="preserve">. It was convened – in part – to inform the Law Commission’s deliberations as to the replacement for </w:t>
      </w:r>
      <w:proofErr w:type="spellStart"/>
      <w:r w:rsidRPr="00E7253A">
        <w:rPr>
          <w:rStyle w:val="legds2"/>
          <w:rFonts w:ascii="Helvetica" w:hAnsi="Helvetica" w:cs="Helvetica"/>
          <w:sz w:val="24"/>
          <w:szCs w:val="24"/>
          <w:lang w:val="en-GB"/>
        </w:rPr>
        <w:t>DoLS</w:t>
      </w:r>
      <w:proofErr w:type="spellEnd"/>
      <w:r w:rsidRPr="00E7253A">
        <w:rPr>
          <w:rStyle w:val="legds2"/>
          <w:rFonts w:ascii="Helvetica" w:hAnsi="Helvetica" w:cs="Helvetica"/>
          <w:sz w:val="24"/>
          <w:szCs w:val="24"/>
          <w:lang w:val="en-GB"/>
        </w:rPr>
        <w:t xml:space="preserve">, a project </w:t>
      </w:r>
      <w:proofErr w:type="gramStart"/>
      <w:r w:rsidRPr="00E7253A">
        <w:rPr>
          <w:rStyle w:val="legds2"/>
          <w:rFonts w:ascii="Helvetica" w:hAnsi="Helvetica" w:cs="Helvetica"/>
          <w:sz w:val="24"/>
          <w:szCs w:val="24"/>
          <w:lang w:val="en-GB"/>
        </w:rPr>
        <w:t>which</w:t>
      </w:r>
      <w:proofErr w:type="gramEnd"/>
      <w:r w:rsidRPr="00E7253A">
        <w:rPr>
          <w:rStyle w:val="legds2"/>
          <w:rFonts w:ascii="Helvetica" w:hAnsi="Helvetica" w:cs="Helvetica"/>
          <w:sz w:val="24"/>
          <w:szCs w:val="24"/>
          <w:lang w:val="en-GB"/>
        </w:rPr>
        <w:t xml:space="preserve"> remains underway as at the date of publication.</w:t>
      </w:r>
      <w:r w:rsidRPr="00E7253A">
        <w:rPr>
          <w:rStyle w:val="FootnoteReference"/>
          <w:rFonts w:ascii="Helvetica" w:hAnsi="Helvetica" w:cs="Helvetica"/>
          <w:sz w:val="24"/>
          <w:szCs w:val="24"/>
          <w:lang w:val="en-GB"/>
        </w:rPr>
        <w:footnoteReference w:id="6"/>
      </w:r>
    </w:p>
    <w:p w:rsidR="003D773C" w:rsidRPr="00E7253A" w:rsidRDefault="003D773C" w:rsidP="003D773C">
      <w:pPr>
        <w:spacing w:after="0"/>
        <w:rPr>
          <w:rStyle w:val="legds2"/>
          <w:rFonts w:ascii="Helvetica" w:hAnsi="Helvetica" w:cs="Helvetica"/>
          <w:sz w:val="24"/>
          <w:szCs w:val="24"/>
          <w:lang w:val="en-GB"/>
        </w:rPr>
      </w:pPr>
    </w:p>
    <w:p w:rsidR="003D773C" w:rsidRPr="00E7253A" w:rsidRDefault="003D773C" w:rsidP="003D773C">
      <w:pPr>
        <w:spacing w:after="0"/>
        <w:rPr>
          <w:rStyle w:val="legds2"/>
          <w:rFonts w:ascii="Helvetica" w:hAnsi="Helvetica" w:cs="Helvetica"/>
          <w:sz w:val="24"/>
          <w:szCs w:val="24"/>
          <w:lang w:val="en-GB"/>
        </w:rPr>
      </w:pPr>
      <w:proofErr w:type="gramStart"/>
      <w:r w:rsidRPr="00E7253A">
        <w:rPr>
          <w:rStyle w:val="legds2"/>
          <w:rFonts w:ascii="Helvetica" w:hAnsi="Helvetica" w:cs="Helvetica"/>
          <w:sz w:val="24"/>
          <w:szCs w:val="24"/>
          <w:lang w:val="en-GB"/>
        </w:rPr>
        <w:lastRenderedPageBreak/>
        <w:t xml:space="preserve">One of the overarching conclusions that can be drawn from the conference and this IJMHCL issue is that the debate about </w:t>
      </w:r>
      <w:proofErr w:type="spellStart"/>
      <w:r w:rsidRPr="00E7253A">
        <w:rPr>
          <w:rStyle w:val="legds2"/>
          <w:rFonts w:ascii="Helvetica" w:hAnsi="Helvetica" w:cs="Helvetica"/>
          <w:sz w:val="24"/>
          <w:szCs w:val="24"/>
          <w:lang w:val="en-GB"/>
        </w:rPr>
        <w:t>DoLS</w:t>
      </w:r>
      <w:proofErr w:type="spellEnd"/>
      <w:r w:rsidRPr="00E7253A">
        <w:rPr>
          <w:rStyle w:val="legds2"/>
          <w:rFonts w:ascii="Helvetica" w:hAnsi="Helvetica" w:cs="Helvetica"/>
          <w:sz w:val="24"/>
          <w:szCs w:val="24"/>
          <w:lang w:val="en-GB"/>
        </w:rPr>
        <w:t xml:space="preserve"> – and indeed any regime for the authorising of deprivation of liberty – should be part of a broader conversation about how to reconcile health and social care users’ need for care and support with their right to liberty and autonomy.</w:t>
      </w:r>
      <w:proofErr w:type="gramEnd"/>
      <w:r w:rsidRPr="00E7253A">
        <w:rPr>
          <w:rStyle w:val="legds2"/>
          <w:rFonts w:ascii="Helvetica" w:hAnsi="Helvetica" w:cs="Helvetica"/>
          <w:sz w:val="24"/>
          <w:szCs w:val="24"/>
          <w:lang w:val="en-GB"/>
        </w:rPr>
        <w:t xml:space="preserve"> Meeting needs and protecting rights rarely have to be competing objectives.</w:t>
      </w:r>
    </w:p>
    <w:p w:rsidR="003D773C" w:rsidRPr="00E7253A" w:rsidRDefault="003D773C" w:rsidP="003D773C">
      <w:pPr>
        <w:spacing w:after="0"/>
        <w:rPr>
          <w:rFonts w:ascii="Helvetica" w:hAnsi="Helvetica" w:cs="Helvetica"/>
          <w:color w:val="111111"/>
          <w:sz w:val="24"/>
          <w:szCs w:val="24"/>
          <w:shd w:val="clear" w:color="auto" w:fill="FFFFFF"/>
          <w:lang w:val="en-GB"/>
        </w:rPr>
      </w:pPr>
    </w:p>
    <w:p w:rsidR="003D773C" w:rsidRPr="00E7253A" w:rsidRDefault="003D773C" w:rsidP="003D773C">
      <w:pPr>
        <w:spacing w:after="0"/>
        <w:rPr>
          <w:rFonts w:ascii="Helvetica" w:hAnsi="Helvetica" w:cs="Helvetica"/>
          <w:sz w:val="24"/>
          <w:szCs w:val="24"/>
          <w:lang w:val="en-GB"/>
        </w:rPr>
      </w:pPr>
      <w:r w:rsidRPr="00E7253A">
        <w:rPr>
          <w:rFonts w:ascii="Helvetica" w:hAnsi="Helvetica" w:cs="Helvetica"/>
          <w:color w:val="111111"/>
          <w:sz w:val="24"/>
          <w:szCs w:val="24"/>
          <w:shd w:val="clear" w:color="auto" w:fill="FFFFFF"/>
          <w:lang w:val="en-GB"/>
        </w:rPr>
        <w:t xml:space="preserve">This edition starts with </w:t>
      </w:r>
      <w:proofErr w:type="spellStart"/>
      <w:r w:rsidRPr="00E7253A">
        <w:rPr>
          <w:rFonts w:ascii="Helvetica" w:hAnsi="Helvetica" w:cs="Helvetica"/>
          <w:color w:val="111111"/>
          <w:sz w:val="24"/>
          <w:szCs w:val="24"/>
          <w:shd w:val="clear" w:color="auto" w:fill="FFFFFF"/>
          <w:lang w:val="en-GB"/>
        </w:rPr>
        <w:t>Eilionóir</w:t>
      </w:r>
      <w:proofErr w:type="spellEnd"/>
      <w:r w:rsidRPr="00E7253A">
        <w:rPr>
          <w:rFonts w:ascii="Helvetica" w:hAnsi="Helvetica" w:cs="Helvetica"/>
          <w:color w:val="111111"/>
          <w:sz w:val="24"/>
          <w:szCs w:val="24"/>
          <w:shd w:val="clear" w:color="auto" w:fill="FFFFFF"/>
          <w:lang w:val="en-GB"/>
        </w:rPr>
        <w:t xml:space="preserve"> Flynn’s ‘Deprivation of Liberty Safeguards and International Human Rights Law: Reconciling European and </w:t>
      </w:r>
      <w:proofErr w:type="gramStart"/>
      <w:r w:rsidRPr="00E7253A">
        <w:rPr>
          <w:rFonts w:ascii="Helvetica" w:hAnsi="Helvetica" w:cs="Helvetica"/>
          <w:color w:val="111111"/>
          <w:sz w:val="24"/>
          <w:szCs w:val="24"/>
          <w:shd w:val="clear" w:color="auto" w:fill="FFFFFF"/>
          <w:lang w:val="en-GB"/>
        </w:rPr>
        <w:t>International Approaches’</w:t>
      </w:r>
      <w:proofErr w:type="gramEnd"/>
      <w:r w:rsidRPr="00E7253A">
        <w:rPr>
          <w:rFonts w:ascii="Helvetica" w:hAnsi="Helvetica" w:cs="Helvetica"/>
          <w:color w:val="111111"/>
          <w:sz w:val="24"/>
          <w:szCs w:val="24"/>
          <w:shd w:val="clear" w:color="auto" w:fill="FFFFFF"/>
          <w:lang w:val="en-GB"/>
        </w:rPr>
        <w:t xml:space="preserve">. The author engages with the question of whether </w:t>
      </w:r>
      <w:r w:rsidRPr="00E7253A">
        <w:rPr>
          <w:rFonts w:ascii="Helvetica" w:hAnsi="Helvetica" w:cs="Helvetica"/>
          <w:sz w:val="24"/>
          <w:szCs w:val="24"/>
          <w:lang w:val="en-GB"/>
        </w:rPr>
        <w:t>disability-specific forms</w:t>
      </w:r>
      <w:r w:rsidRPr="00E7253A">
        <w:rPr>
          <w:rFonts w:ascii="Helvetica" w:hAnsi="Helvetica" w:cs="Helvetica"/>
          <w:i/>
          <w:sz w:val="24"/>
          <w:szCs w:val="24"/>
          <w:lang w:val="en-GB"/>
        </w:rPr>
        <w:t xml:space="preserve"> </w:t>
      </w:r>
      <w:r w:rsidRPr="00E7253A">
        <w:rPr>
          <w:rFonts w:ascii="Helvetica" w:hAnsi="Helvetica" w:cs="Helvetica"/>
          <w:color w:val="111111"/>
          <w:sz w:val="24"/>
          <w:szCs w:val="24"/>
          <w:shd w:val="clear" w:color="auto" w:fill="FFFFFF"/>
          <w:lang w:val="en-GB"/>
        </w:rPr>
        <w:t xml:space="preserve">of deprivation of liberty </w:t>
      </w:r>
      <w:r w:rsidRPr="00E7253A">
        <w:rPr>
          <w:rFonts w:ascii="Helvetica" w:hAnsi="Helvetica" w:cs="Helvetica"/>
          <w:sz w:val="24"/>
          <w:szCs w:val="24"/>
          <w:lang w:val="en-GB"/>
        </w:rPr>
        <w:t xml:space="preserve">are in themselves </w:t>
      </w:r>
      <w:r w:rsidRPr="00E7253A">
        <w:rPr>
          <w:rFonts w:ascii="Helvetica" w:hAnsi="Helvetica" w:cs="Helvetica"/>
          <w:color w:val="111111"/>
          <w:sz w:val="24"/>
          <w:szCs w:val="24"/>
          <w:shd w:val="clear" w:color="auto" w:fill="FFFFFF"/>
          <w:lang w:val="en-GB"/>
        </w:rPr>
        <w:t>compatible with both the European Convention on Human Rights (ECHR) and the United Nations Convention on the Rights of Persons with Disabilities (CRPD). This article analyses the difficulties for domestic legislation of reconciling Article 5(1</w:t>
      </w:r>
      <w:proofErr w:type="gramStart"/>
      <w:r w:rsidRPr="00E7253A">
        <w:rPr>
          <w:rFonts w:ascii="Helvetica" w:hAnsi="Helvetica" w:cs="Helvetica"/>
          <w:color w:val="111111"/>
          <w:sz w:val="24"/>
          <w:szCs w:val="24"/>
          <w:shd w:val="clear" w:color="auto" w:fill="FFFFFF"/>
          <w:lang w:val="en-GB"/>
        </w:rPr>
        <w:t>)(</w:t>
      </w:r>
      <w:proofErr w:type="gramEnd"/>
      <w:r w:rsidRPr="00E7253A">
        <w:rPr>
          <w:rFonts w:ascii="Helvetica" w:hAnsi="Helvetica" w:cs="Helvetica"/>
          <w:color w:val="111111"/>
          <w:sz w:val="24"/>
          <w:szCs w:val="24"/>
          <w:shd w:val="clear" w:color="auto" w:fill="FFFFFF"/>
          <w:lang w:val="en-GB"/>
        </w:rPr>
        <w:t>e) of the ECHR, which authorizes restrictions to liberty based on a mental disability, and Article</w:t>
      </w:r>
      <w:r>
        <w:rPr>
          <w:rFonts w:ascii="Helvetica" w:hAnsi="Helvetica" w:cs="Helvetica"/>
          <w:color w:val="111111"/>
          <w:sz w:val="24"/>
          <w:szCs w:val="24"/>
          <w:shd w:val="clear" w:color="auto" w:fill="FFFFFF"/>
          <w:lang w:val="en-GB"/>
        </w:rPr>
        <w:t xml:space="preserve"> </w:t>
      </w:r>
      <w:r w:rsidRPr="00E7253A">
        <w:rPr>
          <w:rFonts w:ascii="Helvetica" w:hAnsi="Helvetica" w:cs="Helvetica"/>
          <w:color w:val="111111"/>
          <w:sz w:val="24"/>
          <w:szCs w:val="24"/>
          <w:shd w:val="clear" w:color="auto" w:fill="FFFFFF"/>
          <w:lang w:val="en-GB"/>
        </w:rPr>
        <w:t>14 of the CRPD, which can be interpreted as ruling out any</w:t>
      </w:r>
      <w:r w:rsidRPr="00E7253A">
        <w:rPr>
          <w:rFonts w:ascii="Helvetica" w:hAnsi="Helvetica" w:cs="Helvetica"/>
          <w:sz w:val="24"/>
          <w:szCs w:val="24"/>
          <w:lang w:val="en-GB"/>
        </w:rPr>
        <w:t xml:space="preserve"> disability-specific form</w:t>
      </w:r>
      <w:r w:rsidRPr="00E7253A">
        <w:rPr>
          <w:rFonts w:ascii="Helvetica" w:hAnsi="Helvetica" w:cs="Helvetica"/>
          <w:i/>
          <w:sz w:val="24"/>
          <w:szCs w:val="24"/>
          <w:lang w:val="en-GB"/>
        </w:rPr>
        <w:t xml:space="preserve"> </w:t>
      </w:r>
      <w:r w:rsidRPr="00E7253A">
        <w:rPr>
          <w:rFonts w:ascii="Helvetica" w:hAnsi="Helvetica" w:cs="Helvetica"/>
          <w:color w:val="111111"/>
          <w:sz w:val="24"/>
          <w:szCs w:val="24"/>
          <w:shd w:val="clear" w:color="auto" w:fill="FFFFFF"/>
          <w:lang w:val="en-GB"/>
        </w:rPr>
        <w:t xml:space="preserve">of deprivation of liberty. This </w:t>
      </w:r>
      <w:r w:rsidRPr="00E7253A">
        <w:rPr>
          <w:rFonts w:ascii="Helvetica" w:hAnsi="Helvetica" w:cs="Helvetica"/>
          <w:sz w:val="24"/>
          <w:szCs w:val="24"/>
          <w:lang w:val="en-GB"/>
        </w:rPr>
        <w:t xml:space="preserve">sets the scene for </w:t>
      </w:r>
      <w:proofErr w:type="spellStart"/>
      <w:r w:rsidRPr="00E7253A">
        <w:rPr>
          <w:rFonts w:ascii="Helvetica" w:hAnsi="Helvetica" w:cs="Helvetica"/>
          <w:color w:val="111111"/>
          <w:sz w:val="24"/>
          <w:szCs w:val="24"/>
          <w:shd w:val="clear" w:color="auto" w:fill="FFFFFF"/>
          <w:lang w:val="en-GB"/>
        </w:rPr>
        <w:t>Eilionóir</w:t>
      </w:r>
      <w:proofErr w:type="spellEnd"/>
      <w:r w:rsidRPr="00E7253A">
        <w:rPr>
          <w:rFonts w:ascii="Helvetica" w:hAnsi="Helvetica" w:cs="Helvetica"/>
          <w:color w:val="111111"/>
          <w:sz w:val="24"/>
          <w:szCs w:val="24"/>
          <w:shd w:val="clear" w:color="auto" w:fill="FFFFFF"/>
          <w:lang w:val="en-GB"/>
        </w:rPr>
        <w:t xml:space="preserve"> Flynn’s analysis of the current law in England and Wales and the </w:t>
      </w:r>
      <w:r w:rsidRPr="00E7253A">
        <w:rPr>
          <w:rFonts w:ascii="Helvetica" w:hAnsi="Helvetica" w:cs="Helvetica"/>
          <w:sz w:val="24"/>
          <w:szCs w:val="24"/>
          <w:lang w:val="en-GB"/>
        </w:rPr>
        <w:t xml:space="preserve">Law Commission’s proposals </w:t>
      </w:r>
      <w:r w:rsidRPr="00E7253A">
        <w:rPr>
          <w:rStyle w:val="Emphasis"/>
          <w:rFonts w:ascii="Helvetica" w:hAnsi="Helvetica" w:cs="Helvetica"/>
          <w:i w:val="0"/>
          <w:sz w:val="24"/>
          <w:szCs w:val="24"/>
          <w:lang w:val="en-GB"/>
        </w:rPr>
        <w:t xml:space="preserve">to </w:t>
      </w:r>
      <w:r w:rsidRPr="00E7253A">
        <w:rPr>
          <w:rFonts w:ascii="Helvetica" w:hAnsi="Helvetica" w:cs="Helvetica"/>
          <w:sz w:val="24"/>
          <w:szCs w:val="24"/>
          <w:lang w:val="en-GB"/>
        </w:rPr>
        <w:t xml:space="preserve">replace </w:t>
      </w:r>
      <w:proofErr w:type="spellStart"/>
      <w:r w:rsidRPr="00E7253A">
        <w:rPr>
          <w:rFonts w:ascii="Helvetica" w:hAnsi="Helvetica" w:cs="Helvetica"/>
          <w:sz w:val="24"/>
          <w:szCs w:val="24"/>
          <w:lang w:val="en-GB"/>
        </w:rPr>
        <w:t>DoLS</w:t>
      </w:r>
      <w:proofErr w:type="spellEnd"/>
      <w:r w:rsidRPr="00E7253A">
        <w:rPr>
          <w:rFonts w:ascii="Helvetica" w:hAnsi="Helvetica" w:cs="Helvetica"/>
          <w:sz w:val="24"/>
          <w:szCs w:val="24"/>
          <w:lang w:val="en-GB"/>
        </w:rPr>
        <w:t>.</w:t>
      </w:r>
    </w:p>
    <w:p w:rsidR="003D773C" w:rsidRPr="00E7253A" w:rsidRDefault="003D773C" w:rsidP="003D773C">
      <w:pPr>
        <w:spacing w:after="0"/>
        <w:rPr>
          <w:rStyle w:val="legds2"/>
          <w:rFonts w:ascii="Helvetica" w:hAnsi="Helvetica" w:cs="Helvetica"/>
          <w:sz w:val="24"/>
          <w:szCs w:val="24"/>
          <w:lang w:val="en-GB"/>
        </w:rPr>
      </w:pPr>
    </w:p>
    <w:p w:rsidR="003D773C" w:rsidRPr="00E7253A" w:rsidRDefault="003D773C" w:rsidP="003D773C">
      <w:pPr>
        <w:spacing w:after="0"/>
        <w:rPr>
          <w:rStyle w:val="legds2"/>
          <w:rFonts w:ascii="Helvetica" w:hAnsi="Helvetica" w:cs="Helvetica"/>
          <w:sz w:val="24"/>
          <w:szCs w:val="24"/>
          <w:lang w:val="en-GB"/>
        </w:rPr>
      </w:pPr>
      <w:r w:rsidRPr="00E7253A">
        <w:rPr>
          <w:rStyle w:val="legds2"/>
          <w:rFonts w:ascii="Helvetica" w:hAnsi="Helvetica" w:cs="Helvetica"/>
          <w:sz w:val="24"/>
          <w:szCs w:val="24"/>
          <w:lang w:val="en-GB"/>
        </w:rPr>
        <w:t xml:space="preserve">Gordon R. Ashton offers a critical analysis of </w:t>
      </w:r>
      <w:proofErr w:type="spellStart"/>
      <w:r w:rsidRPr="00E7253A">
        <w:rPr>
          <w:rStyle w:val="legds2"/>
          <w:rFonts w:ascii="Helvetica" w:hAnsi="Helvetica" w:cs="Helvetica"/>
          <w:sz w:val="24"/>
          <w:szCs w:val="24"/>
          <w:lang w:val="en-GB"/>
        </w:rPr>
        <w:t>DoLS</w:t>
      </w:r>
      <w:proofErr w:type="spellEnd"/>
      <w:r w:rsidRPr="00E7253A">
        <w:rPr>
          <w:rStyle w:val="legds2"/>
          <w:rFonts w:ascii="Helvetica" w:hAnsi="Helvetica" w:cs="Helvetica"/>
          <w:sz w:val="24"/>
          <w:szCs w:val="24"/>
          <w:lang w:val="en-GB"/>
        </w:rPr>
        <w:t xml:space="preserve"> from his personal perspective as a judge of the Court of Protection and as the parent of a social care service user.  ‘</w:t>
      </w:r>
      <w:proofErr w:type="spellStart"/>
      <w:r w:rsidRPr="00E7253A">
        <w:rPr>
          <w:rStyle w:val="legds2"/>
          <w:rFonts w:ascii="Helvetica" w:hAnsi="Helvetica" w:cs="Helvetica"/>
          <w:sz w:val="24"/>
          <w:szCs w:val="24"/>
          <w:lang w:val="en-GB"/>
        </w:rPr>
        <w:t>DoLS</w:t>
      </w:r>
      <w:proofErr w:type="spellEnd"/>
      <w:r w:rsidRPr="00E7253A">
        <w:rPr>
          <w:rStyle w:val="legds2"/>
          <w:rFonts w:ascii="Helvetica" w:hAnsi="Helvetica" w:cs="Helvetica"/>
          <w:sz w:val="24"/>
          <w:szCs w:val="24"/>
          <w:lang w:val="en-GB"/>
        </w:rPr>
        <w:t xml:space="preserve"> or quality care’, discusses the relation between legal safeguards and the quality of the patients’ care. Gordon R. Ashton argues that the former does not guarantee the latter and may even be detrimental to it depending on how they </w:t>
      </w:r>
      <w:proofErr w:type="gramStart"/>
      <w:r w:rsidRPr="00E7253A">
        <w:rPr>
          <w:rStyle w:val="legds2"/>
          <w:rFonts w:ascii="Helvetica" w:hAnsi="Helvetica" w:cs="Helvetica"/>
          <w:sz w:val="24"/>
          <w:szCs w:val="24"/>
          <w:lang w:val="en-GB"/>
        </w:rPr>
        <w:t>are perceived or applied</w:t>
      </w:r>
      <w:proofErr w:type="gramEnd"/>
      <w:r w:rsidRPr="00E7253A">
        <w:rPr>
          <w:rStyle w:val="legds2"/>
          <w:rFonts w:ascii="Helvetica" w:hAnsi="Helvetica" w:cs="Helvetica"/>
          <w:sz w:val="24"/>
          <w:szCs w:val="24"/>
          <w:lang w:val="en-GB"/>
        </w:rPr>
        <w:t xml:space="preserve">. A </w:t>
      </w:r>
      <w:r w:rsidRPr="00E7253A">
        <w:rPr>
          <w:rFonts w:ascii="Helvetica" w:hAnsi="Helvetica" w:cs="Helvetica"/>
          <w:sz w:val="24"/>
          <w:szCs w:val="24"/>
          <w:lang w:val="en-GB"/>
        </w:rPr>
        <w:t xml:space="preserve">whistle blowing procedure </w:t>
      </w:r>
      <w:proofErr w:type="gramStart"/>
      <w:r w:rsidRPr="00E7253A">
        <w:rPr>
          <w:rFonts w:ascii="Helvetica" w:hAnsi="Helvetica" w:cs="Helvetica"/>
          <w:sz w:val="24"/>
          <w:szCs w:val="24"/>
          <w:lang w:val="en-GB"/>
        </w:rPr>
        <w:t>is proposed</w:t>
      </w:r>
      <w:proofErr w:type="gramEnd"/>
      <w:r w:rsidRPr="00E7253A">
        <w:rPr>
          <w:rFonts w:ascii="Helvetica" w:hAnsi="Helvetica" w:cs="Helvetica"/>
          <w:sz w:val="24"/>
          <w:szCs w:val="24"/>
          <w:lang w:val="en-GB"/>
        </w:rPr>
        <w:t xml:space="preserve"> as an alternative to </w:t>
      </w:r>
      <w:proofErr w:type="spellStart"/>
      <w:r w:rsidRPr="00E7253A">
        <w:rPr>
          <w:rFonts w:ascii="Helvetica" w:hAnsi="Helvetica" w:cs="Helvetica"/>
          <w:sz w:val="24"/>
          <w:szCs w:val="24"/>
          <w:lang w:val="en-GB"/>
        </w:rPr>
        <w:t>DoLS</w:t>
      </w:r>
      <w:proofErr w:type="spellEnd"/>
      <w:r w:rsidRPr="00E7253A">
        <w:rPr>
          <w:rFonts w:ascii="Helvetica" w:hAnsi="Helvetica" w:cs="Helvetica"/>
          <w:sz w:val="24"/>
          <w:szCs w:val="24"/>
          <w:lang w:val="en-GB"/>
        </w:rPr>
        <w:t>.</w:t>
      </w:r>
    </w:p>
    <w:p w:rsidR="003D773C" w:rsidRPr="00E7253A" w:rsidRDefault="003D773C" w:rsidP="003D773C">
      <w:pPr>
        <w:spacing w:after="0"/>
        <w:rPr>
          <w:rStyle w:val="legds2"/>
          <w:rFonts w:ascii="Helvetica" w:hAnsi="Helvetica" w:cs="Helvetica"/>
          <w:sz w:val="24"/>
          <w:szCs w:val="24"/>
          <w:lang w:val="en-GB"/>
        </w:rPr>
      </w:pPr>
    </w:p>
    <w:p w:rsidR="003D773C" w:rsidRPr="00E7253A" w:rsidRDefault="003D773C" w:rsidP="003D773C">
      <w:pPr>
        <w:spacing w:after="0"/>
        <w:rPr>
          <w:rFonts w:ascii="Helvetica" w:hAnsi="Helvetica" w:cs="Helvetica"/>
          <w:sz w:val="24"/>
          <w:szCs w:val="24"/>
          <w:lang w:val="en-GB"/>
        </w:rPr>
      </w:pPr>
      <w:r w:rsidRPr="00E7253A">
        <w:rPr>
          <w:rStyle w:val="legds2"/>
          <w:rFonts w:ascii="Helvetica" w:hAnsi="Helvetica" w:cs="Helvetica"/>
          <w:sz w:val="24"/>
          <w:szCs w:val="24"/>
          <w:lang w:val="en-GB"/>
        </w:rPr>
        <w:t>‘</w:t>
      </w:r>
      <w:r w:rsidRPr="00E7253A">
        <w:rPr>
          <w:rFonts w:ascii="Helvetica" w:hAnsi="Helvetica" w:cs="Helvetica"/>
          <w:sz w:val="24"/>
          <w:szCs w:val="24"/>
          <w:lang w:val="en-GB"/>
        </w:rPr>
        <w:t xml:space="preserve">Deprivation of Liberty: the position in Scotland’, by </w:t>
      </w:r>
      <w:r w:rsidRPr="00E7253A">
        <w:rPr>
          <w:rStyle w:val="legds2"/>
          <w:rFonts w:ascii="Helvetica" w:hAnsi="Helvetica" w:cs="Helvetica"/>
          <w:sz w:val="24"/>
          <w:szCs w:val="24"/>
          <w:lang w:val="en-GB"/>
        </w:rPr>
        <w:t xml:space="preserve">Laura J. Dunlop Q.C., </w:t>
      </w:r>
      <w:r w:rsidRPr="00E7253A">
        <w:rPr>
          <w:rFonts w:ascii="Helvetica" w:hAnsi="Helvetica" w:cs="Helvetica"/>
          <w:sz w:val="24"/>
          <w:szCs w:val="24"/>
          <w:lang w:val="en-GB"/>
        </w:rPr>
        <w:t>discusses the response to the ‘</w:t>
      </w:r>
      <w:proofErr w:type="spellStart"/>
      <w:r w:rsidRPr="00E7253A">
        <w:rPr>
          <w:rFonts w:ascii="Helvetica" w:hAnsi="Helvetica" w:cs="Helvetica"/>
          <w:sz w:val="24"/>
          <w:szCs w:val="24"/>
          <w:lang w:val="en-GB"/>
        </w:rPr>
        <w:t>Bournewood</w:t>
      </w:r>
      <w:proofErr w:type="spellEnd"/>
      <w:r w:rsidRPr="00E7253A">
        <w:rPr>
          <w:rFonts w:ascii="Helvetica" w:hAnsi="Helvetica" w:cs="Helvetica"/>
          <w:sz w:val="24"/>
          <w:szCs w:val="24"/>
          <w:lang w:val="en-GB"/>
        </w:rPr>
        <w:t xml:space="preserve"> gap’ and to </w:t>
      </w:r>
      <w:r w:rsidRPr="00E7253A">
        <w:rPr>
          <w:rFonts w:ascii="Helvetica" w:hAnsi="Helvetica" w:cs="Helvetica"/>
          <w:i/>
          <w:sz w:val="24"/>
          <w:szCs w:val="24"/>
          <w:lang w:val="en-GB"/>
        </w:rPr>
        <w:t xml:space="preserve">Cheshire West </w:t>
      </w:r>
      <w:r w:rsidRPr="00E7253A">
        <w:rPr>
          <w:rFonts w:ascii="Helvetica" w:hAnsi="Helvetica" w:cs="Helvetica"/>
          <w:sz w:val="24"/>
          <w:szCs w:val="24"/>
          <w:lang w:val="en-GB"/>
        </w:rPr>
        <w:t xml:space="preserve">proposed by the Scottish Law Commission. A decision not to adopt </w:t>
      </w:r>
      <w:proofErr w:type="spellStart"/>
      <w:r w:rsidRPr="00E7253A">
        <w:rPr>
          <w:rFonts w:ascii="Helvetica" w:hAnsi="Helvetica" w:cs="Helvetica"/>
          <w:sz w:val="24"/>
          <w:szCs w:val="24"/>
          <w:lang w:val="en-GB"/>
        </w:rPr>
        <w:t>DoLS</w:t>
      </w:r>
      <w:proofErr w:type="spellEnd"/>
      <w:r w:rsidRPr="00E7253A">
        <w:rPr>
          <w:rFonts w:ascii="Helvetica" w:hAnsi="Helvetica" w:cs="Helvetica"/>
          <w:sz w:val="24"/>
          <w:szCs w:val="24"/>
          <w:lang w:val="en-GB"/>
        </w:rPr>
        <w:t xml:space="preserve"> in Scotland </w:t>
      </w:r>
      <w:proofErr w:type="gramStart"/>
      <w:r w:rsidRPr="00E7253A">
        <w:rPr>
          <w:rFonts w:ascii="Helvetica" w:hAnsi="Helvetica" w:cs="Helvetica"/>
          <w:sz w:val="24"/>
          <w:szCs w:val="24"/>
          <w:lang w:val="en-GB"/>
        </w:rPr>
        <w:t>was made</w:t>
      </w:r>
      <w:proofErr w:type="gramEnd"/>
      <w:r w:rsidRPr="00E7253A">
        <w:rPr>
          <w:rFonts w:ascii="Helvetica" w:hAnsi="Helvetica" w:cs="Helvetica"/>
          <w:sz w:val="24"/>
          <w:szCs w:val="24"/>
          <w:lang w:val="en-GB"/>
        </w:rPr>
        <w:t xml:space="preserve"> in light of the difficulties with its operation in England and Wales. The author, who </w:t>
      </w:r>
      <w:r w:rsidRPr="00E7253A">
        <w:rPr>
          <w:rStyle w:val="legds2"/>
          <w:rFonts w:ascii="Helvetica" w:hAnsi="Helvetica" w:cs="Helvetica"/>
          <w:sz w:val="24"/>
          <w:szCs w:val="24"/>
          <w:lang w:val="en-GB"/>
        </w:rPr>
        <w:t xml:space="preserve">served on the </w:t>
      </w:r>
      <w:r w:rsidRPr="00E7253A">
        <w:rPr>
          <w:rFonts w:ascii="Helvetica" w:hAnsi="Helvetica" w:cs="Helvetica"/>
          <w:sz w:val="24"/>
          <w:szCs w:val="24"/>
          <w:lang w:val="en-GB"/>
        </w:rPr>
        <w:t>Scottish Law Commission, discusses the challenges of developing a scheme that is easy to operate, sensitive to different individual circumstances, protective of the liberty of adults with incapacity, and compatible with the jurisprudence of the European Court of Human Rights.</w:t>
      </w:r>
    </w:p>
    <w:p w:rsidR="003D773C" w:rsidRPr="00E7253A" w:rsidRDefault="003D773C" w:rsidP="003D773C">
      <w:pPr>
        <w:spacing w:after="0"/>
        <w:rPr>
          <w:rStyle w:val="legds2"/>
          <w:rFonts w:ascii="Helvetica" w:hAnsi="Helvetica" w:cs="Helvetica"/>
          <w:sz w:val="24"/>
          <w:szCs w:val="24"/>
          <w:lang w:val="en-GB"/>
        </w:rPr>
      </w:pPr>
    </w:p>
    <w:p w:rsidR="003D773C" w:rsidRPr="00E7253A" w:rsidRDefault="003D773C" w:rsidP="003D773C">
      <w:pPr>
        <w:spacing w:after="0"/>
        <w:rPr>
          <w:rFonts w:ascii="Helvetica" w:hAnsi="Helvetica" w:cs="Helvetica"/>
          <w:sz w:val="24"/>
          <w:szCs w:val="24"/>
          <w:lang w:val="en-GB"/>
        </w:rPr>
      </w:pPr>
      <w:r w:rsidRPr="00E7253A">
        <w:rPr>
          <w:rStyle w:val="legds2"/>
          <w:rFonts w:ascii="Helvetica" w:hAnsi="Helvetica" w:cs="Helvetica"/>
          <w:sz w:val="24"/>
          <w:szCs w:val="24"/>
          <w:lang w:val="en-GB"/>
        </w:rPr>
        <w:t xml:space="preserve">A case-study on the application of the current legal framework for protecting the right to liberty of psychiatric patients is offered by </w:t>
      </w:r>
      <w:r w:rsidRPr="00E7253A">
        <w:rPr>
          <w:rFonts w:ascii="Helvetica" w:hAnsi="Helvetica" w:cs="Helvetica"/>
          <w:color w:val="111111"/>
          <w:sz w:val="24"/>
          <w:szCs w:val="24"/>
          <w:shd w:val="clear" w:color="auto" w:fill="FFFFFF"/>
          <w:lang w:val="en-GB"/>
        </w:rPr>
        <w:t xml:space="preserve">Benjamin Perry, </w:t>
      </w:r>
      <w:proofErr w:type="spellStart"/>
      <w:r w:rsidRPr="00E7253A">
        <w:rPr>
          <w:rFonts w:ascii="Helvetica" w:hAnsi="Helvetica" w:cs="Helvetica"/>
          <w:color w:val="111111"/>
          <w:sz w:val="24"/>
          <w:szCs w:val="24"/>
          <w:shd w:val="clear" w:color="auto" w:fill="FFFFFF"/>
          <w:lang w:val="en-GB"/>
        </w:rPr>
        <w:t>Swaran</w:t>
      </w:r>
      <w:proofErr w:type="spellEnd"/>
      <w:r w:rsidRPr="00E7253A">
        <w:rPr>
          <w:rFonts w:ascii="Helvetica" w:hAnsi="Helvetica" w:cs="Helvetica"/>
          <w:color w:val="111111"/>
          <w:sz w:val="24"/>
          <w:szCs w:val="24"/>
          <w:shd w:val="clear" w:color="auto" w:fill="FFFFFF"/>
          <w:lang w:val="en-GB"/>
        </w:rPr>
        <w:t xml:space="preserve"> Singh and David White in ‘</w:t>
      </w:r>
      <w:r w:rsidRPr="00E7253A">
        <w:rPr>
          <w:rFonts w:ascii="Helvetica" w:hAnsi="Helvetica" w:cs="Helvetica"/>
          <w:sz w:val="24"/>
          <w:szCs w:val="24"/>
          <w:lang w:val="en-GB"/>
        </w:rPr>
        <w:t xml:space="preserve">Capacity Assessment and Information Provision for Voluntary Psychiatric Patients: A Service Evaluation in a UK NHS Trust’. Based on data collected from one mental health trust they suggest that more needs to </w:t>
      </w:r>
      <w:proofErr w:type="gramStart"/>
      <w:r w:rsidRPr="00E7253A">
        <w:rPr>
          <w:rFonts w:ascii="Helvetica" w:hAnsi="Helvetica" w:cs="Helvetica"/>
          <w:sz w:val="24"/>
          <w:szCs w:val="24"/>
          <w:lang w:val="en-GB"/>
        </w:rPr>
        <w:t>be done</w:t>
      </w:r>
      <w:proofErr w:type="gramEnd"/>
      <w:r w:rsidRPr="00E7253A">
        <w:rPr>
          <w:rFonts w:ascii="Helvetica" w:hAnsi="Helvetica" w:cs="Helvetica"/>
          <w:sz w:val="24"/>
          <w:szCs w:val="24"/>
          <w:lang w:val="en-GB"/>
        </w:rPr>
        <w:t xml:space="preserve"> to ensure vulnerable individuals are not being coerced to consent to treatment or are accepted as informal patients without a proper assessment of their mental capacity to consent. </w:t>
      </w:r>
    </w:p>
    <w:p w:rsidR="003D773C" w:rsidRPr="00E7253A" w:rsidRDefault="003D773C" w:rsidP="003D773C">
      <w:pPr>
        <w:spacing w:after="0"/>
        <w:rPr>
          <w:rFonts w:ascii="Helvetica" w:hAnsi="Helvetica" w:cs="Helvetica"/>
          <w:sz w:val="24"/>
          <w:szCs w:val="24"/>
          <w:lang w:val="en-GB"/>
        </w:rPr>
      </w:pPr>
    </w:p>
    <w:p w:rsidR="003D773C" w:rsidRPr="00E7253A" w:rsidRDefault="003D773C" w:rsidP="003D773C">
      <w:pPr>
        <w:spacing w:after="0"/>
        <w:rPr>
          <w:rFonts w:ascii="Helvetica" w:hAnsi="Helvetica" w:cs="Helvetica"/>
          <w:sz w:val="24"/>
          <w:szCs w:val="24"/>
          <w:lang w:val="en-GB"/>
        </w:rPr>
      </w:pPr>
      <w:r w:rsidRPr="00E7253A">
        <w:rPr>
          <w:rFonts w:ascii="Helvetica" w:hAnsi="Helvetica" w:cs="Helvetica"/>
          <w:sz w:val="24"/>
          <w:szCs w:val="24"/>
          <w:lang w:val="en-GB"/>
        </w:rPr>
        <w:t xml:space="preserve">Widening the perspective further, Bo Chen discusses the protection of the rights of persons </w:t>
      </w:r>
      <w:proofErr w:type="gramStart"/>
      <w:r w:rsidRPr="00E7253A">
        <w:rPr>
          <w:rFonts w:ascii="Helvetica" w:hAnsi="Helvetica" w:cs="Helvetica"/>
          <w:sz w:val="24"/>
          <w:szCs w:val="24"/>
          <w:lang w:val="en-GB"/>
        </w:rPr>
        <w:t>with mental disabilities in China in ‘</w:t>
      </w:r>
      <w:r w:rsidRPr="00E7253A">
        <w:rPr>
          <w:rFonts w:ascii="Helvetica" w:hAnsi="Helvetica" w:cs="Helvetica"/>
          <w:i/>
          <w:sz w:val="24"/>
          <w:szCs w:val="24"/>
          <w:lang w:val="en-GB"/>
        </w:rPr>
        <w:t>Xu vs. the Hospital and his Guardian – Involuntary Inpatient Treatment’</w:t>
      </w:r>
      <w:proofErr w:type="gramEnd"/>
      <w:r w:rsidRPr="00E7253A">
        <w:rPr>
          <w:rFonts w:ascii="Helvetica" w:hAnsi="Helvetica" w:cs="Helvetica"/>
          <w:sz w:val="24"/>
          <w:szCs w:val="24"/>
          <w:lang w:val="en-GB"/>
        </w:rPr>
        <w:t xml:space="preserve">. Mental health legislation was introduced in China in 2013 to elevate the </w:t>
      </w:r>
      <w:r w:rsidRPr="00E7253A">
        <w:rPr>
          <w:rFonts w:ascii="Helvetica" w:hAnsi="Helvetica" w:cs="Helvetica"/>
          <w:sz w:val="24"/>
          <w:szCs w:val="24"/>
          <w:lang w:val="en-GB" w:eastAsia="zh-CN"/>
        </w:rPr>
        <w:t xml:space="preserve">threshold for involuntary inpatient treatment there </w:t>
      </w:r>
      <w:proofErr w:type="gramStart"/>
      <w:r w:rsidRPr="00E7253A">
        <w:rPr>
          <w:rFonts w:ascii="Helvetica" w:hAnsi="Helvetica" w:cs="Helvetica"/>
          <w:sz w:val="24"/>
          <w:szCs w:val="24"/>
          <w:lang w:val="en-GB" w:eastAsia="zh-CN"/>
        </w:rPr>
        <w:t>but,</w:t>
      </w:r>
      <w:proofErr w:type="gramEnd"/>
      <w:r w:rsidRPr="00E7253A">
        <w:rPr>
          <w:rFonts w:ascii="Helvetica" w:hAnsi="Helvetica" w:cs="Helvetica"/>
          <w:sz w:val="24"/>
          <w:szCs w:val="24"/>
          <w:lang w:val="en-GB" w:eastAsia="zh-CN"/>
        </w:rPr>
        <w:t xml:space="preserve"> as shown in this case note, the application of the law raises questions about the compliance of the Chinese legislation with the CRPD. This case note also highlights the challenges </w:t>
      </w:r>
      <w:r w:rsidRPr="00E7253A">
        <w:rPr>
          <w:rFonts w:ascii="Helvetica" w:hAnsi="Helvetica" w:cs="Helvetica"/>
          <w:sz w:val="24"/>
          <w:szCs w:val="24"/>
          <w:lang w:val="en-GB" w:eastAsia="zh-CN"/>
        </w:rPr>
        <w:lastRenderedPageBreak/>
        <w:t xml:space="preserve">of implementing legislation that is protective of the right to liberty of people with mental disabilities in a context where social care in the community is insufficient.  </w:t>
      </w:r>
    </w:p>
    <w:p w:rsidR="003D773C" w:rsidRPr="00E7253A" w:rsidRDefault="003D773C" w:rsidP="003D773C">
      <w:pPr>
        <w:pStyle w:val="BodyA"/>
        <w:spacing w:after="0" w:line="240" w:lineRule="auto"/>
        <w:rPr>
          <w:rStyle w:val="legds2"/>
          <w:rFonts w:ascii="Helvetica" w:hAnsi="Helvetica" w:cs="Helvetica"/>
          <w:sz w:val="24"/>
          <w:szCs w:val="24"/>
          <w:lang w:val="en-GB"/>
        </w:rPr>
      </w:pPr>
    </w:p>
    <w:p w:rsidR="003D773C" w:rsidRPr="00E7253A" w:rsidRDefault="003D773C" w:rsidP="003D773C">
      <w:pPr>
        <w:pStyle w:val="BodyA"/>
        <w:spacing w:after="0" w:line="240" w:lineRule="auto"/>
        <w:rPr>
          <w:rStyle w:val="legds2"/>
          <w:rFonts w:ascii="Helvetica" w:hAnsi="Helvetica" w:cs="Helvetica"/>
          <w:sz w:val="24"/>
          <w:szCs w:val="24"/>
          <w:lang w:val="en-GB"/>
        </w:rPr>
      </w:pPr>
      <w:r w:rsidRPr="00E7253A">
        <w:rPr>
          <w:rStyle w:val="legds2"/>
          <w:rFonts w:ascii="Helvetica" w:hAnsi="Helvetica" w:cs="Helvetica"/>
          <w:sz w:val="24"/>
          <w:szCs w:val="24"/>
          <w:lang w:val="en-GB"/>
        </w:rPr>
        <w:t xml:space="preserve">We would like to acknowledge the editorial support provided by Emma </w:t>
      </w:r>
      <w:proofErr w:type="spellStart"/>
      <w:r w:rsidRPr="00E7253A">
        <w:rPr>
          <w:rStyle w:val="legds2"/>
          <w:rFonts w:ascii="Helvetica" w:hAnsi="Helvetica" w:cs="Helvetica"/>
          <w:sz w:val="24"/>
          <w:szCs w:val="24"/>
          <w:lang w:val="en-GB"/>
        </w:rPr>
        <w:t>Vogelmann</w:t>
      </w:r>
      <w:proofErr w:type="spellEnd"/>
      <w:r w:rsidRPr="00E7253A">
        <w:rPr>
          <w:rStyle w:val="legds2"/>
          <w:rFonts w:ascii="Helvetica" w:hAnsi="Helvetica" w:cs="Helvetica"/>
          <w:sz w:val="24"/>
          <w:szCs w:val="24"/>
          <w:lang w:val="en-GB"/>
        </w:rPr>
        <w:t>, the peer reviewers for their careful revision of the articles, and the overall guidance provided by Kris Gledhill as the IJMHCL Editor-in-Chief.</w:t>
      </w:r>
    </w:p>
    <w:p w:rsidR="003D773C" w:rsidRPr="00E7253A" w:rsidRDefault="003D773C" w:rsidP="003D773C">
      <w:pPr>
        <w:pStyle w:val="BodyA"/>
        <w:spacing w:after="0" w:line="240" w:lineRule="auto"/>
        <w:rPr>
          <w:rFonts w:ascii="Helvetica" w:eastAsia="Helvetica" w:hAnsi="Helvetica" w:cs="Helvetica"/>
          <w:sz w:val="24"/>
          <w:szCs w:val="24"/>
          <w:lang w:val="en-GB"/>
        </w:rPr>
      </w:pPr>
    </w:p>
    <w:p w:rsidR="003D773C" w:rsidRPr="00E7253A" w:rsidRDefault="003D773C" w:rsidP="003D773C">
      <w:pPr>
        <w:pStyle w:val="BodyA"/>
        <w:spacing w:after="0" w:line="240" w:lineRule="auto"/>
        <w:rPr>
          <w:rStyle w:val="legds2"/>
          <w:rFonts w:ascii="Helvetica" w:hAnsi="Helvetica" w:cs="Helvetica"/>
          <w:sz w:val="24"/>
          <w:szCs w:val="24"/>
          <w:lang w:val="en-GB"/>
        </w:rPr>
      </w:pPr>
    </w:p>
    <w:p w:rsidR="003D773C" w:rsidRPr="00E7253A" w:rsidRDefault="003D773C" w:rsidP="003D773C">
      <w:pPr>
        <w:pStyle w:val="BodyA"/>
        <w:spacing w:after="0" w:line="240" w:lineRule="auto"/>
        <w:rPr>
          <w:rStyle w:val="legds2"/>
          <w:rFonts w:ascii="Helvetica" w:hAnsi="Helvetica" w:cs="Helvetica"/>
          <w:sz w:val="24"/>
          <w:szCs w:val="24"/>
          <w:lang w:val="en-GB"/>
        </w:rPr>
      </w:pPr>
      <w:r w:rsidRPr="00E7253A">
        <w:rPr>
          <w:rStyle w:val="legds2"/>
          <w:rFonts w:ascii="Helvetica" w:hAnsi="Helvetica" w:cs="Helvetica"/>
          <w:sz w:val="24"/>
          <w:szCs w:val="24"/>
          <w:lang w:val="en-GB"/>
        </w:rPr>
        <w:t>Daniel W. Liang Wang</w:t>
      </w:r>
    </w:p>
    <w:p w:rsidR="003D773C" w:rsidRPr="00E7253A" w:rsidRDefault="003D773C" w:rsidP="003D773C">
      <w:pPr>
        <w:pStyle w:val="BodyA"/>
        <w:spacing w:after="0" w:line="240" w:lineRule="auto"/>
        <w:rPr>
          <w:rStyle w:val="legds2"/>
          <w:rFonts w:ascii="Helvetica" w:hAnsi="Helvetica" w:cs="Helvetica"/>
          <w:sz w:val="24"/>
          <w:szCs w:val="24"/>
          <w:lang w:val="en-GB"/>
        </w:rPr>
      </w:pPr>
      <w:r w:rsidRPr="00E7253A">
        <w:rPr>
          <w:rStyle w:val="legds2"/>
          <w:rFonts w:ascii="Helvetica" w:hAnsi="Helvetica" w:cs="Helvetica"/>
          <w:sz w:val="24"/>
          <w:szCs w:val="24"/>
          <w:lang w:val="en-GB"/>
        </w:rPr>
        <w:t>Queen Mary University of London</w:t>
      </w:r>
    </w:p>
    <w:p w:rsidR="003D773C" w:rsidRPr="00E7253A" w:rsidRDefault="003D773C" w:rsidP="003D773C">
      <w:pPr>
        <w:pStyle w:val="BodyA"/>
        <w:spacing w:after="0" w:line="240" w:lineRule="auto"/>
        <w:rPr>
          <w:rStyle w:val="legds2"/>
          <w:rFonts w:ascii="Helvetica" w:hAnsi="Helvetica" w:cs="Helvetica"/>
          <w:sz w:val="24"/>
          <w:szCs w:val="24"/>
          <w:lang w:val="en-GB"/>
        </w:rPr>
      </w:pPr>
    </w:p>
    <w:p w:rsidR="003D773C" w:rsidRPr="00E7253A" w:rsidRDefault="003D773C" w:rsidP="003D773C">
      <w:pPr>
        <w:pStyle w:val="BodyA"/>
        <w:spacing w:after="0" w:line="240" w:lineRule="auto"/>
        <w:rPr>
          <w:rStyle w:val="legds2"/>
          <w:rFonts w:ascii="Helvetica" w:hAnsi="Helvetica" w:cs="Helvetica"/>
          <w:sz w:val="24"/>
          <w:szCs w:val="24"/>
          <w:lang w:val="en-GB"/>
        </w:rPr>
      </w:pPr>
      <w:r w:rsidRPr="00E7253A">
        <w:rPr>
          <w:rStyle w:val="legds2"/>
          <w:rFonts w:ascii="Helvetica" w:hAnsi="Helvetica" w:cs="Helvetica"/>
          <w:sz w:val="24"/>
          <w:szCs w:val="24"/>
          <w:lang w:val="en-GB"/>
        </w:rPr>
        <w:t>Alex Ruck Keene</w:t>
      </w:r>
    </w:p>
    <w:p w:rsidR="003D773C" w:rsidRPr="00E7253A" w:rsidRDefault="003D773C" w:rsidP="003D773C">
      <w:pPr>
        <w:pStyle w:val="BodyA"/>
        <w:spacing w:after="0" w:line="240" w:lineRule="auto"/>
        <w:rPr>
          <w:rStyle w:val="legds2"/>
          <w:rFonts w:ascii="Helvetica" w:hAnsi="Helvetica" w:cs="Helvetica"/>
          <w:sz w:val="24"/>
          <w:szCs w:val="24"/>
          <w:lang w:val="en-GB"/>
        </w:rPr>
      </w:pPr>
      <w:proofErr w:type="gramStart"/>
      <w:r w:rsidRPr="00E7253A">
        <w:rPr>
          <w:rStyle w:val="legds2"/>
          <w:rFonts w:ascii="Helvetica" w:hAnsi="Helvetica" w:cs="Helvetica"/>
          <w:sz w:val="24"/>
          <w:szCs w:val="24"/>
          <w:lang w:val="en-GB"/>
        </w:rPr>
        <w:t>39</w:t>
      </w:r>
      <w:proofErr w:type="gramEnd"/>
      <w:r w:rsidRPr="00E7253A">
        <w:rPr>
          <w:rStyle w:val="legds2"/>
          <w:rFonts w:ascii="Helvetica" w:hAnsi="Helvetica" w:cs="Helvetica"/>
          <w:sz w:val="24"/>
          <w:szCs w:val="24"/>
          <w:lang w:val="en-GB"/>
        </w:rPr>
        <w:t xml:space="preserve"> Essex Chambers</w:t>
      </w:r>
    </w:p>
    <w:p w:rsidR="003D773C" w:rsidRPr="00E7253A" w:rsidRDefault="003D773C" w:rsidP="003D773C">
      <w:pPr>
        <w:pStyle w:val="BodyA"/>
        <w:spacing w:after="0" w:line="240" w:lineRule="auto"/>
        <w:rPr>
          <w:rStyle w:val="legds2"/>
          <w:rFonts w:ascii="Helvetica" w:hAnsi="Helvetica" w:cs="Helvetica"/>
          <w:sz w:val="24"/>
          <w:szCs w:val="24"/>
          <w:lang w:val="en-GB"/>
        </w:rPr>
      </w:pPr>
    </w:p>
    <w:p w:rsidR="003D773C" w:rsidRPr="00E7253A" w:rsidRDefault="003D773C" w:rsidP="003D773C">
      <w:pPr>
        <w:pStyle w:val="BodyA"/>
        <w:spacing w:after="0" w:line="240" w:lineRule="auto"/>
        <w:rPr>
          <w:rStyle w:val="legds2"/>
          <w:rFonts w:ascii="Helvetica" w:hAnsi="Helvetica" w:cs="Helvetica"/>
          <w:sz w:val="24"/>
          <w:szCs w:val="24"/>
          <w:lang w:val="en-GB"/>
        </w:rPr>
      </w:pPr>
      <w:r w:rsidRPr="00E7253A">
        <w:rPr>
          <w:rStyle w:val="legds2"/>
          <w:rFonts w:ascii="Helvetica" w:hAnsi="Helvetica" w:cs="Helvetica"/>
          <w:sz w:val="24"/>
          <w:szCs w:val="24"/>
          <w:lang w:val="en-GB"/>
        </w:rPr>
        <w:t>Ruth Fletcher</w:t>
      </w:r>
    </w:p>
    <w:p w:rsidR="003D773C" w:rsidRPr="00E7253A" w:rsidRDefault="003D773C" w:rsidP="003D773C">
      <w:pPr>
        <w:pStyle w:val="BodyA"/>
        <w:spacing w:after="0" w:line="240" w:lineRule="auto"/>
        <w:rPr>
          <w:rStyle w:val="legds2"/>
          <w:rFonts w:ascii="Helvetica" w:hAnsi="Helvetica" w:cs="Helvetica"/>
          <w:sz w:val="24"/>
          <w:szCs w:val="24"/>
          <w:lang w:val="en-GB"/>
        </w:rPr>
      </w:pPr>
      <w:r w:rsidRPr="00E7253A">
        <w:rPr>
          <w:rStyle w:val="legds2"/>
          <w:rFonts w:ascii="Helvetica" w:hAnsi="Helvetica" w:cs="Helvetica"/>
          <w:sz w:val="24"/>
          <w:szCs w:val="24"/>
          <w:lang w:val="en-GB"/>
        </w:rPr>
        <w:t>Queen Mary University of London</w:t>
      </w:r>
    </w:p>
    <w:p w:rsidR="003D773C" w:rsidRPr="00E7253A" w:rsidRDefault="003D773C" w:rsidP="003D773C">
      <w:pPr>
        <w:pStyle w:val="BodyA"/>
        <w:spacing w:after="0" w:line="240" w:lineRule="auto"/>
        <w:rPr>
          <w:rStyle w:val="legds2"/>
          <w:rFonts w:ascii="Helvetica" w:hAnsi="Helvetica" w:cs="Helvetica"/>
          <w:sz w:val="24"/>
          <w:szCs w:val="24"/>
          <w:lang w:val="en-GB"/>
        </w:rPr>
      </w:pPr>
    </w:p>
    <w:p w:rsidR="003D773C" w:rsidRPr="00E7253A" w:rsidRDefault="003D773C" w:rsidP="003D773C">
      <w:pPr>
        <w:pStyle w:val="BodyA"/>
        <w:spacing w:after="0" w:line="240" w:lineRule="auto"/>
        <w:rPr>
          <w:rStyle w:val="legds2"/>
          <w:rFonts w:ascii="Helvetica" w:hAnsi="Helvetica" w:cs="Helvetica"/>
          <w:sz w:val="24"/>
          <w:szCs w:val="24"/>
          <w:lang w:val="en-GB"/>
        </w:rPr>
      </w:pPr>
      <w:r w:rsidRPr="00E7253A">
        <w:rPr>
          <w:rStyle w:val="legds2"/>
          <w:rFonts w:ascii="Helvetica" w:hAnsi="Helvetica" w:cs="Helvetica"/>
          <w:sz w:val="24"/>
          <w:szCs w:val="24"/>
          <w:lang w:val="en-GB"/>
        </w:rPr>
        <w:t>Catherine Penny</w:t>
      </w:r>
    </w:p>
    <w:p w:rsidR="003D773C" w:rsidRPr="00E7253A" w:rsidRDefault="003D773C" w:rsidP="003D773C">
      <w:pPr>
        <w:pStyle w:val="BodyA"/>
        <w:spacing w:after="0" w:line="240" w:lineRule="auto"/>
        <w:rPr>
          <w:rStyle w:val="legds2"/>
          <w:rFonts w:ascii="Helvetica" w:hAnsi="Helvetica" w:cs="Helvetica"/>
          <w:sz w:val="24"/>
          <w:szCs w:val="24"/>
          <w:lang w:val="en-GB"/>
        </w:rPr>
      </w:pPr>
      <w:r w:rsidRPr="00E7253A">
        <w:rPr>
          <w:rStyle w:val="legds2"/>
          <w:rFonts w:ascii="Helvetica" w:hAnsi="Helvetica" w:cs="Helvetica"/>
          <w:sz w:val="24"/>
          <w:szCs w:val="24"/>
          <w:lang w:val="en-GB"/>
        </w:rPr>
        <w:t>King’s College London</w:t>
      </w:r>
    </w:p>
    <w:p w:rsidR="003D773C" w:rsidRPr="00E7253A" w:rsidRDefault="003D773C" w:rsidP="003D773C">
      <w:pPr>
        <w:pStyle w:val="BodyA"/>
        <w:spacing w:after="0" w:line="240" w:lineRule="auto"/>
        <w:rPr>
          <w:rStyle w:val="legds2"/>
          <w:rFonts w:ascii="Helvetica" w:hAnsi="Helvetica" w:cs="Helvetica"/>
          <w:sz w:val="24"/>
          <w:szCs w:val="24"/>
          <w:lang w:val="en-GB"/>
        </w:rPr>
      </w:pPr>
    </w:p>
    <w:p w:rsidR="003D773C" w:rsidRPr="00E7253A" w:rsidRDefault="003D773C" w:rsidP="003D773C">
      <w:pPr>
        <w:pStyle w:val="BodyA"/>
        <w:spacing w:after="0" w:line="240" w:lineRule="auto"/>
        <w:rPr>
          <w:rStyle w:val="legds2"/>
          <w:rFonts w:ascii="Helvetica" w:hAnsi="Helvetica" w:cs="Helvetica"/>
          <w:sz w:val="24"/>
          <w:szCs w:val="24"/>
          <w:lang w:val="en-GB"/>
        </w:rPr>
      </w:pPr>
      <w:r w:rsidRPr="00E7253A">
        <w:rPr>
          <w:rStyle w:val="legds2"/>
          <w:rFonts w:ascii="Helvetica" w:hAnsi="Helvetica" w:cs="Helvetica"/>
          <w:sz w:val="24"/>
          <w:szCs w:val="24"/>
          <w:lang w:val="en-GB"/>
        </w:rPr>
        <w:t>Richard Ashcroft</w:t>
      </w:r>
    </w:p>
    <w:p w:rsidR="003D773C" w:rsidRPr="00E7253A" w:rsidRDefault="003D773C" w:rsidP="003D773C">
      <w:pPr>
        <w:pStyle w:val="BodyA"/>
        <w:spacing w:after="0" w:line="240" w:lineRule="auto"/>
        <w:rPr>
          <w:rStyle w:val="legds2"/>
          <w:rFonts w:ascii="Helvetica" w:hAnsi="Helvetica" w:cs="Helvetica"/>
          <w:sz w:val="24"/>
          <w:szCs w:val="24"/>
          <w:lang w:val="en-GB"/>
        </w:rPr>
      </w:pPr>
      <w:r w:rsidRPr="00E7253A">
        <w:rPr>
          <w:rStyle w:val="legds2"/>
          <w:rFonts w:ascii="Helvetica" w:hAnsi="Helvetica" w:cs="Helvetica"/>
          <w:sz w:val="24"/>
          <w:szCs w:val="24"/>
          <w:lang w:val="en-GB"/>
        </w:rPr>
        <w:t>Queen Mary University of London</w:t>
      </w:r>
    </w:p>
    <w:sectPr w:rsidR="003D773C" w:rsidRPr="00E7253A" w:rsidSect="00F500D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7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43D" w:rsidRDefault="0044443D" w:rsidP="003D773C">
      <w:pPr>
        <w:spacing w:after="0"/>
      </w:pPr>
      <w:r>
        <w:separator/>
      </w:r>
    </w:p>
  </w:endnote>
  <w:endnote w:type="continuationSeparator" w:id="0">
    <w:p w:rsidR="0044443D" w:rsidRDefault="0044443D" w:rsidP="003D77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0DF" w:rsidRDefault="00F500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1665900"/>
      <w:docPartObj>
        <w:docPartGallery w:val="Page Numbers (Bottom of Page)"/>
        <w:docPartUnique/>
      </w:docPartObj>
    </w:sdtPr>
    <w:sdtEndPr>
      <w:rPr>
        <w:noProof/>
      </w:rPr>
    </w:sdtEndPr>
    <w:sdtContent>
      <w:bookmarkStart w:id="0" w:name="_GoBack" w:displacedByCustomXml="prev"/>
      <w:bookmarkEnd w:id="0" w:displacedByCustomXml="prev"/>
      <w:p w:rsidR="003D773C" w:rsidRDefault="003D773C">
        <w:pPr>
          <w:pStyle w:val="Footer"/>
          <w:jc w:val="center"/>
        </w:pPr>
        <w:r>
          <w:fldChar w:fldCharType="begin"/>
        </w:r>
        <w:r>
          <w:instrText xml:space="preserve"> PAGE   \* MERGEFORMAT </w:instrText>
        </w:r>
        <w:r>
          <w:fldChar w:fldCharType="separate"/>
        </w:r>
        <w:r w:rsidR="00F500DF">
          <w:rPr>
            <w:noProof/>
          </w:rPr>
          <w:t>72</w:t>
        </w:r>
        <w:r>
          <w:rPr>
            <w:noProof/>
          </w:rPr>
          <w:fldChar w:fldCharType="end"/>
        </w:r>
      </w:p>
    </w:sdtContent>
  </w:sdt>
  <w:p w:rsidR="003D773C" w:rsidRDefault="003D773C" w:rsidP="003D773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0DF" w:rsidRDefault="00F50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43D" w:rsidRDefault="0044443D" w:rsidP="003D773C">
      <w:pPr>
        <w:spacing w:after="0"/>
      </w:pPr>
      <w:r>
        <w:separator/>
      </w:r>
    </w:p>
  </w:footnote>
  <w:footnote w:type="continuationSeparator" w:id="0">
    <w:p w:rsidR="0044443D" w:rsidRDefault="0044443D" w:rsidP="003D773C">
      <w:pPr>
        <w:spacing w:after="0"/>
      </w:pPr>
      <w:r>
        <w:continuationSeparator/>
      </w:r>
    </w:p>
  </w:footnote>
  <w:footnote w:id="1">
    <w:p w:rsidR="003D773C" w:rsidRPr="00016EED" w:rsidRDefault="003D773C" w:rsidP="003D773C">
      <w:pPr>
        <w:pStyle w:val="FootnoteText"/>
        <w:rPr>
          <w:rFonts w:ascii="Helvetica" w:hAnsi="Helvetica" w:cs="Helvetica"/>
          <w:color w:val="auto"/>
          <w:lang w:val="en-GB"/>
        </w:rPr>
      </w:pPr>
      <w:r w:rsidRPr="00016EED">
        <w:rPr>
          <w:rStyle w:val="FootnoteReference"/>
          <w:rFonts w:ascii="Helvetica" w:hAnsi="Helvetica" w:cs="Helvetica"/>
          <w:color w:val="auto"/>
        </w:rPr>
        <w:footnoteRef/>
      </w:r>
      <w:r w:rsidRPr="00016EED">
        <w:rPr>
          <w:rFonts w:ascii="Helvetica" w:hAnsi="Helvetica" w:cs="Helvetica"/>
          <w:color w:val="auto"/>
        </w:rPr>
        <w:t xml:space="preserve"> </w:t>
      </w:r>
      <w:r w:rsidRPr="00016EED">
        <w:rPr>
          <w:rFonts w:ascii="Helvetica" w:hAnsi="Helvetica" w:cs="Helvetica"/>
          <w:i/>
          <w:color w:val="auto"/>
          <w:lang w:val="en"/>
        </w:rPr>
        <w:t>HL v UK</w:t>
      </w:r>
      <w:r w:rsidRPr="00016EED">
        <w:rPr>
          <w:rFonts w:ascii="Helvetica" w:hAnsi="Helvetica" w:cs="Helvetica"/>
          <w:color w:val="auto"/>
          <w:lang w:val="en"/>
        </w:rPr>
        <w:t xml:space="preserve"> </w:t>
      </w:r>
      <w:r w:rsidRPr="00016EED">
        <w:rPr>
          <w:rStyle w:val="st1"/>
          <w:rFonts w:ascii="Helvetica" w:hAnsi="Helvetica" w:cs="Helvetica"/>
          <w:color w:val="auto"/>
        </w:rPr>
        <w:t>(2004) 40 EHRR 761</w:t>
      </w:r>
      <w:r>
        <w:rPr>
          <w:rStyle w:val="st1"/>
          <w:rFonts w:ascii="Helvetica" w:hAnsi="Helvetica" w:cs="Helvetica"/>
          <w:color w:val="auto"/>
        </w:rPr>
        <w:t>.</w:t>
      </w:r>
    </w:p>
  </w:footnote>
  <w:footnote w:id="2">
    <w:p w:rsidR="003D773C" w:rsidRPr="00016EED" w:rsidRDefault="003D773C" w:rsidP="003D773C">
      <w:pPr>
        <w:pStyle w:val="FootnoteText"/>
        <w:rPr>
          <w:rFonts w:ascii="Helvetica" w:hAnsi="Helvetica" w:cs="Helvetica"/>
          <w:color w:val="auto"/>
          <w:lang w:val="en-GB"/>
        </w:rPr>
      </w:pPr>
      <w:r w:rsidRPr="00016EED">
        <w:rPr>
          <w:rStyle w:val="FootnoteReference"/>
          <w:rFonts w:ascii="Helvetica" w:hAnsi="Helvetica" w:cs="Helvetica"/>
          <w:color w:val="auto"/>
        </w:rPr>
        <w:footnoteRef/>
      </w:r>
      <w:r w:rsidRPr="00016EED">
        <w:rPr>
          <w:rFonts w:ascii="Helvetica" w:hAnsi="Helvetica" w:cs="Helvetica"/>
          <w:color w:val="auto"/>
        </w:rPr>
        <w:t xml:space="preserve"> </w:t>
      </w:r>
      <w:r w:rsidRPr="00016EED">
        <w:rPr>
          <w:rFonts w:ascii="Helvetica" w:hAnsi="Helvetica" w:cs="Helvetica"/>
          <w:i/>
          <w:color w:val="auto"/>
          <w:lang w:val="en"/>
        </w:rPr>
        <w:t>Cheshire West and Chester Council v P</w:t>
      </w:r>
      <w:r w:rsidRPr="00016EED">
        <w:rPr>
          <w:rFonts w:ascii="Helvetica" w:hAnsi="Helvetica" w:cs="Helvetica"/>
          <w:color w:val="auto"/>
          <w:lang w:val="en"/>
        </w:rPr>
        <w:t xml:space="preserve"> [2014] UKSC 19</w:t>
      </w:r>
      <w:r>
        <w:rPr>
          <w:rFonts w:ascii="Helvetica" w:hAnsi="Helvetica" w:cs="Helvetica"/>
          <w:color w:val="auto"/>
          <w:lang w:val="en"/>
        </w:rPr>
        <w:t>.</w:t>
      </w:r>
    </w:p>
  </w:footnote>
  <w:footnote w:id="3">
    <w:p w:rsidR="003D773C" w:rsidRPr="00016EED" w:rsidRDefault="003D773C" w:rsidP="003D773C">
      <w:pPr>
        <w:pStyle w:val="FootnoteText"/>
        <w:rPr>
          <w:rFonts w:ascii="Helvetica" w:hAnsi="Helvetica" w:cs="Helvetica"/>
          <w:color w:val="auto"/>
          <w:lang w:val="en-GB"/>
        </w:rPr>
      </w:pPr>
      <w:r w:rsidRPr="00016EED">
        <w:rPr>
          <w:rStyle w:val="FootnoteReference"/>
          <w:rFonts w:ascii="Helvetica" w:hAnsi="Helvetica" w:cs="Helvetica"/>
          <w:color w:val="auto"/>
        </w:rPr>
        <w:footnoteRef/>
      </w:r>
      <w:r w:rsidRPr="00016EED">
        <w:rPr>
          <w:rFonts w:ascii="Helvetica" w:hAnsi="Helvetica" w:cs="Helvetica"/>
          <w:color w:val="auto"/>
        </w:rPr>
        <w:t xml:space="preserve"> </w:t>
      </w:r>
      <w:r w:rsidRPr="00016EED">
        <w:rPr>
          <w:rFonts w:ascii="Helvetica" w:hAnsi="Helvetica" w:cs="Helvetica"/>
          <w:color w:val="auto"/>
          <w:lang w:val="en-GB"/>
        </w:rPr>
        <w:t xml:space="preserve">Health and Social Care Information Centre (2015). </w:t>
      </w:r>
      <w:r w:rsidRPr="00016EED">
        <w:rPr>
          <w:rFonts w:ascii="Helvetica" w:hAnsi="Helvetica" w:cs="Helvetica"/>
          <w:i/>
          <w:color w:val="auto"/>
        </w:rPr>
        <w:t>Mental Capacity Act (2005) Deprivation of Liberty Safeguards (England)</w:t>
      </w:r>
      <w:r w:rsidRPr="00016EED">
        <w:rPr>
          <w:rFonts w:ascii="Helvetica" w:hAnsi="Helvetica" w:cs="Helvetica"/>
          <w:i/>
          <w:color w:val="auto"/>
          <w:lang w:val="en-GB"/>
        </w:rPr>
        <w:t>: Annual Report, 2014-2015</w:t>
      </w:r>
      <w:r w:rsidRPr="00016EED">
        <w:rPr>
          <w:rFonts w:ascii="Helvetica" w:hAnsi="Helvetica" w:cs="Helvetica"/>
          <w:color w:val="auto"/>
          <w:lang w:val="en-GB"/>
        </w:rPr>
        <w:t xml:space="preserve">. </w:t>
      </w:r>
    </w:p>
  </w:footnote>
  <w:footnote w:id="4">
    <w:p w:rsidR="003D773C" w:rsidRPr="00016EED" w:rsidRDefault="003D773C" w:rsidP="003D773C">
      <w:pPr>
        <w:pStyle w:val="FootnoteText"/>
        <w:rPr>
          <w:rFonts w:ascii="Helvetica" w:hAnsi="Helvetica" w:cs="Helvetica"/>
          <w:color w:val="auto"/>
          <w:lang w:val="en-GB"/>
        </w:rPr>
      </w:pPr>
      <w:r w:rsidRPr="00016EED">
        <w:rPr>
          <w:rStyle w:val="FootnoteReference"/>
          <w:rFonts w:ascii="Helvetica" w:hAnsi="Helvetica" w:cs="Helvetica"/>
          <w:color w:val="auto"/>
        </w:rPr>
        <w:footnoteRef/>
      </w:r>
      <w:r w:rsidRPr="00016EED">
        <w:rPr>
          <w:rFonts w:ascii="Helvetica" w:hAnsi="Helvetica" w:cs="Helvetica"/>
          <w:color w:val="auto"/>
        </w:rPr>
        <w:t xml:space="preserve"> </w:t>
      </w:r>
      <w:r w:rsidRPr="00016EED">
        <w:rPr>
          <w:rFonts w:ascii="Helvetica" w:hAnsi="Helvetica" w:cs="Helvetica"/>
          <w:i/>
          <w:color w:val="auto"/>
          <w:lang w:val="en"/>
        </w:rPr>
        <w:t>Cheshire West and Chester Council v P</w:t>
      </w:r>
      <w:r w:rsidRPr="00016EED">
        <w:rPr>
          <w:rFonts w:ascii="Helvetica" w:hAnsi="Helvetica" w:cs="Helvetica"/>
          <w:color w:val="auto"/>
          <w:lang w:val="en"/>
        </w:rPr>
        <w:t xml:space="preserve"> [2014] UKSC 19 para 57</w:t>
      </w:r>
      <w:r>
        <w:rPr>
          <w:rFonts w:ascii="Helvetica" w:hAnsi="Helvetica" w:cs="Helvetica"/>
          <w:color w:val="auto"/>
          <w:lang w:val="en"/>
        </w:rPr>
        <w:t>.</w:t>
      </w:r>
    </w:p>
  </w:footnote>
  <w:footnote w:id="5">
    <w:p w:rsidR="003D773C" w:rsidRPr="00016EED" w:rsidRDefault="003D773C" w:rsidP="003D773C">
      <w:pPr>
        <w:pStyle w:val="FootnoteText"/>
        <w:rPr>
          <w:rFonts w:ascii="Helvetica" w:hAnsi="Helvetica" w:cs="Helvetica"/>
          <w:color w:val="auto"/>
          <w:lang w:val="en-GB"/>
        </w:rPr>
      </w:pPr>
      <w:r w:rsidRPr="00016EED">
        <w:rPr>
          <w:rStyle w:val="FootnoteReference"/>
          <w:rFonts w:ascii="Helvetica" w:hAnsi="Helvetica" w:cs="Helvetica"/>
          <w:color w:val="auto"/>
        </w:rPr>
        <w:footnoteRef/>
      </w:r>
      <w:r w:rsidRPr="00016EED">
        <w:rPr>
          <w:rFonts w:ascii="Helvetica" w:hAnsi="Helvetica" w:cs="Helvetica"/>
          <w:color w:val="auto"/>
        </w:rPr>
        <w:t xml:space="preserve"> </w:t>
      </w:r>
      <w:r w:rsidRPr="00016EED">
        <w:rPr>
          <w:rFonts w:ascii="Helvetica" w:hAnsi="Helvetica" w:cs="Helvetica"/>
          <w:color w:val="auto"/>
          <w:lang w:val="en-GB"/>
        </w:rPr>
        <w:t>Grant number 109046/Z/15/Z.</w:t>
      </w:r>
    </w:p>
  </w:footnote>
  <w:footnote w:id="6">
    <w:p w:rsidR="003D773C" w:rsidRPr="00016EED" w:rsidRDefault="003D773C" w:rsidP="003D773C">
      <w:pPr>
        <w:pStyle w:val="FootnoteText"/>
        <w:rPr>
          <w:rFonts w:ascii="Helvetica" w:hAnsi="Helvetica" w:cs="Helvetica"/>
          <w:color w:val="auto"/>
          <w:lang w:val="en-GB"/>
        </w:rPr>
      </w:pPr>
      <w:r w:rsidRPr="00016EED">
        <w:rPr>
          <w:rStyle w:val="FootnoteReference"/>
          <w:rFonts w:ascii="Helvetica" w:hAnsi="Helvetica" w:cs="Helvetica"/>
          <w:color w:val="auto"/>
        </w:rPr>
        <w:footnoteRef/>
      </w:r>
      <w:r w:rsidRPr="00016EED">
        <w:rPr>
          <w:rFonts w:ascii="Helvetica" w:hAnsi="Helvetica" w:cs="Helvetica"/>
          <w:color w:val="auto"/>
        </w:rPr>
        <w:t xml:space="preserve"> </w:t>
      </w:r>
      <w:r w:rsidRPr="00016EED">
        <w:rPr>
          <w:rFonts w:ascii="Helvetica" w:hAnsi="Helvetica" w:cs="Helvetica"/>
          <w:color w:val="auto"/>
          <w:lang w:val="en-GB"/>
        </w:rPr>
        <w:t>See Law Comm</w:t>
      </w:r>
      <w:r>
        <w:rPr>
          <w:rFonts w:ascii="Helvetica" w:hAnsi="Helvetica" w:cs="Helvetica"/>
          <w:color w:val="auto"/>
          <w:lang w:val="en-GB"/>
        </w:rPr>
        <w:t>ission (2015)</w:t>
      </w:r>
      <w:r w:rsidRPr="00016EED">
        <w:rPr>
          <w:rFonts w:ascii="Helvetica" w:hAnsi="Helvetica" w:cs="Helvetica"/>
          <w:color w:val="auto"/>
          <w:lang w:val="en-GB"/>
        </w:rPr>
        <w:t xml:space="preserve"> </w:t>
      </w:r>
      <w:r w:rsidRPr="00016EED">
        <w:rPr>
          <w:rFonts w:ascii="Helvetica" w:hAnsi="Helvetica" w:cs="Helvetica"/>
          <w:i/>
          <w:color w:val="auto"/>
          <w:lang w:val="en-GB"/>
        </w:rPr>
        <w:t>Mental Capacity and Deprivation of Liberty: A Consultation Paper</w:t>
      </w:r>
      <w:r w:rsidRPr="00016EED">
        <w:rPr>
          <w:rFonts w:ascii="Helvetica" w:hAnsi="Helvetica" w:cs="Helvetica"/>
          <w:color w:val="auto"/>
          <w:lang w:val="en-GB"/>
        </w:rPr>
        <w:t xml:space="preserve">, Consultation Paper 222, and </w:t>
      </w:r>
      <w:r w:rsidRPr="00016EED">
        <w:rPr>
          <w:rFonts w:ascii="Helvetica" w:hAnsi="Helvetica" w:cs="Helvetica"/>
          <w:i/>
          <w:color w:val="auto"/>
          <w:lang w:val="en-GB"/>
        </w:rPr>
        <w:t>Mental Capacity and Deprivation of Liberty: Interim Statement</w:t>
      </w:r>
      <w:r w:rsidRPr="00016EED">
        <w:rPr>
          <w:rFonts w:ascii="Helvetica" w:hAnsi="Helvetica" w:cs="Helvetica"/>
          <w:color w:val="auto"/>
          <w:lang w:val="en-GB"/>
        </w:rPr>
        <w:t xml:space="preserve"> (May 2016), available at </w:t>
      </w:r>
      <w:hyperlink r:id="rId1" w:history="1">
        <w:r w:rsidRPr="000361C6">
          <w:rPr>
            <w:rStyle w:val="Hyperlink"/>
            <w:rFonts w:ascii="Helvetica" w:hAnsi="Helvetica" w:cs="Helvetica"/>
            <w:lang w:val="en-GB"/>
          </w:rPr>
          <w:t>http://www.lawcom.gov.uk/wp-content/uploads/2016/06/mental_capacity_interim_statement.pdf</w:t>
        </w:r>
      </w:hyperlink>
      <w:r>
        <w:rPr>
          <w:rFonts w:ascii="Helvetica" w:hAnsi="Helvetica" w:cs="Helvetica"/>
          <w:color w:val="auto"/>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0DF" w:rsidRDefault="00F500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73C" w:rsidRDefault="00F500DF" w:rsidP="003D773C">
    <w:pPr>
      <w:pStyle w:val="Header"/>
      <w:jc w:val="center"/>
    </w:pPr>
    <w:r>
      <w:t>[2016]</w:t>
    </w:r>
    <w:r w:rsidR="003D773C">
      <w:t xml:space="preserve"> International Journal of Mental Health and Capacity Law</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0DF" w:rsidRDefault="00F500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3E1"/>
    <w:rsid w:val="001C733D"/>
    <w:rsid w:val="003D773C"/>
    <w:rsid w:val="0044443D"/>
    <w:rsid w:val="00A933E1"/>
    <w:rsid w:val="00F500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00008A"/>
  <w15:chartTrackingRefBased/>
  <w15:docId w15:val="{DFA21062-3A82-4C5B-B333-B3ED23510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73C"/>
    <w:pPr>
      <w:spacing w:after="200" w:line="240" w:lineRule="auto"/>
      <w:jc w:val="both"/>
    </w:pPr>
    <w:rPr>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773C"/>
    <w:pPr>
      <w:tabs>
        <w:tab w:val="center" w:pos="4513"/>
        <w:tab w:val="right" w:pos="9026"/>
      </w:tabs>
      <w:spacing w:after="0"/>
      <w:jc w:val="left"/>
    </w:pPr>
    <w:rPr>
      <w:lang w:val="en-GB"/>
    </w:rPr>
  </w:style>
  <w:style w:type="character" w:customStyle="1" w:styleId="HeaderChar">
    <w:name w:val="Header Char"/>
    <w:basedOn w:val="DefaultParagraphFont"/>
    <w:link w:val="Header"/>
    <w:uiPriority w:val="99"/>
    <w:rsid w:val="003D773C"/>
  </w:style>
  <w:style w:type="paragraph" w:styleId="Footer">
    <w:name w:val="footer"/>
    <w:basedOn w:val="Normal"/>
    <w:link w:val="FooterChar"/>
    <w:uiPriority w:val="99"/>
    <w:unhideWhenUsed/>
    <w:rsid w:val="003D773C"/>
    <w:pPr>
      <w:tabs>
        <w:tab w:val="center" w:pos="4513"/>
        <w:tab w:val="right" w:pos="9026"/>
      </w:tabs>
      <w:spacing w:after="0"/>
      <w:jc w:val="left"/>
    </w:pPr>
    <w:rPr>
      <w:lang w:val="en-GB"/>
    </w:rPr>
  </w:style>
  <w:style w:type="character" w:customStyle="1" w:styleId="FooterChar">
    <w:name w:val="Footer Char"/>
    <w:basedOn w:val="DefaultParagraphFont"/>
    <w:link w:val="Footer"/>
    <w:uiPriority w:val="99"/>
    <w:rsid w:val="003D773C"/>
  </w:style>
  <w:style w:type="paragraph" w:styleId="FootnoteText">
    <w:name w:val="footnote text"/>
    <w:aliases w:val="Footnote Text Char1,Footnote Text Char Char,Footnote Text Char1 Char Char,Footnote Text Char Char Char Char,Footnote Text Char1 Char Char Char Char,Footnote Char Char Char Char Char,Footnote Text Char Char Char Char Char Char,5_"/>
    <w:link w:val="FootnoteTextChar"/>
    <w:uiPriority w:val="99"/>
    <w:unhideWhenUsed/>
    <w:qFormat/>
    <w:rsid w:val="003D773C"/>
    <w:pPr>
      <w:spacing w:after="0" w:line="240" w:lineRule="auto"/>
      <w:jc w:val="both"/>
    </w:pPr>
    <w:rPr>
      <w:rFonts w:ascii="Calibri" w:eastAsia="Calibri" w:hAnsi="Calibri" w:cs="Calibri"/>
      <w:color w:val="000000"/>
      <w:sz w:val="20"/>
      <w:szCs w:val="20"/>
      <w:u w:color="000000"/>
      <w:lang w:val="en-US"/>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Char Char Char Char Char Char,5_ Char"/>
    <w:basedOn w:val="DefaultParagraphFont"/>
    <w:link w:val="FootnoteText"/>
    <w:uiPriority w:val="99"/>
    <w:rsid w:val="003D773C"/>
    <w:rPr>
      <w:rFonts w:ascii="Calibri" w:eastAsia="Calibri" w:hAnsi="Calibri" w:cs="Calibri"/>
      <w:color w:val="000000"/>
      <w:sz w:val="20"/>
      <w:szCs w:val="20"/>
      <w:u w:color="000000"/>
      <w:lang w:val="en-US"/>
    </w:rPr>
  </w:style>
  <w:style w:type="paragraph" w:customStyle="1" w:styleId="BodyA">
    <w:name w:val="Body A"/>
    <w:rsid w:val="003D773C"/>
    <w:pPr>
      <w:spacing w:line="256" w:lineRule="auto"/>
      <w:jc w:val="both"/>
    </w:pPr>
    <w:rPr>
      <w:rFonts w:ascii="Calibri" w:eastAsia="Calibri" w:hAnsi="Calibri" w:cs="Calibri"/>
      <w:color w:val="000000"/>
      <w:u w:color="000000"/>
      <w:lang w:val="en-US"/>
    </w:rPr>
  </w:style>
  <w:style w:type="character" w:customStyle="1" w:styleId="legds2">
    <w:name w:val="legds2"/>
    <w:rsid w:val="003D773C"/>
    <w:rPr>
      <w:lang w:val="en-US"/>
    </w:rPr>
  </w:style>
  <w:style w:type="character" w:customStyle="1" w:styleId="apple-converted-space">
    <w:name w:val="apple-converted-space"/>
    <w:basedOn w:val="DefaultParagraphFont"/>
    <w:rsid w:val="003D773C"/>
  </w:style>
  <w:style w:type="character" w:styleId="Emphasis">
    <w:name w:val="Emphasis"/>
    <w:basedOn w:val="DefaultParagraphFont"/>
    <w:uiPriority w:val="20"/>
    <w:qFormat/>
    <w:rsid w:val="003D773C"/>
    <w:rPr>
      <w:i/>
      <w:iCs/>
    </w:rPr>
  </w:style>
  <w:style w:type="character" w:styleId="FootnoteReference">
    <w:name w:val="footnote reference"/>
    <w:aliases w:val="4_G,Footnote number,Fn Ref"/>
    <w:basedOn w:val="DefaultParagraphFont"/>
    <w:uiPriority w:val="99"/>
    <w:unhideWhenUsed/>
    <w:qFormat/>
    <w:rsid w:val="003D773C"/>
    <w:rPr>
      <w:vertAlign w:val="superscript"/>
    </w:rPr>
  </w:style>
  <w:style w:type="character" w:styleId="Hyperlink">
    <w:name w:val="Hyperlink"/>
    <w:basedOn w:val="DefaultParagraphFont"/>
    <w:uiPriority w:val="99"/>
    <w:unhideWhenUsed/>
    <w:rsid w:val="003D773C"/>
    <w:rPr>
      <w:color w:val="0563C1" w:themeColor="hyperlink"/>
      <w:u w:val="single"/>
    </w:rPr>
  </w:style>
  <w:style w:type="character" w:customStyle="1" w:styleId="st1">
    <w:name w:val="st1"/>
    <w:basedOn w:val="DefaultParagraphFont"/>
    <w:rsid w:val="003D7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lawcom.gov.uk/wp-content/uploads/2016/06/mental_capacity_interim_stat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4C25F-9C3F-4DDB-BDEF-4FBFA74C2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1040</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Burns</dc:creator>
  <cp:keywords/>
  <dc:description/>
  <cp:lastModifiedBy>Becky Skoyles</cp:lastModifiedBy>
  <cp:revision>3</cp:revision>
  <dcterms:created xsi:type="dcterms:W3CDTF">2017-02-22T15:40:00Z</dcterms:created>
  <dcterms:modified xsi:type="dcterms:W3CDTF">2017-02-27T11:39:00Z</dcterms:modified>
</cp:coreProperties>
</file>