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22"/>
        </w:rPr>
      </w:pPr>
    </w:p>
    <w:p>
      <w:pPr>
        <w:spacing w:before="101"/>
        <w:ind w:left="543" w:right="543" w:firstLine="0"/>
        <w:jc w:val="center"/>
        <w:rPr>
          <w:b/>
          <w:sz w:val="24"/>
        </w:rPr>
      </w:pPr>
      <w:bookmarkStart w:name="02 Maylea and Ryan" w:id="1"/>
      <w:bookmarkEnd w:id="1"/>
      <w:r>
        <w:rPr/>
      </w:r>
      <w:r>
        <w:rPr>
          <w:b/>
          <w:sz w:val="24"/>
        </w:rPr>
        <w:t>DECISION-MAKING CAPACITY AND THE VICTORIAN MENTAL HEALTH TRIBUNAL</w:t>
      </w:r>
    </w:p>
    <w:p>
      <w:pPr>
        <w:pStyle w:val="BodyText"/>
        <w:spacing w:before="4"/>
        <w:rPr>
          <w:b/>
          <w:sz w:val="39"/>
        </w:rPr>
      </w:pPr>
    </w:p>
    <w:p>
      <w:pPr>
        <w:pStyle w:val="BodyText"/>
        <w:ind w:left="1513"/>
      </w:pPr>
      <w:r>
        <w:rPr/>
        <w:t>CHRISTOPHER MAYLEA AND CHRISTOPHER JAMES RYAN*</w:t>
      </w:r>
    </w:p>
    <w:p>
      <w:pPr>
        <w:pStyle w:val="BodyText"/>
        <w:spacing w:before="6"/>
        <w:rPr>
          <w:sz w:val="31"/>
        </w:rPr>
      </w:pPr>
    </w:p>
    <w:p>
      <w:pPr>
        <w:pStyle w:val="BodyText"/>
        <w:ind w:left="542" w:right="543"/>
        <w:jc w:val="center"/>
      </w:pPr>
      <w:r>
        <w:rPr/>
        <w:t>ABSTRACT</w:t>
      </w:r>
    </w:p>
    <w:p>
      <w:pPr>
        <w:pStyle w:val="BodyText"/>
        <w:spacing w:before="11"/>
        <w:rPr>
          <w:sz w:val="23"/>
        </w:rPr>
      </w:pPr>
    </w:p>
    <w:p>
      <w:pPr>
        <w:pStyle w:val="BodyText"/>
        <w:ind w:left="120" w:right="229"/>
        <w:jc w:val="both"/>
      </w:pPr>
      <w:r>
        <w:rPr/>
        <w:t>The United Nations Convention on the Rights of Persons with Disabilities (CRPD) has led to a re-thinking of traditional mental health law around the world. Since</w:t>
      </w:r>
      <w:r>
        <w:rPr>
          <w:spacing w:val="-35"/>
        </w:rPr>
        <w:t> </w:t>
      </w:r>
      <w:r>
        <w:rPr/>
        <w:t>Australia’s ratification</w:t>
      </w:r>
      <w:r>
        <w:rPr>
          <w:spacing w:val="-10"/>
        </w:rPr>
        <w:t> </w:t>
      </w:r>
      <w:r>
        <w:rPr/>
        <w:t>of</w:t>
      </w:r>
      <w:r>
        <w:rPr>
          <w:spacing w:val="-9"/>
        </w:rPr>
        <w:t> </w:t>
      </w:r>
      <w:r>
        <w:rPr/>
        <w:t>the</w:t>
      </w:r>
      <w:r>
        <w:rPr>
          <w:spacing w:val="-9"/>
        </w:rPr>
        <w:t> </w:t>
      </w:r>
      <w:r>
        <w:rPr/>
        <w:t>CRPD,</w:t>
      </w:r>
      <w:r>
        <w:rPr>
          <w:spacing w:val="-9"/>
        </w:rPr>
        <w:t> </w:t>
      </w:r>
      <w:r>
        <w:rPr/>
        <w:t>all</w:t>
      </w:r>
      <w:r>
        <w:rPr>
          <w:spacing w:val="-10"/>
        </w:rPr>
        <w:t> </w:t>
      </w:r>
      <w:r>
        <w:rPr/>
        <w:t>but</w:t>
      </w:r>
      <w:r>
        <w:rPr>
          <w:spacing w:val="-9"/>
        </w:rPr>
        <w:t> </w:t>
      </w:r>
      <w:r>
        <w:rPr/>
        <w:t>one</w:t>
      </w:r>
      <w:r>
        <w:rPr>
          <w:spacing w:val="-9"/>
        </w:rPr>
        <w:t> </w:t>
      </w:r>
      <w:r>
        <w:rPr/>
        <w:t>of</w:t>
      </w:r>
      <w:r>
        <w:rPr>
          <w:spacing w:val="-9"/>
        </w:rPr>
        <w:t> </w:t>
      </w:r>
      <w:r>
        <w:rPr/>
        <w:t>its</w:t>
      </w:r>
      <w:r>
        <w:rPr>
          <w:spacing w:val="-9"/>
        </w:rPr>
        <w:t> </w:t>
      </w:r>
      <w:r>
        <w:rPr/>
        <w:t>eight</w:t>
      </w:r>
      <w:r>
        <w:rPr>
          <w:spacing w:val="-9"/>
        </w:rPr>
        <w:t> </w:t>
      </w:r>
      <w:r>
        <w:rPr/>
        <w:t>jurisdictions</w:t>
      </w:r>
      <w:r>
        <w:rPr>
          <w:spacing w:val="-9"/>
        </w:rPr>
        <w:t> </w:t>
      </w:r>
      <w:r>
        <w:rPr/>
        <w:t>have</w:t>
      </w:r>
      <w:r>
        <w:rPr>
          <w:spacing w:val="-9"/>
        </w:rPr>
        <w:t> </w:t>
      </w:r>
      <w:r>
        <w:rPr/>
        <w:t>introduced</w:t>
      </w:r>
      <w:r>
        <w:rPr>
          <w:spacing w:val="-9"/>
        </w:rPr>
        <w:t> </w:t>
      </w:r>
      <w:r>
        <w:rPr/>
        <w:t>reforms</w:t>
      </w:r>
      <w:r>
        <w:rPr>
          <w:spacing w:val="-9"/>
        </w:rPr>
        <w:t> </w:t>
      </w:r>
      <w:r>
        <w:rPr/>
        <w:t>to mental health legislation. These are aimed, in part, towards compliance with the Conventions articles. This paper examines the meaning and operation of the reforms introduced in Australia’s second most populous state –</w:t>
      </w:r>
      <w:r>
        <w:rPr>
          <w:spacing w:val="-22"/>
        </w:rPr>
        <w:t> </w:t>
      </w:r>
      <w:r>
        <w:rPr/>
        <w:t>Victoria.</w:t>
      </w:r>
    </w:p>
    <w:p>
      <w:pPr>
        <w:pStyle w:val="BodyText"/>
        <w:spacing w:before="3"/>
        <w:rPr>
          <w:sz w:val="23"/>
        </w:rPr>
      </w:pPr>
    </w:p>
    <w:p>
      <w:pPr>
        <w:pStyle w:val="BodyText"/>
        <w:spacing w:line="237" w:lineRule="auto"/>
        <w:ind w:left="120" w:right="230"/>
        <w:jc w:val="both"/>
      </w:pPr>
      <w:r>
        <w:rPr/>
        <w:t>We</w:t>
      </w:r>
      <w:r>
        <w:rPr>
          <w:spacing w:val="-16"/>
        </w:rPr>
        <w:t> </w:t>
      </w:r>
      <w:r>
        <w:rPr/>
        <w:t>first</w:t>
      </w:r>
      <w:r>
        <w:rPr>
          <w:spacing w:val="-15"/>
        </w:rPr>
        <w:t> </w:t>
      </w:r>
      <w:r>
        <w:rPr/>
        <w:t>describe</w:t>
      </w:r>
      <w:r>
        <w:rPr>
          <w:spacing w:val="-16"/>
        </w:rPr>
        <w:t> </w:t>
      </w:r>
      <w:r>
        <w:rPr/>
        <w:t>the</w:t>
      </w:r>
      <w:r>
        <w:rPr>
          <w:spacing w:val="-16"/>
        </w:rPr>
        <w:t> </w:t>
      </w:r>
      <w:r>
        <w:rPr/>
        <w:t>criteria</w:t>
      </w:r>
      <w:r>
        <w:rPr>
          <w:spacing w:val="-15"/>
        </w:rPr>
        <w:t> </w:t>
      </w:r>
      <w:r>
        <w:rPr/>
        <w:t>for</w:t>
      </w:r>
      <w:r>
        <w:rPr>
          <w:spacing w:val="-15"/>
        </w:rPr>
        <w:t> </w:t>
      </w:r>
      <w:r>
        <w:rPr/>
        <w:t>involuntary</w:t>
      </w:r>
      <w:r>
        <w:rPr>
          <w:spacing w:val="-16"/>
        </w:rPr>
        <w:t> </w:t>
      </w:r>
      <w:r>
        <w:rPr/>
        <w:t>treatment</w:t>
      </w:r>
      <w:r>
        <w:rPr>
          <w:spacing w:val="-15"/>
        </w:rPr>
        <w:t> </w:t>
      </w:r>
      <w:r>
        <w:rPr/>
        <w:t>set</w:t>
      </w:r>
      <w:r>
        <w:rPr>
          <w:spacing w:val="-15"/>
        </w:rPr>
        <w:t> </w:t>
      </w:r>
      <w:r>
        <w:rPr/>
        <w:t>out</w:t>
      </w:r>
      <w:r>
        <w:rPr>
          <w:spacing w:val="-15"/>
        </w:rPr>
        <w:t> </w:t>
      </w:r>
      <w:r>
        <w:rPr/>
        <w:t>in</w:t>
      </w:r>
      <w:r>
        <w:rPr>
          <w:spacing w:val="-15"/>
        </w:rPr>
        <w:t> </w:t>
      </w:r>
      <w:r>
        <w:rPr/>
        <w:t>the</w:t>
      </w:r>
      <w:r>
        <w:rPr>
          <w:spacing w:val="-16"/>
        </w:rPr>
        <w:t> </w:t>
      </w:r>
      <w:r>
        <w:rPr/>
        <w:t>new</w:t>
      </w:r>
      <w:r>
        <w:rPr>
          <w:spacing w:val="-15"/>
        </w:rPr>
        <w:t> </w:t>
      </w:r>
      <w:r>
        <w:rPr>
          <w:i/>
          <w:sz w:val="25"/>
        </w:rPr>
        <w:t>Mental</w:t>
      </w:r>
      <w:r>
        <w:rPr>
          <w:i/>
          <w:spacing w:val="-18"/>
          <w:sz w:val="25"/>
        </w:rPr>
        <w:t> </w:t>
      </w:r>
      <w:r>
        <w:rPr>
          <w:i/>
          <w:sz w:val="25"/>
        </w:rPr>
        <w:t>Health Act 2014 </w:t>
      </w:r>
      <w:r>
        <w:rPr/>
        <w:t>(Vic) (Austl.) (the Act). We then argue that when making an order for Involuntary Treatment, the Victorian Mental Health Tribunal (the Tribunal) is obliged to carefully consider a person’s decision-making capacity as part of ensuring that treatment</w:t>
      </w:r>
      <w:r>
        <w:rPr>
          <w:spacing w:val="-6"/>
        </w:rPr>
        <w:t> </w:t>
      </w:r>
      <w:r>
        <w:rPr/>
        <w:t>is</w:t>
      </w:r>
      <w:r>
        <w:rPr>
          <w:spacing w:val="-6"/>
        </w:rPr>
        <w:t> </w:t>
      </w:r>
      <w:r>
        <w:rPr/>
        <w:t>provided</w:t>
      </w:r>
      <w:r>
        <w:rPr>
          <w:spacing w:val="-6"/>
        </w:rPr>
        <w:t> </w:t>
      </w:r>
      <w:r>
        <w:rPr/>
        <w:t>in</w:t>
      </w:r>
      <w:r>
        <w:rPr>
          <w:spacing w:val="-6"/>
        </w:rPr>
        <w:t> </w:t>
      </w:r>
      <w:r>
        <w:rPr/>
        <w:t>the</w:t>
      </w:r>
      <w:r>
        <w:rPr>
          <w:spacing w:val="-7"/>
        </w:rPr>
        <w:t> </w:t>
      </w:r>
      <w:r>
        <w:rPr/>
        <w:t>least</w:t>
      </w:r>
      <w:r>
        <w:rPr>
          <w:spacing w:val="-6"/>
        </w:rPr>
        <w:t> </w:t>
      </w:r>
      <w:r>
        <w:rPr/>
        <w:t>restrictive</w:t>
      </w:r>
      <w:r>
        <w:rPr>
          <w:spacing w:val="-6"/>
        </w:rPr>
        <w:t> </w:t>
      </w:r>
      <w:r>
        <w:rPr/>
        <w:t>way,</w:t>
      </w:r>
      <w:r>
        <w:rPr>
          <w:spacing w:val="-6"/>
        </w:rPr>
        <w:t> </w:t>
      </w:r>
      <w:r>
        <w:rPr/>
        <w:t>and</w:t>
      </w:r>
      <w:r>
        <w:rPr>
          <w:spacing w:val="-6"/>
        </w:rPr>
        <w:t> </w:t>
      </w:r>
      <w:r>
        <w:rPr/>
        <w:t>to</w:t>
      </w:r>
      <w:r>
        <w:rPr>
          <w:spacing w:val="-6"/>
        </w:rPr>
        <w:t> </w:t>
      </w:r>
      <w:r>
        <w:rPr/>
        <w:t>only</w:t>
      </w:r>
      <w:r>
        <w:rPr>
          <w:spacing w:val="-6"/>
        </w:rPr>
        <w:t> </w:t>
      </w:r>
      <w:r>
        <w:rPr/>
        <w:t>authorise</w:t>
      </w:r>
      <w:r>
        <w:rPr>
          <w:spacing w:val="-6"/>
        </w:rPr>
        <w:t> </w:t>
      </w:r>
      <w:r>
        <w:rPr/>
        <w:t>the</w:t>
      </w:r>
      <w:r>
        <w:rPr>
          <w:spacing w:val="-6"/>
        </w:rPr>
        <w:t> </w:t>
      </w:r>
      <w:r>
        <w:rPr/>
        <w:t>involuntary treatment over a person’s competent objection in very limited</w:t>
      </w:r>
      <w:r>
        <w:rPr>
          <w:spacing w:val="-33"/>
        </w:rPr>
        <w:t> </w:t>
      </w:r>
      <w:r>
        <w:rPr/>
        <w:t>circumstances.</w:t>
      </w:r>
    </w:p>
    <w:p>
      <w:pPr>
        <w:pStyle w:val="BodyText"/>
        <w:spacing w:before="1"/>
        <w:rPr>
          <w:sz w:val="23"/>
        </w:rPr>
      </w:pPr>
    </w:p>
    <w:p>
      <w:pPr>
        <w:pStyle w:val="BodyText"/>
        <w:ind w:left="120" w:right="229"/>
        <w:jc w:val="both"/>
      </w:pPr>
      <w:r>
        <w:rPr/>
        <w:t>Having established the way in which the Act </w:t>
      </w:r>
      <w:r>
        <w:rPr>
          <w:i/>
          <w:sz w:val="25"/>
        </w:rPr>
        <w:t>should </w:t>
      </w:r>
      <w:r>
        <w:rPr/>
        <w:t>operate, we then present two empirical studies which analyse the decisions of the Statements of Reasons of the Tribunal to gain some appreciation of how the Act is working. These indicate that seldom does the Tribunal consider the decision-making capacity of people brought before it, and that, even when this is considered, the relevant information is not</w:t>
      </w:r>
      <w:r>
        <w:rPr>
          <w:spacing w:val="-36"/>
        </w:rPr>
        <w:t> </w:t>
      </w:r>
      <w:r>
        <w:rPr/>
        <w:t>being used</w:t>
      </w:r>
      <w:r>
        <w:rPr>
          <w:spacing w:val="-7"/>
        </w:rPr>
        <w:t> </w:t>
      </w:r>
      <w:r>
        <w:rPr/>
        <w:t>protectively</w:t>
      </w:r>
      <w:r>
        <w:rPr>
          <w:spacing w:val="-7"/>
        </w:rPr>
        <w:t> </w:t>
      </w:r>
      <w:r>
        <w:rPr/>
        <w:t>so</w:t>
      </w:r>
      <w:r>
        <w:rPr>
          <w:spacing w:val="-8"/>
        </w:rPr>
        <w:t> </w:t>
      </w:r>
      <w:r>
        <w:rPr/>
        <w:t>as</w:t>
      </w:r>
      <w:r>
        <w:rPr>
          <w:spacing w:val="-8"/>
        </w:rPr>
        <w:t> </w:t>
      </w:r>
      <w:r>
        <w:rPr/>
        <w:t>to</w:t>
      </w:r>
      <w:r>
        <w:rPr>
          <w:spacing w:val="-7"/>
        </w:rPr>
        <w:t> </w:t>
      </w:r>
      <w:r>
        <w:rPr/>
        <w:t>uphold</w:t>
      </w:r>
      <w:r>
        <w:rPr>
          <w:spacing w:val="-8"/>
        </w:rPr>
        <w:t> </w:t>
      </w:r>
      <w:r>
        <w:rPr/>
        <w:t>a</w:t>
      </w:r>
      <w:r>
        <w:rPr>
          <w:spacing w:val="-8"/>
        </w:rPr>
        <w:t> </w:t>
      </w:r>
      <w:r>
        <w:rPr/>
        <w:t>right</w:t>
      </w:r>
      <w:r>
        <w:rPr>
          <w:spacing w:val="-7"/>
        </w:rPr>
        <w:t> </w:t>
      </w:r>
      <w:r>
        <w:rPr/>
        <w:t>to</w:t>
      </w:r>
      <w:r>
        <w:rPr>
          <w:spacing w:val="-7"/>
        </w:rPr>
        <w:t> </w:t>
      </w:r>
      <w:r>
        <w:rPr/>
        <w:t>competently</w:t>
      </w:r>
      <w:r>
        <w:rPr>
          <w:spacing w:val="-8"/>
        </w:rPr>
        <w:t> </w:t>
      </w:r>
      <w:r>
        <w:rPr/>
        <w:t>refuse</w:t>
      </w:r>
      <w:r>
        <w:rPr>
          <w:spacing w:val="-8"/>
        </w:rPr>
        <w:t> </w:t>
      </w:r>
      <w:r>
        <w:rPr/>
        <w:t>treatment.</w:t>
      </w:r>
      <w:r>
        <w:rPr>
          <w:spacing w:val="-8"/>
        </w:rPr>
        <w:t> </w:t>
      </w:r>
      <w:r>
        <w:rPr/>
        <w:t>Instead,</w:t>
      </w:r>
      <w:r>
        <w:rPr>
          <w:spacing w:val="-7"/>
        </w:rPr>
        <w:t> </w:t>
      </w:r>
      <w:r>
        <w:rPr/>
        <w:t>the Tribunal uses the presence or absence of decision-making capacity, insight or poor judgement,</w:t>
      </w:r>
      <w:r>
        <w:rPr>
          <w:spacing w:val="-11"/>
        </w:rPr>
        <w:t> </w:t>
      </w:r>
      <w:r>
        <w:rPr/>
        <w:t>to</w:t>
      </w:r>
      <w:r>
        <w:rPr>
          <w:spacing w:val="-10"/>
        </w:rPr>
        <w:t> </w:t>
      </w:r>
      <w:r>
        <w:rPr/>
        <w:t>determine</w:t>
      </w:r>
      <w:r>
        <w:rPr>
          <w:spacing w:val="-10"/>
        </w:rPr>
        <w:t> </w:t>
      </w:r>
      <w:r>
        <w:rPr/>
        <w:t>if</w:t>
      </w:r>
      <w:r>
        <w:rPr>
          <w:spacing w:val="-10"/>
        </w:rPr>
        <w:t> </w:t>
      </w:r>
      <w:r>
        <w:rPr/>
        <w:t>a</w:t>
      </w:r>
      <w:r>
        <w:rPr>
          <w:spacing w:val="-11"/>
        </w:rPr>
        <w:t> </w:t>
      </w:r>
      <w:r>
        <w:rPr/>
        <w:t>person</w:t>
      </w:r>
      <w:r>
        <w:rPr>
          <w:spacing w:val="-10"/>
        </w:rPr>
        <w:t> </w:t>
      </w:r>
      <w:r>
        <w:rPr/>
        <w:t>is</w:t>
      </w:r>
      <w:r>
        <w:rPr>
          <w:spacing w:val="-11"/>
        </w:rPr>
        <w:t> </w:t>
      </w:r>
      <w:r>
        <w:rPr/>
        <w:t>mentally</w:t>
      </w:r>
      <w:r>
        <w:rPr>
          <w:spacing w:val="-10"/>
        </w:rPr>
        <w:t> </w:t>
      </w:r>
      <w:r>
        <w:rPr/>
        <w:t>ill</w:t>
      </w:r>
      <w:r>
        <w:rPr>
          <w:spacing w:val="-11"/>
        </w:rPr>
        <w:t> </w:t>
      </w:r>
      <w:r>
        <w:rPr/>
        <w:t>or</w:t>
      </w:r>
      <w:r>
        <w:rPr>
          <w:spacing w:val="-10"/>
        </w:rPr>
        <w:t> </w:t>
      </w:r>
      <w:r>
        <w:rPr/>
        <w:t>if</w:t>
      </w:r>
      <w:r>
        <w:rPr>
          <w:spacing w:val="-11"/>
        </w:rPr>
        <w:t> </w:t>
      </w:r>
      <w:r>
        <w:rPr/>
        <w:t>treatment</w:t>
      </w:r>
      <w:r>
        <w:rPr>
          <w:spacing w:val="-10"/>
        </w:rPr>
        <w:t> </w:t>
      </w:r>
      <w:r>
        <w:rPr/>
        <w:t>is</w:t>
      </w:r>
      <w:r>
        <w:rPr>
          <w:spacing w:val="-12"/>
        </w:rPr>
        <w:t> </w:t>
      </w:r>
      <w:r>
        <w:rPr/>
        <w:t>required</w:t>
      </w:r>
      <w:r>
        <w:rPr>
          <w:spacing w:val="-10"/>
        </w:rPr>
        <w:t> </w:t>
      </w:r>
      <w:r>
        <w:rPr/>
        <w:t>to</w:t>
      </w:r>
      <w:r>
        <w:rPr>
          <w:spacing w:val="-11"/>
        </w:rPr>
        <w:t> </w:t>
      </w:r>
      <w:r>
        <w:rPr/>
        <w:t>prevent serious</w:t>
      </w:r>
      <w:r>
        <w:rPr>
          <w:spacing w:val="-21"/>
        </w:rPr>
        <w:t> </w:t>
      </w:r>
      <w:r>
        <w:rPr/>
        <w:t>harm.</w:t>
      </w:r>
      <w:r>
        <w:rPr>
          <w:spacing w:val="-20"/>
        </w:rPr>
        <w:t> </w:t>
      </w:r>
      <w:r>
        <w:rPr/>
        <w:t>We</w:t>
      </w:r>
      <w:r>
        <w:rPr>
          <w:spacing w:val="-21"/>
        </w:rPr>
        <w:t> </w:t>
      </w:r>
      <w:r>
        <w:rPr/>
        <w:t>conclude</w:t>
      </w:r>
      <w:r>
        <w:rPr>
          <w:spacing w:val="-21"/>
        </w:rPr>
        <w:t> </w:t>
      </w:r>
      <w:r>
        <w:rPr/>
        <w:t>that</w:t>
      </w:r>
      <w:r>
        <w:rPr>
          <w:spacing w:val="-21"/>
        </w:rPr>
        <w:t> </w:t>
      </w:r>
      <w:r>
        <w:rPr/>
        <w:t>the</w:t>
      </w:r>
      <w:r>
        <w:rPr>
          <w:spacing w:val="-21"/>
        </w:rPr>
        <w:t> </w:t>
      </w:r>
      <w:r>
        <w:rPr/>
        <w:t>Tribunal’s</w:t>
      </w:r>
      <w:r>
        <w:rPr>
          <w:spacing w:val="-22"/>
        </w:rPr>
        <w:t> </w:t>
      </w:r>
      <w:r>
        <w:rPr/>
        <w:t>practice</w:t>
      </w:r>
      <w:r>
        <w:rPr>
          <w:spacing w:val="-21"/>
        </w:rPr>
        <w:t> </w:t>
      </w:r>
      <w:r>
        <w:rPr/>
        <w:t>is</w:t>
      </w:r>
      <w:r>
        <w:rPr>
          <w:spacing w:val="-21"/>
        </w:rPr>
        <w:t> </w:t>
      </w:r>
      <w:r>
        <w:rPr/>
        <w:t>inconsistent</w:t>
      </w:r>
      <w:r>
        <w:rPr>
          <w:spacing w:val="-22"/>
        </w:rPr>
        <w:t> </w:t>
      </w:r>
      <w:r>
        <w:rPr/>
        <w:t>with</w:t>
      </w:r>
      <w:r>
        <w:rPr>
          <w:spacing w:val="-20"/>
        </w:rPr>
        <w:t> </w:t>
      </w:r>
      <w:r>
        <w:rPr/>
        <w:t>the</w:t>
      </w:r>
      <w:r>
        <w:rPr>
          <w:spacing w:val="-22"/>
        </w:rPr>
        <w:t> </w:t>
      </w:r>
      <w:r>
        <w:rPr/>
        <w:t>principles of the Act and consequently the intention of</w:t>
      </w:r>
      <w:r>
        <w:rPr>
          <w:spacing w:val="-19"/>
        </w:rPr>
        <w:t> </w:t>
      </w:r>
      <w:r>
        <w:rPr/>
        <w:t>Parliament.</w:t>
      </w:r>
    </w:p>
    <w:p>
      <w:pPr>
        <w:pStyle w:val="BodyText"/>
        <w:spacing w:before="11"/>
        <w:rPr>
          <w:sz w:val="23"/>
        </w:rPr>
      </w:pPr>
    </w:p>
    <w:p>
      <w:pPr>
        <w:pStyle w:val="ListParagraph"/>
        <w:numPr>
          <w:ilvl w:val="0"/>
          <w:numId w:val="1"/>
        </w:numPr>
        <w:tabs>
          <w:tab w:pos="3942" w:val="left" w:leader="none"/>
        </w:tabs>
        <w:spacing w:line="240" w:lineRule="auto" w:before="0" w:after="0"/>
        <w:ind w:left="3941" w:right="0" w:hanging="238"/>
        <w:jc w:val="left"/>
        <w:rPr>
          <w:sz w:val="24"/>
        </w:rPr>
      </w:pPr>
      <w:r>
        <w:rPr>
          <w:sz w:val="24"/>
        </w:rPr>
        <w:t>INTRODUCTION</w:t>
      </w:r>
    </w:p>
    <w:p>
      <w:pPr>
        <w:pStyle w:val="BodyText"/>
        <w:spacing w:before="10"/>
        <w:rPr>
          <w:sz w:val="21"/>
        </w:rPr>
      </w:pPr>
    </w:p>
    <w:p>
      <w:pPr>
        <w:pStyle w:val="BodyText"/>
        <w:ind w:left="120" w:right="229"/>
        <w:jc w:val="both"/>
      </w:pPr>
      <w:r>
        <w:rPr/>
        <w:t>It is well established that an adult’s competent refusal of general medical treatment must be respected. This is the case, even if that refusal might be regarded as foolish or irrational and even if it will result in the person suffering serious harm, or even death.</w:t>
      </w:r>
      <w:hyperlink w:history="true" w:anchor="_bookmark0">
        <w:r>
          <w:rPr>
            <w:position w:val="8"/>
            <w:sz w:val="16"/>
          </w:rPr>
          <w:t>1 </w:t>
        </w:r>
      </w:hyperlink>
      <w:r>
        <w:rPr/>
        <w:t>Generally, an adult may only be given medical treatment contrary to her/his stated objection, if it can be shown that the person lacks decision-making capacity around that decision. That is to say, it must be shown that the person either cannot comprehend and retain the information relevant to the decision or cannot use and</w:t>
      </w:r>
    </w:p>
    <w:p>
      <w:pPr>
        <w:pStyle w:val="BodyText"/>
        <w:rPr>
          <w:sz w:val="20"/>
        </w:rPr>
      </w:pPr>
    </w:p>
    <w:p>
      <w:pPr>
        <w:pStyle w:val="BodyText"/>
        <w:spacing w:before="5"/>
        <w:rPr>
          <w:sz w:val="19"/>
        </w:rPr>
      </w:pPr>
      <w:r>
        <w:rPr/>
        <w:pict>
          <v:line style="position:absolute;mso-position-horizontal-relative:page;mso-position-vertical-relative:paragraph;z-index:0;mso-wrap-distance-left:0;mso-wrap-distance-right:0" from="67.019997pt,13.948703pt" to="211.019997pt,13.948703pt" stroked="true" strokeweight=".54pt" strokecolor="#000000">
            <v:stroke dashstyle="solid"/>
            <w10:wrap type="topAndBottom"/>
          </v:line>
        </w:pict>
      </w:r>
    </w:p>
    <w:p>
      <w:pPr>
        <w:spacing w:before="65"/>
        <w:ind w:left="290" w:right="116" w:hanging="171"/>
        <w:jc w:val="both"/>
        <w:rPr>
          <w:sz w:val="20"/>
        </w:rPr>
      </w:pPr>
      <w:bookmarkStart w:name="_bookmark0" w:id="2"/>
      <w:bookmarkEnd w:id="2"/>
      <w:r>
        <w:rPr/>
      </w:r>
      <w:r>
        <w:rPr>
          <w:sz w:val="20"/>
        </w:rPr>
        <w:t>* Dr Christopher Maylea, School of Global, Urban and Social Studies, RMIT University, Melbourne, Australia; Dr Christopher James Ryan, Dr Christopher James Ryan, Clinical Associate Professor and Psychiatrist, University of Sydney and Westmead Hospital, Sydney, Australia.</w:t>
      </w:r>
    </w:p>
    <w:p>
      <w:pPr>
        <w:spacing w:line="228" w:lineRule="auto" w:before="2"/>
        <w:ind w:left="290" w:right="117" w:hanging="171"/>
        <w:jc w:val="both"/>
        <w:rPr>
          <w:sz w:val="20"/>
        </w:rPr>
      </w:pPr>
      <w:r>
        <w:rPr>
          <w:position w:val="7"/>
          <w:sz w:val="13"/>
        </w:rPr>
        <w:t>1 </w:t>
      </w:r>
      <w:r>
        <w:rPr>
          <w:i/>
          <w:sz w:val="21"/>
        </w:rPr>
        <w:t>Re T (Adult: Refusal of Treatment) </w:t>
      </w:r>
      <w:r>
        <w:rPr>
          <w:sz w:val="20"/>
        </w:rPr>
        <w:t>[1992] EWCA Civ 18; [1993] Fam 95 (‘</w:t>
      </w:r>
      <w:r>
        <w:rPr>
          <w:i/>
          <w:sz w:val="21"/>
        </w:rPr>
        <w:t>Re T</w:t>
      </w:r>
      <w:r>
        <w:rPr>
          <w:sz w:val="20"/>
        </w:rPr>
        <w:t>’); </w:t>
      </w:r>
      <w:r>
        <w:rPr>
          <w:i/>
          <w:sz w:val="21"/>
        </w:rPr>
        <w:t>Re MB (Medical Treatment) </w:t>
      </w:r>
      <w:r>
        <w:rPr>
          <w:sz w:val="20"/>
        </w:rPr>
        <w:t>[1997] EWCA 3093; [1997] 2 F.L.R. 426.</w:t>
      </w:r>
    </w:p>
    <w:p>
      <w:pPr>
        <w:spacing w:after="0" w:line="228" w:lineRule="auto"/>
        <w:jc w:val="both"/>
        <w:rPr>
          <w:sz w:val="20"/>
        </w:rPr>
        <w:sectPr>
          <w:headerReference w:type="default" r:id="rId5"/>
          <w:footerReference w:type="default" r:id="rId6"/>
          <w:type w:val="continuous"/>
          <w:pgSz w:w="11910" w:h="16840"/>
          <w:pgMar w:header="763" w:footer="1025" w:top="980" w:bottom="1220" w:left="1220" w:right="1200"/>
          <w:pgNumType w:start="87"/>
        </w:sectPr>
      </w:pPr>
    </w:p>
    <w:p>
      <w:pPr>
        <w:pStyle w:val="BodyText"/>
        <w:spacing w:before="4"/>
        <w:rPr>
          <w:sz w:val="21"/>
        </w:rPr>
      </w:pPr>
    </w:p>
    <w:p>
      <w:pPr>
        <w:pStyle w:val="BodyText"/>
        <w:spacing w:before="100"/>
        <w:ind w:left="120" w:right="229"/>
        <w:jc w:val="both"/>
        <w:rPr>
          <w:sz w:val="16"/>
        </w:rPr>
      </w:pPr>
      <w:r>
        <w:rPr/>
        <w:t>weigh that information.</w:t>
      </w:r>
      <w:hyperlink w:history="true" w:anchor="_bookmark1">
        <w:r>
          <w:rPr>
            <w:position w:val="8"/>
            <w:sz w:val="16"/>
          </w:rPr>
          <w:t>2 </w:t>
        </w:r>
      </w:hyperlink>
      <w:r>
        <w:rPr/>
        <w:t>Until very recently this strong legal principle did not apply to psychiatric treatment in Australia. Prior to 2013 no Australian jurisdiction used the presence, or absence, of decision-making capacity as a deciding factor for the imposition of treatment without consent.</w:t>
      </w:r>
      <w:hyperlink w:history="true" w:anchor="_bookmark2">
        <w:r>
          <w:rPr>
            <w:position w:val="8"/>
            <w:sz w:val="16"/>
          </w:rPr>
          <w:t>3</w:t>
        </w:r>
      </w:hyperlink>
    </w:p>
    <w:p>
      <w:pPr>
        <w:pStyle w:val="BodyText"/>
        <w:spacing w:before="11"/>
        <w:rPr>
          <w:sz w:val="23"/>
        </w:rPr>
      </w:pPr>
    </w:p>
    <w:p>
      <w:pPr>
        <w:pStyle w:val="BodyText"/>
        <w:spacing w:before="1"/>
        <w:ind w:left="120" w:right="229"/>
        <w:jc w:val="both"/>
      </w:pPr>
      <w:r>
        <w:rPr/>
        <w:t>In July 2008, Australia ratified the UN Convention on the Rights of Persons Disabilities (CRPD)</w:t>
      </w:r>
      <w:hyperlink w:history="true" w:anchor="_bookmark3">
        <w:r>
          <w:rPr>
            <w:position w:val="8"/>
            <w:sz w:val="16"/>
          </w:rPr>
          <w:t>4 </w:t>
        </w:r>
      </w:hyperlink>
      <w:r>
        <w:rPr/>
        <w:t>and since that time, as each Australian jurisdiction has reformed its mental health legislation, those reforms have been motivated, in part, by the articles of the Convention</w:t>
      </w:r>
      <w:r>
        <w:rPr>
          <w:spacing w:val="-20"/>
        </w:rPr>
        <w:t> </w:t>
      </w:r>
      <w:r>
        <w:rPr/>
        <w:t>and</w:t>
      </w:r>
      <w:r>
        <w:rPr>
          <w:spacing w:val="-20"/>
        </w:rPr>
        <w:t> </w:t>
      </w:r>
      <w:r>
        <w:rPr/>
        <w:t>a</w:t>
      </w:r>
      <w:r>
        <w:rPr>
          <w:spacing w:val="-20"/>
        </w:rPr>
        <w:t> </w:t>
      </w:r>
      <w:r>
        <w:rPr/>
        <w:t>desire</w:t>
      </w:r>
      <w:r>
        <w:rPr>
          <w:spacing w:val="-20"/>
        </w:rPr>
        <w:t> </w:t>
      </w:r>
      <w:r>
        <w:rPr/>
        <w:t>to</w:t>
      </w:r>
      <w:r>
        <w:rPr>
          <w:spacing w:val="-19"/>
        </w:rPr>
        <w:t> </w:t>
      </w:r>
      <w:r>
        <w:rPr/>
        <w:t>address</w:t>
      </w:r>
      <w:r>
        <w:rPr>
          <w:spacing w:val="-20"/>
        </w:rPr>
        <w:t> </w:t>
      </w:r>
      <w:r>
        <w:rPr/>
        <w:t>the</w:t>
      </w:r>
      <w:r>
        <w:rPr>
          <w:spacing w:val="-20"/>
        </w:rPr>
        <w:t> </w:t>
      </w:r>
      <w:r>
        <w:rPr/>
        <w:t>disparities</w:t>
      </w:r>
      <w:r>
        <w:rPr>
          <w:spacing w:val="-20"/>
        </w:rPr>
        <w:t> </w:t>
      </w:r>
      <w:r>
        <w:rPr/>
        <w:t>regarding</w:t>
      </w:r>
      <w:r>
        <w:rPr>
          <w:spacing w:val="-19"/>
        </w:rPr>
        <w:t> </w:t>
      </w:r>
      <w:r>
        <w:rPr/>
        <w:t>the</w:t>
      </w:r>
      <w:r>
        <w:rPr>
          <w:spacing w:val="-20"/>
        </w:rPr>
        <w:t> </w:t>
      </w:r>
      <w:r>
        <w:rPr/>
        <w:t>role</w:t>
      </w:r>
      <w:r>
        <w:rPr>
          <w:spacing w:val="-21"/>
        </w:rPr>
        <w:t> </w:t>
      </w:r>
      <w:r>
        <w:rPr/>
        <w:t>of</w:t>
      </w:r>
      <w:r>
        <w:rPr>
          <w:spacing w:val="-19"/>
        </w:rPr>
        <w:t> </w:t>
      </w:r>
      <w:r>
        <w:rPr/>
        <w:t>decision-making capacity.</w:t>
      </w:r>
      <w:hyperlink w:history="true" w:anchor="_bookmark4">
        <w:r>
          <w:rPr>
            <w:position w:val="8"/>
            <w:sz w:val="16"/>
          </w:rPr>
          <w:t>5 </w:t>
        </w:r>
      </w:hyperlink>
      <w:r>
        <w:rPr/>
        <w:t>The meaning of the CRPD with respect to involuntary psychiatric treatment is not straightforward and has led to considerable debate.</w:t>
      </w:r>
      <w:hyperlink w:history="true" w:anchor="_bookmark5">
        <w:r>
          <w:rPr>
            <w:position w:val="8"/>
            <w:sz w:val="16"/>
          </w:rPr>
          <w:t>6 </w:t>
        </w:r>
      </w:hyperlink>
      <w:r>
        <w:rPr/>
        <w:t>However, almost everyone has concluded that art 12(2) of the instrument (“States Parties shall recognize that persons</w:t>
      </w:r>
      <w:r>
        <w:rPr>
          <w:spacing w:val="-13"/>
        </w:rPr>
        <w:t> </w:t>
      </w:r>
      <w:r>
        <w:rPr/>
        <w:t>with</w:t>
      </w:r>
      <w:r>
        <w:rPr>
          <w:spacing w:val="-13"/>
        </w:rPr>
        <w:t> </w:t>
      </w:r>
      <w:r>
        <w:rPr/>
        <w:t>disabilities</w:t>
      </w:r>
      <w:r>
        <w:rPr>
          <w:spacing w:val="-13"/>
        </w:rPr>
        <w:t> </w:t>
      </w:r>
      <w:r>
        <w:rPr/>
        <w:t>enjoy</w:t>
      </w:r>
      <w:r>
        <w:rPr>
          <w:spacing w:val="-13"/>
        </w:rPr>
        <w:t> </w:t>
      </w:r>
      <w:r>
        <w:rPr/>
        <w:t>legal</w:t>
      </w:r>
      <w:r>
        <w:rPr>
          <w:spacing w:val="-12"/>
        </w:rPr>
        <w:t> </w:t>
      </w:r>
      <w:r>
        <w:rPr/>
        <w:t>capacity</w:t>
      </w:r>
      <w:r>
        <w:rPr>
          <w:spacing w:val="-13"/>
        </w:rPr>
        <w:t> </w:t>
      </w:r>
      <w:r>
        <w:rPr/>
        <w:t>on</w:t>
      </w:r>
      <w:r>
        <w:rPr>
          <w:spacing w:val="-13"/>
        </w:rPr>
        <w:t> </w:t>
      </w:r>
      <w:r>
        <w:rPr/>
        <w:t>an</w:t>
      </w:r>
      <w:r>
        <w:rPr>
          <w:spacing w:val="-13"/>
        </w:rPr>
        <w:t> </w:t>
      </w:r>
      <w:r>
        <w:rPr/>
        <w:t>equal</w:t>
      </w:r>
      <w:r>
        <w:rPr>
          <w:spacing w:val="-14"/>
        </w:rPr>
        <w:t> </w:t>
      </w:r>
      <w:r>
        <w:rPr/>
        <w:t>basis</w:t>
      </w:r>
      <w:r>
        <w:rPr>
          <w:spacing w:val="-14"/>
        </w:rPr>
        <w:t> </w:t>
      </w:r>
      <w:r>
        <w:rPr/>
        <w:t>with</w:t>
      </w:r>
      <w:r>
        <w:rPr>
          <w:spacing w:val="-15"/>
        </w:rPr>
        <w:t> </w:t>
      </w:r>
      <w:r>
        <w:rPr/>
        <w:t>others</w:t>
      </w:r>
      <w:r>
        <w:rPr>
          <w:spacing w:val="-13"/>
        </w:rPr>
        <w:t> </w:t>
      </w:r>
      <w:r>
        <w:rPr/>
        <w:t>in</w:t>
      </w:r>
      <w:r>
        <w:rPr>
          <w:spacing w:val="-13"/>
        </w:rPr>
        <w:t> </w:t>
      </w:r>
      <w:r>
        <w:rPr/>
        <w:t>all</w:t>
      </w:r>
      <w:r>
        <w:rPr>
          <w:spacing w:val="-14"/>
        </w:rPr>
        <w:t> </w:t>
      </w:r>
      <w:r>
        <w:rPr/>
        <w:t>aspects of</w:t>
      </w:r>
      <w:r>
        <w:rPr>
          <w:spacing w:val="-7"/>
        </w:rPr>
        <w:t> </w:t>
      </w:r>
      <w:r>
        <w:rPr/>
        <w:t>life”),</w:t>
      </w:r>
      <w:r>
        <w:rPr>
          <w:spacing w:val="-6"/>
        </w:rPr>
        <w:t> </w:t>
      </w:r>
      <w:r>
        <w:rPr/>
        <w:t>requires</w:t>
      </w:r>
      <w:r>
        <w:rPr>
          <w:spacing w:val="-7"/>
        </w:rPr>
        <w:t> </w:t>
      </w:r>
      <w:r>
        <w:rPr/>
        <w:t>that</w:t>
      </w:r>
      <w:r>
        <w:rPr>
          <w:spacing w:val="-9"/>
        </w:rPr>
        <w:t> </w:t>
      </w:r>
      <w:r>
        <w:rPr/>
        <w:t>recognition</w:t>
      </w:r>
      <w:r>
        <w:rPr>
          <w:spacing w:val="-7"/>
        </w:rPr>
        <w:t> </w:t>
      </w:r>
      <w:r>
        <w:rPr/>
        <w:t>of</w:t>
      </w:r>
      <w:r>
        <w:rPr>
          <w:spacing w:val="-7"/>
        </w:rPr>
        <w:t> </w:t>
      </w:r>
      <w:r>
        <w:rPr/>
        <w:t>the</w:t>
      </w:r>
      <w:r>
        <w:rPr>
          <w:spacing w:val="-7"/>
        </w:rPr>
        <w:t> </w:t>
      </w:r>
      <w:r>
        <w:rPr/>
        <w:t>right</w:t>
      </w:r>
      <w:r>
        <w:rPr>
          <w:spacing w:val="-6"/>
        </w:rPr>
        <w:t> </w:t>
      </w:r>
      <w:r>
        <w:rPr/>
        <w:t>of</w:t>
      </w:r>
      <w:r>
        <w:rPr>
          <w:spacing w:val="-6"/>
        </w:rPr>
        <w:t> </w:t>
      </w:r>
      <w:r>
        <w:rPr/>
        <w:t>competent</w:t>
      </w:r>
      <w:r>
        <w:rPr>
          <w:spacing w:val="-6"/>
        </w:rPr>
        <w:t> </w:t>
      </w:r>
      <w:r>
        <w:rPr/>
        <w:t>adults</w:t>
      </w:r>
      <w:r>
        <w:rPr>
          <w:spacing w:val="-8"/>
        </w:rPr>
        <w:t> </w:t>
      </w:r>
      <w:r>
        <w:rPr/>
        <w:t>to</w:t>
      </w:r>
      <w:r>
        <w:rPr>
          <w:spacing w:val="-6"/>
        </w:rPr>
        <w:t> </w:t>
      </w:r>
      <w:r>
        <w:rPr/>
        <w:t>refuse</w:t>
      </w:r>
      <w:r>
        <w:rPr>
          <w:spacing w:val="-7"/>
        </w:rPr>
        <w:t> </w:t>
      </w:r>
      <w:r>
        <w:rPr/>
        <w:t>psychiatric treatment.</w:t>
      </w:r>
    </w:p>
    <w:p>
      <w:pPr>
        <w:pStyle w:val="BodyText"/>
      </w:pPr>
    </w:p>
    <w:p>
      <w:pPr>
        <w:pStyle w:val="BodyText"/>
        <w:ind w:left="120" w:right="229"/>
        <w:jc w:val="both"/>
        <w:rPr>
          <w:sz w:val="16"/>
        </w:rPr>
      </w:pPr>
      <w:r>
        <w:rPr/>
        <w:t>Four jurisdictions – Queensland, South Australia, Tasmania and Western Australia – have attended to the matter by reforming their mental health legislation so that a competent mentally ill person can refuse psychiatric treatment.</w:t>
      </w:r>
      <w:hyperlink w:history="true" w:anchor="_bookmark6">
        <w:r>
          <w:rPr>
            <w:position w:val="8"/>
            <w:sz w:val="16"/>
          </w:rPr>
          <w:t>7 </w:t>
        </w:r>
      </w:hyperlink>
      <w:r>
        <w:rPr/>
        <w:t>The Australian Capital Territory, New South Wales and Victoria have approached this disparity by a series of different, less straightforward, reforms.</w:t>
      </w:r>
      <w:hyperlink w:history="true" w:anchor="_bookmark7">
        <w:r>
          <w:rPr>
            <w:position w:val="8"/>
            <w:sz w:val="16"/>
          </w:rPr>
          <w:t>8</w:t>
        </w:r>
      </w:hyperlink>
    </w:p>
    <w:p>
      <w:pPr>
        <w:pStyle w:val="BodyText"/>
        <w:spacing w:before="2"/>
        <w:rPr>
          <w:sz w:val="23"/>
        </w:rPr>
      </w:pPr>
    </w:p>
    <w:p>
      <w:pPr>
        <w:pStyle w:val="BodyText"/>
        <w:ind w:left="120" w:right="230"/>
        <w:jc w:val="both"/>
      </w:pPr>
      <w:r>
        <w:rPr/>
        <w:t>In this paper, we consider the Victorian </w:t>
      </w:r>
      <w:r>
        <w:rPr>
          <w:i/>
          <w:sz w:val="25"/>
        </w:rPr>
        <w:t>Mental Health Act 2014 </w:t>
      </w:r>
      <w:r>
        <w:rPr/>
        <w:t>as a case study illustrative of the current tensions in considering decision-making capacity and mental health legislation. This Victorian case study has implications for other jurisdictions, as studies have shown that many people, both in inpatient units and on community</w:t>
      </w:r>
    </w:p>
    <w:p>
      <w:pPr>
        <w:pStyle w:val="BodyText"/>
        <w:spacing w:before="4"/>
        <w:rPr>
          <w:sz w:val="20"/>
        </w:rPr>
      </w:pPr>
      <w:r>
        <w:rPr/>
        <w:pict>
          <v:line style="position:absolute;mso-position-horizontal-relative:page;mso-position-vertical-relative:paragraph;z-index:1048;mso-wrap-distance-left:0;mso-wrap-distance-right:0" from="67.019997pt,14.528651pt" to="211.019997pt,14.528651pt" stroked="true" strokeweight=".54pt" strokecolor="#000000">
            <v:stroke dashstyle="solid"/>
            <w10:wrap type="topAndBottom"/>
          </v:line>
        </w:pict>
      </w:r>
    </w:p>
    <w:p>
      <w:pPr>
        <w:spacing w:line="252" w:lineRule="exact" w:before="54"/>
        <w:ind w:left="120" w:right="0" w:firstLine="0"/>
        <w:jc w:val="left"/>
        <w:rPr>
          <w:sz w:val="20"/>
        </w:rPr>
      </w:pPr>
      <w:bookmarkStart w:name="_bookmark1" w:id="3"/>
      <w:bookmarkEnd w:id="3"/>
      <w:r>
        <w:rPr/>
      </w:r>
      <w:r>
        <w:rPr>
          <w:position w:val="7"/>
          <w:sz w:val="13"/>
        </w:rPr>
        <w:t>2 </w:t>
      </w:r>
      <w:r>
        <w:rPr>
          <w:i/>
          <w:sz w:val="21"/>
        </w:rPr>
        <w:t>Hunter and New England Area Health Service v A </w:t>
      </w:r>
      <w:r>
        <w:rPr>
          <w:sz w:val="20"/>
        </w:rPr>
        <w:t>[2009] NSWSC 761.</w:t>
      </w:r>
    </w:p>
    <w:p>
      <w:pPr>
        <w:spacing w:line="230" w:lineRule="auto" w:before="7"/>
        <w:ind w:left="231" w:right="119" w:hanging="112"/>
        <w:jc w:val="both"/>
        <w:rPr>
          <w:sz w:val="20"/>
        </w:rPr>
      </w:pPr>
      <w:bookmarkStart w:name="_bookmark2" w:id="4"/>
      <w:bookmarkEnd w:id="4"/>
      <w:r>
        <w:rPr/>
      </w:r>
      <w:r>
        <w:rPr>
          <w:position w:val="7"/>
          <w:sz w:val="13"/>
        </w:rPr>
        <w:t>3</w:t>
      </w:r>
      <w:r>
        <w:rPr>
          <w:spacing w:val="-4"/>
          <w:position w:val="7"/>
          <w:sz w:val="13"/>
        </w:rPr>
        <w:t> </w:t>
      </w:r>
      <w:r>
        <w:rPr>
          <w:sz w:val="20"/>
        </w:rPr>
        <w:t>Christopher</w:t>
      </w:r>
      <w:r>
        <w:rPr>
          <w:spacing w:val="-6"/>
          <w:sz w:val="20"/>
        </w:rPr>
        <w:t> </w:t>
      </w:r>
      <w:r>
        <w:rPr>
          <w:sz w:val="20"/>
        </w:rPr>
        <w:t>James</w:t>
      </w:r>
      <w:r>
        <w:rPr>
          <w:spacing w:val="-7"/>
          <w:sz w:val="20"/>
        </w:rPr>
        <w:t> </w:t>
      </w:r>
      <w:r>
        <w:rPr>
          <w:sz w:val="20"/>
        </w:rPr>
        <w:t>Ryan,</w:t>
      </w:r>
      <w:r>
        <w:rPr>
          <w:spacing w:val="-6"/>
          <w:sz w:val="20"/>
        </w:rPr>
        <w:t> </w:t>
      </w:r>
      <w:r>
        <w:rPr>
          <w:sz w:val="20"/>
        </w:rPr>
        <w:t>‘Capacity</w:t>
      </w:r>
      <w:r>
        <w:rPr>
          <w:spacing w:val="-6"/>
          <w:sz w:val="20"/>
        </w:rPr>
        <w:t> </w:t>
      </w:r>
      <w:r>
        <w:rPr>
          <w:sz w:val="20"/>
        </w:rPr>
        <w:t>as</w:t>
      </w:r>
      <w:r>
        <w:rPr>
          <w:spacing w:val="-5"/>
          <w:sz w:val="20"/>
        </w:rPr>
        <w:t> </w:t>
      </w:r>
      <w:r>
        <w:rPr>
          <w:sz w:val="20"/>
        </w:rPr>
        <w:t>a</w:t>
      </w:r>
      <w:r>
        <w:rPr>
          <w:spacing w:val="-7"/>
          <w:sz w:val="20"/>
        </w:rPr>
        <w:t> </w:t>
      </w:r>
      <w:r>
        <w:rPr>
          <w:sz w:val="20"/>
        </w:rPr>
        <w:t>Determinant</w:t>
      </w:r>
      <w:r>
        <w:rPr>
          <w:spacing w:val="-6"/>
          <w:sz w:val="20"/>
        </w:rPr>
        <w:t> </w:t>
      </w:r>
      <w:r>
        <w:rPr>
          <w:sz w:val="20"/>
        </w:rPr>
        <w:t>of</w:t>
      </w:r>
      <w:r>
        <w:rPr>
          <w:spacing w:val="-6"/>
          <w:sz w:val="20"/>
        </w:rPr>
        <w:t> </w:t>
      </w:r>
      <w:r>
        <w:rPr>
          <w:sz w:val="20"/>
        </w:rPr>
        <w:t>Non-Consensual</w:t>
      </w:r>
      <w:r>
        <w:rPr>
          <w:spacing w:val="-6"/>
          <w:sz w:val="20"/>
        </w:rPr>
        <w:t> </w:t>
      </w:r>
      <w:r>
        <w:rPr>
          <w:sz w:val="20"/>
        </w:rPr>
        <w:t>Treatment</w:t>
      </w:r>
      <w:r>
        <w:rPr>
          <w:spacing w:val="-6"/>
          <w:sz w:val="20"/>
        </w:rPr>
        <w:t> </w:t>
      </w:r>
      <w:r>
        <w:rPr>
          <w:sz w:val="20"/>
        </w:rPr>
        <w:t>of</w:t>
      </w:r>
      <w:r>
        <w:rPr>
          <w:spacing w:val="-6"/>
          <w:sz w:val="20"/>
        </w:rPr>
        <w:t> </w:t>
      </w:r>
      <w:r>
        <w:rPr>
          <w:sz w:val="20"/>
        </w:rPr>
        <w:t>the</w:t>
      </w:r>
      <w:r>
        <w:rPr>
          <w:spacing w:val="-6"/>
          <w:sz w:val="20"/>
        </w:rPr>
        <w:t> </w:t>
      </w:r>
      <w:r>
        <w:rPr>
          <w:sz w:val="20"/>
        </w:rPr>
        <w:t>Mentally</w:t>
      </w:r>
      <w:r>
        <w:rPr>
          <w:spacing w:val="-6"/>
          <w:sz w:val="20"/>
        </w:rPr>
        <w:t> </w:t>
      </w:r>
      <w:r>
        <w:rPr>
          <w:sz w:val="20"/>
        </w:rPr>
        <w:t>Ill</w:t>
      </w:r>
      <w:r>
        <w:rPr>
          <w:spacing w:val="-6"/>
          <w:sz w:val="20"/>
        </w:rPr>
        <w:t> </w:t>
      </w:r>
      <w:r>
        <w:rPr>
          <w:sz w:val="20"/>
        </w:rPr>
        <w:t>in Australia’</w:t>
      </w:r>
      <w:r>
        <w:rPr>
          <w:spacing w:val="-24"/>
          <w:sz w:val="20"/>
        </w:rPr>
        <w:t> </w:t>
      </w:r>
      <w:r>
        <w:rPr>
          <w:sz w:val="20"/>
        </w:rPr>
        <w:t>(2011)</w:t>
      </w:r>
      <w:r>
        <w:rPr>
          <w:spacing w:val="-24"/>
          <w:sz w:val="20"/>
        </w:rPr>
        <w:t> </w:t>
      </w:r>
      <w:r>
        <w:rPr>
          <w:sz w:val="20"/>
        </w:rPr>
        <w:t>18(2)</w:t>
      </w:r>
      <w:r>
        <w:rPr>
          <w:spacing w:val="-23"/>
          <w:sz w:val="20"/>
        </w:rPr>
        <w:t> </w:t>
      </w:r>
      <w:r>
        <w:rPr>
          <w:i/>
          <w:sz w:val="21"/>
        </w:rPr>
        <w:t>Psychiatry,</w:t>
      </w:r>
      <w:r>
        <w:rPr>
          <w:i/>
          <w:spacing w:val="-26"/>
          <w:sz w:val="21"/>
        </w:rPr>
        <w:t> </w:t>
      </w:r>
      <w:r>
        <w:rPr>
          <w:i/>
          <w:sz w:val="21"/>
        </w:rPr>
        <w:t>Psychology</w:t>
      </w:r>
      <w:r>
        <w:rPr>
          <w:i/>
          <w:spacing w:val="-27"/>
          <w:sz w:val="21"/>
        </w:rPr>
        <w:t> </w:t>
      </w:r>
      <w:r>
        <w:rPr>
          <w:i/>
          <w:sz w:val="21"/>
        </w:rPr>
        <w:t>and</w:t>
      </w:r>
      <w:r>
        <w:rPr>
          <w:i/>
          <w:spacing w:val="-27"/>
          <w:sz w:val="21"/>
        </w:rPr>
        <w:t> </w:t>
      </w:r>
      <w:r>
        <w:rPr>
          <w:i/>
          <w:sz w:val="21"/>
        </w:rPr>
        <w:t>Law</w:t>
      </w:r>
      <w:r>
        <w:rPr>
          <w:i/>
          <w:spacing w:val="-27"/>
          <w:sz w:val="21"/>
        </w:rPr>
        <w:t> </w:t>
      </w:r>
      <w:r>
        <w:rPr>
          <w:sz w:val="20"/>
        </w:rPr>
        <w:t>248.</w:t>
      </w:r>
    </w:p>
    <w:p>
      <w:pPr>
        <w:spacing w:before="0"/>
        <w:ind w:left="232" w:right="117" w:hanging="113"/>
        <w:jc w:val="both"/>
        <w:rPr>
          <w:sz w:val="20"/>
        </w:rPr>
      </w:pPr>
      <w:bookmarkStart w:name="_bookmark3" w:id="5"/>
      <w:bookmarkEnd w:id="5"/>
      <w:r>
        <w:rPr/>
      </w:r>
      <w:r>
        <w:rPr>
          <w:position w:val="7"/>
          <w:sz w:val="13"/>
        </w:rPr>
        <w:t>4 </w:t>
      </w:r>
      <w:r>
        <w:rPr>
          <w:sz w:val="20"/>
        </w:rPr>
        <w:t>(United Nations [UN]) 2515 UNTS 3, UN Doc A/RES/61/106, Annex, GAOR 61</w:t>
      </w:r>
      <w:r>
        <w:rPr>
          <w:position w:val="7"/>
          <w:sz w:val="13"/>
        </w:rPr>
        <w:t>st </w:t>
      </w:r>
      <w:r>
        <w:rPr>
          <w:sz w:val="20"/>
        </w:rPr>
        <w:t>Session Supp 49, 65. (Adopted) 13th Dec 2006, (Opened For Signature) 30th Mar 2007, [Entered into Force] 3rd May 2008.</w:t>
      </w:r>
    </w:p>
    <w:p>
      <w:pPr>
        <w:spacing w:line="232" w:lineRule="auto" w:before="0"/>
        <w:ind w:left="231" w:right="116" w:hanging="112"/>
        <w:jc w:val="both"/>
        <w:rPr>
          <w:sz w:val="20"/>
        </w:rPr>
      </w:pPr>
      <w:bookmarkStart w:name="_bookmark4" w:id="6"/>
      <w:bookmarkEnd w:id="6"/>
      <w:r>
        <w:rPr/>
      </w:r>
      <w:r>
        <w:rPr>
          <w:position w:val="7"/>
          <w:sz w:val="13"/>
        </w:rPr>
        <w:t>5 </w:t>
      </w:r>
      <w:r>
        <w:rPr>
          <w:sz w:val="20"/>
        </w:rPr>
        <w:t>See for example: Australian Capital Territory Parliamentary Counsel, </w:t>
      </w:r>
      <w:r>
        <w:rPr>
          <w:i/>
          <w:sz w:val="21"/>
        </w:rPr>
        <w:t>Revised Explanatory Statement, Mental</w:t>
      </w:r>
      <w:r>
        <w:rPr>
          <w:i/>
          <w:spacing w:val="-11"/>
          <w:sz w:val="21"/>
        </w:rPr>
        <w:t> </w:t>
      </w:r>
      <w:r>
        <w:rPr>
          <w:i/>
          <w:sz w:val="21"/>
        </w:rPr>
        <w:t>Health</w:t>
      </w:r>
      <w:r>
        <w:rPr>
          <w:i/>
          <w:spacing w:val="-11"/>
          <w:sz w:val="21"/>
        </w:rPr>
        <w:t> </w:t>
      </w:r>
      <w:r>
        <w:rPr>
          <w:i/>
          <w:sz w:val="21"/>
        </w:rPr>
        <w:t>(Treatment</w:t>
      </w:r>
      <w:r>
        <w:rPr>
          <w:i/>
          <w:spacing w:val="-11"/>
          <w:sz w:val="21"/>
        </w:rPr>
        <w:t> </w:t>
      </w:r>
      <w:r>
        <w:rPr>
          <w:i/>
          <w:sz w:val="21"/>
        </w:rPr>
        <w:t>and</w:t>
      </w:r>
      <w:r>
        <w:rPr>
          <w:i/>
          <w:spacing w:val="-11"/>
          <w:sz w:val="21"/>
        </w:rPr>
        <w:t> </w:t>
      </w:r>
      <w:r>
        <w:rPr>
          <w:i/>
          <w:sz w:val="21"/>
        </w:rPr>
        <w:t>Care)</w:t>
      </w:r>
      <w:r>
        <w:rPr>
          <w:i/>
          <w:spacing w:val="-11"/>
          <w:sz w:val="21"/>
        </w:rPr>
        <w:t> </w:t>
      </w:r>
      <w:r>
        <w:rPr>
          <w:i/>
          <w:sz w:val="21"/>
        </w:rPr>
        <w:t>Amendment</w:t>
      </w:r>
      <w:r>
        <w:rPr>
          <w:i/>
          <w:spacing w:val="-10"/>
          <w:sz w:val="21"/>
        </w:rPr>
        <w:t> </w:t>
      </w:r>
      <w:r>
        <w:rPr>
          <w:i/>
          <w:sz w:val="21"/>
        </w:rPr>
        <w:t>Bill</w:t>
      </w:r>
      <w:r>
        <w:rPr>
          <w:i/>
          <w:spacing w:val="-11"/>
          <w:sz w:val="21"/>
        </w:rPr>
        <w:t> </w:t>
      </w:r>
      <w:r>
        <w:rPr>
          <w:i/>
          <w:sz w:val="21"/>
        </w:rPr>
        <w:t>2014</w:t>
      </w:r>
      <w:r>
        <w:rPr>
          <w:i/>
          <w:spacing w:val="-10"/>
          <w:sz w:val="21"/>
        </w:rPr>
        <w:t> </w:t>
      </w:r>
      <w:r>
        <w:rPr>
          <w:sz w:val="20"/>
        </w:rPr>
        <w:t>(2014);</w:t>
      </w:r>
      <w:r>
        <w:rPr>
          <w:spacing w:val="-7"/>
          <w:sz w:val="20"/>
        </w:rPr>
        <w:t> </w:t>
      </w:r>
      <w:r>
        <w:rPr>
          <w:sz w:val="20"/>
        </w:rPr>
        <w:t>NSW</w:t>
      </w:r>
      <w:r>
        <w:rPr>
          <w:spacing w:val="-7"/>
          <w:sz w:val="20"/>
        </w:rPr>
        <w:t> </w:t>
      </w:r>
      <w:r>
        <w:rPr>
          <w:sz w:val="20"/>
        </w:rPr>
        <w:t>Ministry</w:t>
      </w:r>
      <w:r>
        <w:rPr>
          <w:spacing w:val="-7"/>
          <w:sz w:val="20"/>
        </w:rPr>
        <w:t> </w:t>
      </w:r>
      <w:r>
        <w:rPr>
          <w:sz w:val="20"/>
        </w:rPr>
        <w:t>of</w:t>
      </w:r>
      <w:r>
        <w:rPr>
          <w:spacing w:val="-7"/>
          <w:sz w:val="20"/>
        </w:rPr>
        <w:t> </w:t>
      </w:r>
      <w:r>
        <w:rPr>
          <w:sz w:val="20"/>
        </w:rPr>
        <w:t>Health,</w:t>
      </w:r>
      <w:r>
        <w:rPr>
          <w:spacing w:val="-7"/>
          <w:sz w:val="20"/>
        </w:rPr>
        <w:t> </w:t>
      </w:r>
      <w:r>
        <w:rPr>
          <w:sz w:val="20"/>
        </w:rPr>
        <w:t>Review</w:t>
      </w:r>
      <w:r>
        <w:rPr>
          <w:spacing w:val="-7"/>
          <w:sz w:val="20"/>
        </w:rPr>
        <w:t> </w:t>
      </w:r>
      <w:r>
        <w:rPr>
          <w:sz w:val="20"/>
        </w:rPr>
        <w:t>of the NSW Mental Health Act 2007. Report for NSW Parliament: May 2013. Summary of Consultation Feedback and Advice (2013); Panayiotis Tylllis, The Review of the Mental Health Act 2009. A Report by the Chief Psychiatrist of South Australia (2014); </w:t>
      </w:r>
      <w:r>
        <w:rPr>
          <w:i/>
          <w:sz w:val="21"/>
        </w:rPr>
        <w:t>Explanatory Guide, Mental Health Bill </w:t>
      </w:r>
      <w:r>
        <w:rPr>
          <w:sz w:val="20"/>
        </w:rPr>
        <w:t>(Tas) </w:t>
      </w:r>
      <w:r>
        <w:rPr>
          <w:i/>
          <w:sz w:val="21"/>
        </w:rPr>
        <w:t>2011 (Exposure Draft) </w:t>
      </w:r>
      <w:r>
        <w:rPr>
          <w:sz w:val="20"/>
        </w:rPr>
        <w:t>(2011); State Government of Victoria, </w:t>
      </w:r>
      <w:r>
        <w:rPr>
          <w:i/>
          <w:sz w:val="21"/>
        </w:rPr>
        <w:t>Exposure Draft Mental Health Bill 2010. Explanatory</w:t>
      </w:r>
      <w:r>
        <w:rPr>
          <w:i/>
          <w:spacing w:val="-37"/>
          <w:sz w:val="21"/>
        </w:rPr>
        <w:t> </w:t>
      </w:r>
      <w:r>
        <w:rPr>
          <w:i/>
          <w:sz w:val="21"/>
        </w:rPr>
        <w:t>Guide</w:t>
      </w:r>
      <w:r>
        <w:rPr>
          <w:i/>
          <w:spacing w:val="-36"/>
          <w:sz w:val="21"/>
        </w:rPr>
        <w:t> </w:t>
      </w:r>
      <w:r>
        <w:rPr>
          <w:sz w:val="20"/>
        </w:rPr>
        <w:t>(2010);</w:t>
      </w:r>
      <w:r>
        <w:rPr>
          <w:spacing w:val="-33"/>
          <w:sz w:val="20"/>
        </w:rPr>
        <w:t> </w:t>
      </w:r>
      <w:r>
        <w:rPr>
          <w:i/>
          <w:sz w:val="21"/>
        </w:rPr>
        <w:t>Explanatory</w:t>
      </w:r>
      <w:r>
        <w:rPr>
          <w:i/>
          <w:spacing w:val="-37"/>
          <w:sz w:val="21"/>
        </w:rPr>
        <w:t> </w:t>
      </w:r>
      <w:r>
        <w:rPr>
          <w:i/>
          <w:sz w:val="21"/>
        </w:rPr>
        <w:t>Memorandum,</w:t>
      </w:r>
      <w:r>
        <w:rPr>
          <w:i/>
          <w:spacing w:val="-36"/>
          <w:sz w:val="21"/>
        </w:rPr>
        <w:t> </w:t>
      </w:r>
      <w:r>
        <w:rPr>
          <w:i/>
          <w:sz w:val="21"/>
        </w:rPr>
        <w:t>Mental</w:t>
      </w:r>
      <w:r>
        <w:rPr>
          <w:i/>
          <w:spacing w:val="-36"/>
          <w:sz w:val="21"/>
        </w:rPr>
        <w:t> </w:t>
      </w:r>
      <w:r>
        <w:rPr>
          <w:i/>
          <w:sz w:val="21"/>
        </w:rPr>
        <w:t>Health</w:t>
      </w:r>
      <w:r>
        <w:rPr>
          <w:i/>
          <w:spacing w:val="-36"/>
          <w:sz w:val="21"/>
        </w:rPr>
        <w:t> </w:t>
      </w:r>
      <w:r>
        <w:rPr>
          <w:i/>
          <w:sz w:val="21"/>
        </w:rPr>
        <w:t>Bill</w:t>
      </w:r>
      <w:r>
        <w:rPr>
          <w:i/>
          <w:spacing w:val="-36"/>
          <w:sz w:val="21"/>
        </w:rPr>
        <w:t> </w:t>
      </w:r>
      <w:r>
        <w:rPr>
          <w:i/>
          <w:sz w:val="21"/>
        </w:rPr>
        <w:t>2013</w:t>
      </w:r>
      <w:r>
        <w:rPr>
          <w:i/>
          <w:spacing w:val="-36"/>
          <w:sz w:val="21"/>
        </w:rPr>
        <w:t> </w:t>
      </w:r>
      <w:r>
        <w:rPr>
          <w:sz w:val="20"/>
        </w:rPr>
        <w:t>(WA)</w:t>
      </w:r>
      <w:r>
        <w:rPr>
          <w:spacing w:val="-33"/>
          <w:sz w:val="20"/>
        </w:rPr>
        <w:t> </w:t>
      </w:r>
      <w:r>
        <w:rPr>
          <w:sz w:val="20"/>
        </w:rPr>
        <w:t>(2013).</w:t>
      </w:r>
    </w:p>
    <w:p>
      <w:pPr>
        <w:spacing w:line="230" w:lineRule="auto" w:before="8"/>
        <w:ind w:left="232" w:right="117" w:hanging="113"/>
        <w:jc w:val="both"/>
        <w:rPr>
          <w:sz w:val="20"/>
        </w:rPr>
      </w:pPr>
      <w:bookmarkStart w:name="_bookmark5" w:id="7"/>
      <w:bookmarkEnd w:id="7"/>
      <w:r>
        <w:rPr/>
      </w:r>
      <w:r>
        <w:rPr>
          <w:position w:val="7"/>
          <w:sz w:val="13"/>
        </w:rPr>
        <w:t>6 </w:t>
      </w:r>
      <w:r>
        <w:rPr>
          <w:sz w:val="20"/>
        </w:rPr>
        <w:t>Sascha M Callaghan and Christopher Ryan, ‘An Evolving Revolution: Evaluating Australia’s Compliance with</w:t>
      </w:r>
      <w:r>
        <w:rPr>
          <w:spacing w:val="-13"/>
          <w:sz w:val="20"/>
        </w:rPr>
        <w:t> </w:t>
      </w:r>
      <w:r>
        <w:rPr>
          <w:sz w:val="20"/>
        </w:rPr>
        <w:t>the</w:t>
      </w:r>
      <w:r>
        <w:rPr>
          <w:spacing w:val="-13"/>
          <w:sz w:val="20"/>
        </w:rPr>
        <w:t> </w:t>
      </w:r>
      <w:r>
        <w:rPr>
          <w:sz w:val="20"/>
        </w:rPr>
        <w:t>Convention</w:t>
      </w:r>
      <w:r>
        <w:rPr>
          <w:spacing w:val="-13"/>
          <w:sz w:val="20"/>
        </w:rPr>
        <w:t> </w:t>
      </w:r>
      <w:r>
        <w:rPr>
          <w:sz w:val="20"/>
        </w:rPr>
        <w:t>on</w:t>
      </w:r>
      <w:r>
        <w:rPr>
          <w:spacing w:val="-13"/>
          <w:sz w:val="20"/>
        </w:rPr>
        <w:t> </w:t>
      </w:r>
      <w:r>
        <w:rPr>
          <w:sz w:val="20"/>
        </w:rPr>
        <w:t>the</w:t>
      </w:r>
      <w:r>
        <w:rPr>
          <w:spacing w:val="-14"/>
          <w:sz w:val="20"/>
        </w:rPr>
        <w:t> </w:t>
      </w:r>
      <w:r>
        <w:rPr>
          <w:sz w:val="20"/>
        </w:rPr>
        <w:t>Rights</w:t>
      </w:r>
      <w:r>
        <w:rPr>
          <w:spacing w:val="-12"/>
          <w:sz w:val="20"/>
        </w:rPr>
        <w:t> </w:t>
      </w:r>
      <w:r>
        <w:rPr>
          <w:sz w:val="20"/>
        </w:rPr>
        <w:t>of</w:t>
      </w:r>
      <w:r>
        <w:rPr>
          <w:spacing w:val="-13"/>
          <w:sz w:val="20"/>
        </w:rPr>
        <w:t> </w:t>
      </w:r>
      <w:r>
        <w:rPr>
          <w:sz w:val="20"/>
        </w:rPr>
        <w:t>Persons</w:t>
      </w:r>
      <w:r>
        <w:rPr>
          <w:spacing w:val="-12"/>
          <w:sz w:val="20"/>
        </w:rPr>
        <w:t> </w:t>
      </w:r>
      <w:r>
        <w:rPr>
          <w:sz w:val="20"/>
        </w:rPr>
        <w:t>with</w:t>
      </w:r>
      <w:r>
        <w:rPr>
          <w:spacing w:val="-13"/>
          <w:sz w:val="20"/>
        </w:rPr>
        <w:t> </w:t>
      </w:r>
      <w:r>
        <w:rPr>
          <w:sz w:val="20"/>
        </w:rPr>
        <w:t>Disabilities</w:t>
      </w:r>
      <w:r>
        <w:rPr>
          <w:spacing w:val="-12"/>
          <w:sz w:val="20"/>
        </w:rPr>
        <w:t> </w:t>
      </w:r>
      <w:r>
        <w:rPr>
          <w:sz w:val="20"/>
        </w:rPr>
        <w:t>in</w:t>
      </w:r>
      <w:r>
        <w:rPr>
          <w:spacing w:val="-13"/>
          <w:sz w:val="20"/>
        </w:rPr>
        <w:t> </w:t>
      </w:r>
      <w:r>
        <w:rPr>
          <w:sz w:val="20"/>
        </w:rPr>
        <w:t>Mental</w:t>
      </w:r>
      <w:r>
        <w:rPr>
          <w:spacing w:val="-13"/>
          <w:sz w:val="20"/>
        </w:rPr>
        <w:t> </w:t>
      </w:r>
      <w:r>
        <w:rPr>
          <w:sz w:val="20"/>
        </w:rPr>
        <w:t>Health</w:t>
      </w:r>
      <w:r>
        <w:rPr>
          <w:spacing w:val="-13"/>
          <w:sz w:val="20"/>
        </w:rPr>
        <w:t> </w:t>
      </w:r>
      <w:r>
        <w:rPr>
          <w:sz w:val="20"/>
        </w:rPr>
        <w:t>Law’</w:t>
      </w:r>
      <w:r>
        <w:rPr>
          <w:spacing w:val="-13"/>
          <w:sz w:val="20"/>
        </w:rPr>
        <w:t> </w:t>
      </w:r>
      <w:r>
        <w:rPr>
          <w:sz w:val="20"/>
        </w:rPr>
        <w:t>(2016)</w:t>
      </w:r>
      <w:r>
        <w:rPr>
          <w:spacing w:val="-13"/>
          <w:sz w:val="20"/>
        </w:rPr>
        <w:t> </w:t>
      </w:r>
      <w:r>
        <w:rPr>
          <w:sz w:val="20"/>
        </w:rPr>
        <w:t>39</w:t>
      </w:r>
      <w:r>
        <w:rPr>
          <w:spacing w:val="-11"/>
          <w:sz w:val="20"/>
        </w:rPr>
        <w:t> </w:t>
      </w:r>
      <w:r>
        <w:rPr>
          <w:i/>
          <w:sz w:val="21"/>
        </w:rPr>
        <w:t>University of</w:t>
      </w:r>
      <w:r>
        <w:rPr>
          <w:i/>
          <w:spacing w:val="-24"/>
          <w:sz w:val="21"/>
        </w:rPr>
        <w:t> </w:t>
      </w:r>
      <w:r>
        <w:rPr>
          <w:i/>
          <w:sz w:val="21"/>
        </w:rPr>
        <w:t>New</w:t>
      </w:r>
      <w:r>
        <w:rPr>
          <w:i/>
          <w:spacing w:val="-24"/>
          <w:sz w:val="21"/>
        </w:rPr>
        <w:t> </w:t>
      </w:r>
      <w:r>
        <w:rPr>
          <w:i/>
          <w:sz w:val="21"/>
        </w:rPr>
        <w:t>South</w:t>
      </w:r>
      <w:r>
        <w:rPr>
          <w:i/>
          <w:spacing w:val="-25"/>
          <w:sz w:val="21"/>
        </w:rPr>
        <w:t> </w:t>
      </w:r>
      <w:r>
        <w:rPr>
          <w:i/>
          <w:sz w:val="21"/>
        </w:rPr>
        <w:t>Wales</w:t>
      </w:r>
      <w:r>
        <w:rPr>
          <w:i/>
          <w:spacing w:val="-24"/>
          <w:sz w:val="21"/>
        </w:rPr>
        <w:t> </w:t>
      </w:r>
      <w:r>
        <w:rPr>
          <w:i/>
          <w:sz w:val="21"/>
        </w:rPr>
        <w:t>Law</w:t>
      </w:r>
      <w:r>
        <w:rPr>
          <w:i/>
          <w:spacing w:val="-24"/>
          <w:sz w:val="21"/>
        </w:rPr>
        <w:t> </w:t>
      </w:r>
      <w:r>
        <w:rPr>
          <w:i/>
          <w:sz w:val="21"/>
        </w:rPr>
        <w:t>Journal</w:t>
      </w:r>
      <w:r>
        <w:rPr>
          <w:i/>
          <w:spacing w:val="18"/>
          <w:sz w:val="21"/>
        </w:rPr>
        <w:t> </w:t>
      </w:r>
      <w:r>
        <w:rPr>
          <w:sz w:val="20"/>
        </w:rPr>
        <w:t>596.</w:t>
      </w:r>
    </w:p>
    <w:p>
      <w:pPr>
        <w:spacing w:line="232" w:lineRule="auto" w:before="6"/>
        <w:ind w:left="232" w:right="116" w:hanging="113"/>
        <w:jc w:val="both"/>
        <w:rPr>
          <w:sz w:val="20"/>
        </w:rPr>
      </w:pPr>
      <w:bookmarkStart w:name="_bookmark6" w:id="8"/>
      <w:bookmarkEnd w:id="8"/>
      <w:r>
        <w:rPr/>
      </w:r>
      <w:r>
        <w:rPr>
          <w:position w:val="7"/>
          <w:sz w:val="13"/>
        </w:rPr>
        <w:t>7 </w:t>
      </w:r>
      <w:r>
        <w:rPr>
          <w:sz w:val="20"/>
        </w:rPr>
        <w:t>These jurisdictions have incorporated a new criterion into the criteria that must be met to provide involuntary treatment that requires that the person lack decision-making capacity. See for example: </w:t>
      </w:r>
      <w:r>
        <w:rPr>
          <w:i/>
          <w:sz w:val="21"/>
        </w:rPr>
        <w:t>Mental</w:t>
      </w:r>
      <w:r>
        <w:rPr>
          <w:i/>
          <w:spacing w:val="-28"/>
          <w:sz w:val="21"/>
        </w:rPr>
        <w:t> </w:t>
      </w:r>
      <w:r>
        <w:rPr>
          <w:i/>
          <w:sz w:val="21"/>
        </w:rPr>
        <w:t>Health</w:t>
      </w:r>
      <w:r>
        <w:rPr>
          <w:i/>
          <w:spacing w:val="-29"/>
          <w:sz w:val="21"/>
        </w:rPr>
        <w:t> </w:t>
      </w:r>
      <w:r>
        <w:rPr>
          <w:i/>
          <w:sz w:val="21"/>
        </w:rPr>
        <w:t>Act</w:t>
      </w:r>
      <w:r>
        <w:rPr>
          <w:i/>
          <w:spacing w:val="-28"/>
          <w:sz w:val="21"/>
        </w:rPr>
        <w:t> </w:t>
      </w:r>
      <w:r>
        <w:rPr>
          <w:i/>
          <w:sz w:val="21"/>
        </w:rPr>
        <w:t>2016</w:t>
      </w:r>
      <w:r>
        <w:rPr>
          <w:i/>
          <w:spacing w:val="-28"/>
          <w:sz w:val="21"/>
        </w:rPr>
        <w:t> </w:t>
      </w:r>
      <w:r>
        <w:rPr>
          <w:sz w:val="20"/>
        </w:rPr>
        <w:t>(Qld)</w:t>
      </w:r>
      <w:r>
        <w:rPr>
          <w:spacing w:val="-25"/>
          <w:sz w:val="20"/>
        </w:rPr>
        <w:t> </w:t>
      </w:r>
      <w:r>
        <w:rPr>
          <w:sz w:val="20"/>
        </w:rPr>
        <w:t>s</w:t>
      </w:r>
      <w:r>
        <w:rPr>
          <w:spacing w:val="-25"/>
          <w:sz w:val="20"/>
        </w:rPr>
        <w:t> </w:t>
      </w:r>
      <w:r>
        <w:rPr>
          <w:sz w:val="20"/>
        </w:rPr>
        <w:t>12(1)(b);</w:t>
      </w:r>
      <w:r>
        <w:rPr>
          <w:spacing w:val="-25"/>
          <w:sz w:val="20"/>
        </w:rPr>
        <w:t> </w:t>
      </w:r>
      <w:r>
        <w:rPr>
          <w:i/>
          <w:sz w:val="21"/>
        </w:rPr>
        <w:t>Mental</w:t>
      </w:r>
      <w:r>
        <w:rPr>
          <w:i/>
          <w:spacing w:val="-29"/>
          <w:sz w:val="21"/>
        </w:rPr>
        <w:t> </w:t>
      </w:r>
      <w:r>
        <w:rPr>
          <w:i/>
          <w:sz w:val="21"/>
        </w:rPr>
        <w:t>Health</w:t>
      </w:r>
      <w:r>
        <w:rPr>
          <w:i/>
          <w:spacing w:val="-28"/>
          <w:sz w:val="21"/>
        </w:rPr>
        <w:t> </w:t>
      </w:r>
      <w:r>
        <w:rPr>
          <w:i/>
          <w:sz w:val="21"/>
        </w:rPr>
        <w:t>Act</w:t>
      </w:r>
      <w:r>
        <w:rPr>
          <w:i/>
          <w:spacing w:val="-28"/>
          <w:sz w:val="21"/>
        </w:rPr>
        <w:t> </w:t>
      </w:r>
      <w:r>
        <w:rPr>
          <w:i/>
          <w:sz w:val="21"/>
        </w:rPr>
        <w:t>2009</w:t>
      </w:r>
      <w:r>
        <w:rPr>
          <w:i/>
          <w:spacing w:val="-28"/>
          <w:sz w:val="21"/>
        </w:rPr>
        <w:t> </w:t>
      </w:r>
      <w:r>
        <w:rPr>
          <w:sz w:val="20"/>
        </w:rPr>
        <w:t>(SA)</w:t>
      </w:r>
      <w:r>
        <w:rPr>
          <w:spacing w:val="-25"/>
          <w:sz w:val="20"/>
        </w:rPr>
        <w:t> </w:t>
      </w:r>
      <w:r>
        <w:rPr>
          <w:sz w:val="20"/>
        </w:rPr>
        <w:t>s</w:t>
      </w:r>
      <w:r>
        <w:rPr>
          <w:spacing w:val="-25"/>
          <w:sz w:val="20"/>
        </w:rPr>
        <w:t> </w:t>
      </w:r>
      <w:r>
        <w:rPr>
          <w:sz w:val="20"/>
        </w:rPr>
        <w:t>21(1)(ba),</w:t>
      </w:r>
      <w:r>
        <w:rPr>
          <w:spacing w:val="-25"/>
          <w:sz w:val="20"/>
        </w:rPr>
        <w:t> </w:t>
      </w:r>
      <w:r>
        <w:rPr>
          <w:sz w:val="20"/>
        </w:rPr>
        <w:t>as</w:t>
      </w:r>
      <w:r>
        <w:rPr>
          <w:spacing w:val="-25"/>
          <w:sz w:val="20"/>
        </w:rPr>
        <w:t> </w:t>
      </w:r>
      <w:r>
        <w:rPr>
          <w:sz w:val="20"/>
        </w:rPr>
        <w:t>inserted</w:t>
      </w:r>
      <w:r>
        <w:rPr>
          <w:spacing w:val="-26"/>
          <w:sz w:val="20"/>
        </w:rPr>
        <w:t> </w:t>
      </w:r>
      <w:r>
        <w:rPr>
          <w:sz w:val="20"/>
        </w:rPr>
        <w:t>by,</w:t>
      </w:r>
      <w:r>
        <w:rPr>
          <w:spacing w:val="-24"/>
          <w:sz w:val="20"/>
        </w:rPr>
        <w:t> </w:t>
      </w:r>
      <w:r>
        <w:rPr>
          <w:i/>
          <w:sz w:val="21"/>
        </w:rPr>
        <w:t>Mental Health</w:t>
      </w:r>
      <w:r>
        <w:rPr>
          <w:i/>
          <w:spacing w:val="-35"/>
          <w:sz w:val="21"/>
        </w:rPr>
        <w:t> </w:t>
      </w:r>
      <w:r>
        <w:rPr>
          <w:i/>
          <w:sz w:val="21"/>
        </w:rPr>
        <w:t>(Review)</w:t>
      </w:r>
      <w:r>
        <w:rPr>
          <w:i/>
          <w:spacing w:val="-34"/>
          <w:sz w:val="21"/>
        </w:rPr>
        <w:t> </w:t>
      </w:r>
      <w:r>
        <w:rPr>
          <w:i/>
          <w:sz w:val="21"/>
        </w:rPr>
        <w:t>Amendment</w:t>
      </w:r>
      <w:r>
        <w:rPr>
          <w:i/>
          <w:spacing w:val="-34"/>
          <w:sz w:val="21"/>
        </w:rPr>
        <w:t> </w:t>
      </w:r>
      <w:r>
        <w:rPr>
          <w:i/>
          <w:sz w:val="21"/>
        </w:rPr>
        <w:t>Act</w:t>
      </w:r>
      <w:r>
        <w:rPr>
          <w:i/>
          <w:spacing w:val="-34"/>
          <w:sz w:val="21"/>
        </w:rPr>
        <w:t> </w:t>
      </w:r>
      <w:r>
        <w:rPr>
          <w:i/>
          <w:sz w:val="21"/>
        </w:rPr>
        <w:t>2016</w:t>
      </w:r>
      <w:r>
        <w:rPr>
          <w:i/>
          <w:spacing w:val="-34"/>
          <w:sz w:val="21"/>
        </w:rPr>
        <w:t> </w:t>
      </w:r>
      <w:r>
        <w:rPr>
          <w:sz w:val="20"/>
        </w:rPr>
        <w:t>(SA)</w:t>
      </w:r>
      <w:r>
        <w:rPr>
          <w:spacing w:val="-31"/>
          <w:sz w:val="20"/>
        </w:rPr>
        <w:t> </w:t>
      </w:r>
      <w:r>
        <w:rPr>
          <w:sz w:val="20"/>
        </w:rPr>
        <w:t>s</w:t>
      </w:r>
      <w:r>
        <w:rPr>
          <w:spacing w:val="-31"/>
          <w:sz w:val="20"/>
        </w:rPr>
        <w:t> </w:t>
      </w:r>
      <w:r>
        <w:rPr>
          <w:sz w:val="20"/>
        </w:rPr>
        <w:t>17(3);</w:t>
      </w:r>
      <w:r>
        <w:rPr>
          <w:spacing w:val="-31"/>
          <w:sz w:val="20"/>
        </w:rPr>
        <w:t> </w:t>
      </w:r>
      <w:r>
        <w:rPr>
          <w:i/>
          <w:sz w:val="21"/>
        </w:rPr>
        <w:t>Mental</w:t>
      </w:r>
      <w:r>
        <w:rPr>
          <w:i/>
          <w:spacing w:val="-34"/>
          <w:sz w:val="21"/>
        </w:rPr>
        <w:t> </w:t>
      </w:r>
      <w:r>
        <w:rPr>
          <w:i/>
          <w:sz w:val="21"/>
        </w:rPr>
        <w:t>Health</w:t>
      </w:r>
      <w:r>
        <w:rPr>
          <w:i/>
          <w:spacing w:val="-35"/>
          <w:sz w:val="21"/>
        </w:rPr>
        <w:t> </w:t>
      </w:r>
      <w:r>
        <w:rPr>
          <w:i/>
          <w:sz w:val="21"/>
        </w:rPr>
        <w:t>Act</w:t>
      </w:r>
      <w:r>
        <w:rPr>
          <w:i/>
          <w:spacing w:val="-34"/>
          <w:sz w:val="21"/>
        </w:rPr>
        <w:t> </w:t>
      </w:r>
      <w:r>
        <w:rPr>
          <w:i/>
          <w:sz w:val="21"/>
        </w:rPr>
        <w:t>2013</w:t>
      </w:r>
      <w:r>
        <w:rPr>
          <w:i/>
          <w:spacing w:val="-34"/>
          <w:sz w:val="21"/>
        </w:rPr>
        <w:t> </w:t>
      </w:r>
      <w:r>
        <w:rPr>
          <w:sz w:val="20"/>
        </w:rPr>
        <w:t>(Tas)</w:t>
      </w:r>
      <w:r>
        <w:rPr>
          <w:spacing w:val="-31"/>
          <w:sz w:val="20"/>
        </w:rPr>
        <w:t> </w:t>
      </w:r>
      <w:r>
        <w:rPr>
          <w:sz w:val="20"/>
        </w:rPr>
        <w:t>s</w:t>
      </w:r>
      <w:r>
        <w:rPr>
          <w:spacing w:val="-31"/>
          <w:sz w:val="20"/>
        </w:rPr>
        <w:t> </w:t>
      </w:r>
      <w:r>
        <w:rPr>
          <w:sz w:val="20"/>
        </w:rPr>
        <w:t>40(e);</w:t>
      </w:r>
      <w:r>
        <w:rPr>
          <w:spacing w:val="-31"/>
          <w:sz w:val="20"/>
        </w:rPr>
        <w:t> </w:t>
      </w:r>
      <w:r>
        <w:rPr>
          <w:i/>
          <w:sz w:val="21"/>
        </w:rPr>
        <w:t>Mental</w:t>
      </w:r>
      <w:r>
        <w:rPr>
          <w:i/>
          <w:spacing w:val="-34"/>
          <w:sz w:val="21"/>
        </w:rPr>
        <w:t> </w:t>
      </w:r>
      <w:r>
        <w:rPr>
          <w:i/>
          <w:sz w:val="21"/>
        </w:rPr>
        <w:t>Health Act</w:t>
      </w:r>
      <w:r>
        <w:rPr>
          <w:i/>
          <w:spacing w:val="-15"/>
          <w:sz w:val="21"/>
        </w:rPr>
        <w:t> </w:t>
      </w:r>
      <w:r>
        <w:rPr>
          <w:i/>
          <w:sz w:val="21"/>
        </w:rPr>
        <w:t>2014</w:t>
      </w:r>
      <w:r>
        <w:rPr>
          <w:i/>
          <w:spacing w:val="-15"/>
          <w:sz w:val="21"/>
        </w:rPr>
        <w:t> </w:t>
      </w:r>
      <w:r>
        <w:rPr>
          <w:sz w:val="20"/>
        </w:rPr>
        <w:t>(WA)</w:t>
      </w:r>
      <w:r>
        <w:rPr>
          <w:spacing w:val="-12"/>
          <w:sz w:val="20"/>
        </w:rPr>
        <w:t> </w:t>
      </w:r>
      <w:r>
        <w:rPr>
          <w:sz w:val="20"/>
        </w:rPr>
        <w:t>s</w:t>
      </w:r>
      <w:r>
        <w:rPr>
          <w:spacing w:val="-11"/>
          <w:sz w:val="20"/>
        </w:rPr>
        <w:t> </w:t>
      </w:r>
      <w:r>
        <w:rPr>
          <w:sz w:val="20"/>
        </w:rPr>
        <w:t>25(1)(c).</w:t>
      </w:r>
    </w:p>
    <w:p>
      <w:pPr>
        <w:spacing w:line="235" w:lineRule="auto" w:before="2"/>
        <w:ind w:left="231" w:right="117" w:hanging="111"/>
        <w:jc w:val="both"/>
        <w:rPr>
          <w:sz w:val="20"/>
        </w:rPr>
      </w:pPr>
      <w:bookmarkStart w:name="_bookmark7" w:id="9"/>
      <w:bookmarkEnd w:id="9"/>
      <w:r>
        <w:rPr/>
      </w:r>
      <w:r>
        <w:rPr>
          <w:position w:val="7"/>
          <w:sz w:val="13"/>
        </w:rPr>
        <w:t>8</w:t>
      </w:r>
      <w:r>
        <w:rPr>
          <w:spacing w:val="-4"/>
          <w:position w:val="7"/>
          <w:sz w:val="13"/>
        </w:rPr>
        <w:t> </w:t>
      </w:r>
      <w:r>
        <w:rPr>
          <w:sz w:val="20"/>
        </w:rPr>
        <w:t>New</w:t>
      </w:r>
      <w:r>
        <w:rPr>
          <w:spacing w:val="-6"/>
          <w:sz w:val="20"/>
        </w:rPr>
        <w:t> </w:t>
      </w:r>
      <w:r>
        <w:rPr>
          <w:sz w:val="20"/>
        </w:rPr>
        <w:t>South</w:t>
      </w:r>
      <w:r>
        <w:rPr>
          <w:spacing w:val="-6"/>
          <w:sz w:val="20"/>
        </w:rPr>
        <w:t> </w:t>
      </w:r>
      <w:r>
        <w:rPr>
          <w:sz w:val="20"/>
        </w:rPr>
        <w:t>Wales,</w:t>
      </w:r>
      <w:r>
        <w:rPr>
          <w:spacing w:val="-5"/>
          <w:sz w:val="20"/>
        </w:rPr>
        <w:t> </w:t>
      </w:r>
      <w:r>
        <w:rPr>
          <w:sz w:val="20"/>
        </w:rPr>
        <w:t>for</w:t>
      </w:r>
      <w:r>
        <w:rPr>
          <w:spacing w:val="-6"/>
          <w:sz w:val="20"/>
        </w:rPr>
        <w:t> </w:t>
      </w:r>
      <w:r>
        <w:rPr>
          <w:sz w:val="20"/>
        </w:rPr>
        <w:t>example,</w:t>
      </w:r>
      <w:r>
        <w:rPr>
          <w:spacing w:val="-5"/>
          <w:sz w:val="20"/>
        </w:rPr>
        <w:t> </w:t>
      </w:r>
      <w:r>
        <w:rPr>
          <w:sz w:val="20"/>
        </w:rPr>
        <w:t>inserted</w:t>
      </w:r>
      <w:r>
        <w:rPr>
          <w:spacing w:val="-6"/>
          <w:sz w:val="20"/>
        </w:rPr>
        <w:t> </w:t>
      </w:r>
      <w:r>
        <w:rPr>
          <w:sz w:val="20"/>
        </w:rPr>
        <w:t>a</w:t>
      </w:r>
      <w:r>
        <w:rPr>
          <w:spacing w:val="-6"/>
          <w:sz w:val="20"/>
        </w:rPr>
        <w:t> </w:t>
      </w:r>
      <w:r>
        <w:rPr>
          <w:sz w:val="20"/>
        </w:rPr>
        <w:t>new</w:t>
      </w:r>
      <w:r>
        <w:rPr>
          <w:spacing w:val="-6"/>
          <w:sz w:val="20"/>
        </w:rPr>
        <w:t> </w:t>
      </w:r>
      <w:r>
        <w:rPr>
          <w:sz w:val="20"/>
        </w:rPr>
        <w:t>mental</w:t>
      </w:r>
      <w:r>
        <w:rPr>
          <w:spacing w:val="-6"/>
          <w:sz w:val="20"/>
        </w:rPr>
        <w:t> </w:t>
      </w:r>
      <w:r>
        <w:rPr>
          <w:sz w:val="20"/>
        </w:rPr>
        <w:t>health</w:t>
      </w:r>
      <w:r>
        <w:rPr>
          <w:spacing w:val="-6"/>
          <w:sz w:val="20"/>
        </w:rPr>
        <w:t> </w:t>
      </w:r>
      <w:r>
        <w:rPr>
          <w:sz w:val="20"/>
        </w:rPr>
        <w:t>principle</w:t>
      </w:r>
      <w:r>
        <w:rPr>
          <w:spacing w:val="-6"/>
          <w:sz w:val="20"/>
        </w:rPr>
        <w:t> </w:t>
      </w:r>
      <w:r>
        <w:rPr>
          <w:sz w:val="20"/>
        </w:rPr>
        <w:t>into</w:t>
      </w:r>
      <w:r>
        <w:rPr>
          <w:spacing w:val="-6"/>
          <w:sz w:val="20"/>
        </w:rPr>
        <w:t> </w:t>
      </w:r>
      <w:r>
        <w:rPr>
          <w:sz w:val="20"/>
        </w:rPr>
        <w:t>its</w:t>
      </w:r>
      <w:r>
        <w:rPr>
          <w:spacing w:val="-5"/>
          <w:sz w:val="20"/>
        </w:rPr>
        <w:t> </w:t>
      </w:r>
      <w:r>
        <w:rPr>
          <w:sz w:val="20"/>
        </w:rPr>
        <w:t>Act</w:t>
      </w:r>
      <w:r>
        <w:rPr>
          <w:spacing w:val="-6"/>
          <w:sz w:val="20"/>
        </w:rPr>
        <w:t> </w:t>
      </w:r>
      <w:r>
        <w:rPr>
          <w:sz w:val="20"/>
        </w:rPr>
        <w:t>requiring</w:t>
      </w:r>
      <w:r>
        <w:rPr>
          <w:spacing w:val="-5"/>
          <w:sz w:val="20"/>
        </w:rPr>
        <w:t> </w:t>
      </w:r>
      <w:r>
        <w:rPr>
          <w:sz w:val="20"/>
        </w:rPr>
        <w:t>clinicians</w:t>
      </w:r>
      <w:r>
        <w:rPr>
          <w:spacing w:val="-5"/>
          <w:sz w:val="20"/>
        </w:rPr>
        <w:t> </w:t>
      </w:r>
      <w:r>
        <w:rPr>
          <w:sz w:val="20"/>
        </w:rPr>
        <w:t>to make</w:t>
      </w:r>
      <w:r>
        <w:rPr>
          <w:spacing w:val="-5"/>
          <w:sz w:val="20"/>
        </w:rPr>
        <w:t> </w:t>
      </w:r>
      <w:r>
        <w:rPr>
          <w:sz w:val="20"/>
        </w:rPr>
        <w:t>“every</w:t>
      </w:r>
      <w:r>
        <w:rPr>
          <w:spacing w:val="-6"/>
          <w:sz w:val="20"/>
        </w:rPr>
        <w:t> </w:t>
      </w:r>
      <w:r>
        <w:rPr>
          <w:sz w:val="20"/>
        </w:rPr>
        <w:t>effort</w:t>
      </w:r>
      <w:r>
        <w:rPr>
          <w:spacing w:val="-4"/>
          <w:sz w:val="20"/>
        </w:rPr>
        <w:t> </w:t>
      </w:r>
      <w:r>
        <w:rPr>
          <w:sz w:val="20"/>
        </w:rPr>
        <w:t>that</w:t>
      </w:r>
      <w:r>
        <w:rPr>
          <w:spacing w:val="-5"/>
          <w:sz w:val="20"/>
        </w:rPr>
        <w:t> </w:t>
      </w:r>
      <w:r>
        <w:rPr>
          <w:sz w:val="20"/>
        </w:rPr>
        <w:t>is</w:t>
      </w:r>
      <w:r>
        <w:rPr>
          <w:spacing w:val="-4"/>
          <w:sz w:val="20"/>
        </w:rPr>
        <w:t> </w:t>
      </w:r>
      <w:r>
        <w:rPr>
          <w:sz w:val="20"/>
        </w:rPr>
        <w:t>reasonably</w:t>
      </w:r>
      <w:r>
        <w:rPr>
          <w:spacing w:val="-5"/>
          <w:sz w:val="20"/>
        </w:rPr>
        <w:t> </w:t>
      </w:r>
      <w:r>
        <w:rPr>
          <w:sz w:val="20"/>
        </w:rPr>
        <w:t>practicable”</w:t>
      </w:r>
      <w:r>
        <w:rPr>
          <w:spacing w:val="-5"/>
          <w:sz w:val="20"/>
        </w:rPr>
        <w:t> </w:t>
      </w:r>
      <w:r>
        <w:rPr>
          <w:sz w:val="20"/>
        </w:rPr>
        <w:t>to</w:t>
      </w:r>
      <w:r>
        <w:rPr>
          <w:spacing w:val="-6"/>
          <w:sz w:val="20"/>
        </w:rPr>
        <w:t> </w:t>
      </w:r>
      <w:r>
        <w:rPr>
          <w:sz w:val="20"/>
        </w:rPr>
        <w:t>monitor</w:t>
      </w:r>
      <w:r>
        <w:rPr>
          <w:spacing w:val="-5"/>
          <w:sz w:val="20"/>
        </w:rPr>
        <w:t> </w:t>
      </w:r>
      <w:r>
        <w:rPr>
          <w:sz w:val="20"/>
        </w:rPr>
        <w:t>patients’</w:t>
      </w:r>
      <w:r>
        <w:rPr>
          <w:spacing w:val="-5"/>
          <w:sz w:val="20"/>
        </w:rPr>
        <w:t> </w:t>
      </w:r>
      <w:r>
        <w:rPr>
          <w:sz w:val="20"/>
        </w:rPr>
        <w:t>capacity</w:t>
      </w:r>
      <w:r>
        <w:rPr>
          <w:spacing w:val="-5"/>
          <w:sz w:val="20"/>
        </w:rPr>
        <w:t> </w:t>
      </w:r>
      <w:r>
        <w:rPr>
          <w:sz w:val="20"/>
        </w:rPr>
        <w:t>to</w:t>
      </w:r>
      <w:r>
        <w:rPr>
          <w:spacing w:val="-4"/>
          <w:sz w:val="20"/>
        </w:rPr>
        <w:t> </w:t>
      </w:r>
      <w:r>
        <w:rPr>
          <w:sz w:val="20"/>
        </w:rPr>
        <w:t>consent</w:t>
      </w:r>
      <w:r>
        <w:rPr>
          <w:spacing w:val="-6"/>
          <w:sz w:val="20"/>
        </w:rPr>
        <w:t> </w:t>
      </w:r>
      <w:r>
        <w:rPr>
          <w:sz w:val="20"/>
        </w:rPr>
        <w:t>and</w:t>
      </w:r>
      <w:r>
        <w:rPr>
          <w:spacing w:val="-5"/>
          <w:sz w:val="20"/>
        </w:rPr>
        <w:t> </w:t>
      </w:r>
      <w:r>
        <w:rPr>
          <w:sz w:val="20"/>
        </w:rPr>
        <w:t>to</w:t>
      </w:r>
      <w:r>
        <w:rPr>
          <w:spacing w:val="-4"/>
          <w:sz w:val="20"/>
        </w:rPr>
        <w:t> </w:t>
      </w:r>
      <w:r>
        <w:rPr>
          <w:sz w:val="20"/>
        </w:rPr>
        <w:t>obtain consent</w:t>
      </w:r>
      <w:r>
        <w:rPr>
          <w:spacing w:val="-8"/>
          <w:sz w:val="20"/>
        </w:rPr>
        <w:t> </w:t>
      </w:r>
      <w:r>
        <w:rPr>
          <w:sz w:val="20"/>
        </w:rPr>
        <w:t>when</w:t>
      </w:r>
      <w:r>
        <w:rPr>
          <w:spacing w:val="-8"/>
          <w:sz w:val="20"/>
        </w:rPr>
        <w:t> </w:t>
      </w:r>
      <w:r>
        <w:rPr>
          <w:sz w:val="20"/>
        </w:rPr>
        <w:t>developing</w:t>
      </w:r>
      <w:r>
        <w:rPr>
          <w:spacing w:val="-9"/>
          <w:sz w:val="20"/>
        </w:rPr>
        <w:t> </w:t>
      </w:r>
      <w:r>
        <w:rPr>
          <w:sz w:val="20"/>
        </w:rPr>
        <w:t>treatment</w:t>
      </w:r>
      <w:r>
        <w:rPr>
          <w:spacing w:val="-6"/>
          <w:sz w:val="20"/>
        </w:rPr>
        <w:t> </w:t>
      </w:r>
      <w:r>
        <w:rPr>
          <w:sz w:val="20"/>
        </w:rPr>
        <w:t>plans:</w:t>
      </w:r>
      <w:r>
        <w:rPr>
          <w:spacing w:val="-6"/>
          <w:sz w:val="20"/>
        </w:rPr>
        <w:t> </w:t>
      </w:r>
      <w:r>
        <w:rPr>
          <w:i/>
          <w:sz w:val="21"/>
        </w:rPr>
        <w:t>Mental</w:t>
      </w:r>
      <w:r>
        <w:rPr>
          <w:i/>
          <w:spacing w:val="-12"/>
          <w:sz w:val="21"/>
        </w:rPr>
        <w:t> </w:t>
      </w:r>
      <w:r>
        <w:rPr>
          <w:i/>
          <w:sz w:val="21"/>
        </w:rPr>
        <w:t>Health</w:t>
      </w:r>
      <w:r>
        <w:rPr>
          <w:i/>
          <w:spacing w:val="-10"/>
          <w:sz w:val="21"/>
        </w:rPr>
        <w:t> </w:t>
      </w:r>
      <w:r>
        <w:rPr>
          <w:i/>
          <w:sz w:val="21"/>
        </w:rPr>
        <w:t>Act</w:t>
      </w:r>
      <w:r>
        <w:rPr>
          <w:i/>
          <w:spacing w:val="-10"/>
          <w:sz w:val="21"/>
        </w:rPr>
        <w:t> </w:t>
      </w:r>
      <w:r>
        <w:rPr>
          <w:i/>
          <w:sz w:val="21"/>
        </w:rPr>
        <w:t>2007</w:t>
      </w:r>
      <w:r>
        <w:rPr>
          <w:i/>
          <w:spacing w:val="-11"/>
          <w:sz w:val="21"/>
        </w:rPr>
        <w:t> </w:t>
      </w:r>
      <w:r>
        <w:rPr>
          <w:sz w:val="20"/>
        </w:rPr>
        <w:t>(NSW)</w:t>
      </w:r>
      <w:r>
        <w:rPr>
          <w:spacing w:val="-8"/>
          <w:sz w:val="20"/>
        </w:rPr>
        <w:t> </w:t>
      </w:r>
      <w:r>
        <w:rPr>
          <w:sz w:val="20"/>
        </w:rPr>
        <w:t>s</w:t>
      </w:r>
      <w:r>
        <w:rPr>
          <w:spacing w:val="-6"/>
          <w:sz w:val="20"/>
        </w:rPr>
        <w:t> </w:t>
      </w:r>
      <w:r>
        <w:rPr>
          <w:sz w:val="20"/>
        </w:rPr>
        <w:t>68(h1);</w:t>
      </w:r>
      <w:r>
        <w:rPr>
          <w:spacing w:val="-7"/>
          <w:sz w:val="20"/>
        </w:rPr>
        <w:t> </w:t>
      </w:r>
      <w:r>
        <w:rPr>
          <w:sz w:val="20"/>
        </w:rPr>
        <w:t>Christopher</w:t>
      </w:r>
      <w:r>
        <w:rPr>
          <w:spacing w:val="-7"/>
          <w:sz w:val="20"/>
        </w:rPr>
        <w:t> </w:t>
      </w:r>
      <w:r>
        <w:rPr>
          <w:sz w:val="20"/>
        </w:rPr>
        <w:t>James Ryan and Sascha Callaghan, 'The Impact on Clinical Practice of the 2015 Reforms to the NSW Mental Health</w:t>
      </w:r>
      <w:r>
        <w:rPr>
          <w:spacing w:val="-21"/>
          <w:sz w:val="20"/>
        </w:rPr>
        <w:t> </w:t>
      </w:r>
      <w:r>
        <w:rPr>
          <w:sz w:val="20"/>
        </w:rPr>
        <w:t>Act'</w:t>
      </w:r>
      <w:r>
        <w:rPr>
          <w:spacing w:val="-21"/>
          <w:sz w:val="20"/>
        </w:rPr>
        <w:t> </w:t>
      </w:r>
      <w:r>
        <w:rPr>
          <w:sz w:val="20"/>
        </w:rPr>
        <w:t>(2017)</w:t>
      </w:r>
      <w:r>
        <w:rPr>
          <w:spacing w:val="-21"/>
          <w:sz w:val="20"/>
        </w:rPr>
        <w:t> </w:t>
      </w:r>
      <w:r>
        <w:rPr>
          <w:sz w:val="20"/>
        </w:rPr>
        <w:t>25</w:t>
      </w:r>
      <w:r>
        <w:rPr>
          <w:spacing w:val="-20"/>
          <w:sz w:val="20"/>
        </w:rPr>
        <w:t> </w:t>
      </w:r>
      <w:r>
        <w:rPr>
          <w:i/>
          <w:sz w:val="21"/>
        </w:rPr>
        <w:t>Australasian</w:t>
      </w:r>
      <w:r>
        <w:rPr>
          <w:i/>
          <w:spacing w:val="-24"/>
          <w:sz w:val="21"/>
        </w:rPr>
        <w:t> </w:t>
      </w:r>
      <w:r>
        <w:rPr>
          <w:i/>
          <w:sz w:val="21"/>
        </w:rPr>
        <w:t>Psychiatry</w:t>
      </w:r>
      <w:r>
        <w:rPr>
          <w:i/>
          <w:spacing w:val="-24"/>
          <w:sz w:val="21"/>
        </w:rPr>
        <w:t> </w:t>
      </w:r>
      <w:r>
        <w:rPr>
          <w:sz w:val="20"/>
        </w:rPr>
        <w:t>43.</w:t>
      </w:r>
    </w:p>
    <w:p>
      <w:pPr>
        <w:spacing w:after="0" w:line="235" w:lineRule="auto"/>
        <w:jc w:val="both"/>
        <w:rPr>
          <w:sz w:val="20"/>
        </w:rPr>
        <w:sectPr>
          <w:pgSz w:w="11910" w:h="16840"/>
          <w:pgMar w:header="763" w:footer="1025" w:top="980" w:bottom="1220" w:left="1220" w:right="1200"/>
        </w:sectPr>
      </w:pPr>
    </w:p>
    <w:p>
      <w:pPr>
        <w:pStyle w:val="BodyText"/>
        <w:spacing w:before="4"/>
        <w:rPr>
          <w:sz w:val="21"/>
        </w:rPr>
      </w:pPr>
    </w:p>
    <w:p>
      <w:pPr>
        <w:pStyle w:val="BodyText"/>
        <w:spacing w:before="100"/>
        <w:ind w:left="120" w:right="230"/>
        <w:jc w:val="both"/>
        <w:rPr>
          <w:sz w:val="16"/>
        </w:rPr>
      </w:pPr>
      <w:r>
        <w:rPr/>
        <w:t>treatment orders, retain decision-making capacity relevant to some decisions about their treatment.</w:t>
      </w:r>
      <w:hyperlink w:history="true" w:anchor="_bookmark8">
        <w:r>
          <w:rPr>
            <w:position w:val="8"/>
            <w:sz w:val="16"/>
          </w:rPr>
          <w:t>9 </w:t>
        </w:r>
      </w:hyperlink>
      <w:r>
        <w:rPr/>
        <w:t>This is a question of concern for both those who have capacity and who</w:t>
      </w:r>
      <w:r>
        <w:rPr>
          <w:spacing w:val="-7"/>
        </w:rPr>
        <w:t> </w:t>
      </w:r>
      <w:r>
        <w:rPr/>
        <w:t>express</w:t>
      </w:r>
      <w:r>
        <w:rPr>
          <w:spacing w:val="-8"/>
        </w:rPr>
        <w:t> </w:t>
      </w:r>
      <w:r>
        <w:rPr/>
        <w:t>a</w:t>
      </w:r>
      <w:r>
        <w:rPr>
          <w:spacing w:val="-9"/>
        </w:rPr>
        <w:t> </w:t>
      </w:r>
      <w:r>
        <w:rPr/>
        <w:t>desire</w:t>
      </w:r>
      <w:r>
        <w:rPr>
          <w:spacing w:val="-8"/>
        </w:rPr>
        <w:t> </w:t>
      </w:r>
      <w:r>
        <w:rPr/>
        <w:t>to</w:t>
      </w:r>
      <w:r>
        <w:rPr>
          <w:spacing w:val="-7"/>
        </w:rPr>
        <w:t> </w:t>
      </w:r>
      <w:r>
        <w:rPr/>
        <w:t>refuse</w:t>
      </w:r>
      <w:r>
        <w:rPr>
          <w:spacing w:val="-8"/>
        </w:rPr>
        <w:t> </w:t>
      </w:r>
      <w:r>
        <w:rPr/>
        <w:t>treatment,</w:t>
      </w:r>
      <w:r>
        <w:rPr>
          <w:spacing w:val="-9"/>
        </w:rPr>
        <w:t> </w:t>
      </w:r>
      <w:r>
        <w:rPr/>
        <w:t>and</w:t>
      </w:r>
      <w:r>
        <w:rPr>
          <w:spacing w:val="-7"/>
        </w:rPr>
        <w:t> </w:t>
      </w:r>
      <w:r>
        <w:rPr/>
        <w:t>those</w:t>
      </w:r>
      <w:r>
        <w:rPr>
          <w:spacing w:val="-8"/>
        </w:rPr>
        <w:t> </w:t>
      </w:r>
      <w:r>
        <w:rPr/>
        <w:t>who</w:t>
      </w:r>
      <w:r>
        <w:rPr>
          <w:spacing w:val="-9"/>
        </w:rPr>
        <w:t> </w:t>
      </w:r>
      <w:r>
        <w:rPr/>
        <w:t>do</w:t>
      </w:r>
      <w:r>
        <w:rPr>
          <w:spacing w:val="-9"/>
        </w:rPr>
        <w:t> </w:t>
      </w:r>
      <w:r>
        <w:rPr/>
        <w:t>not</w:t>
      </w:r>
      <w:r>
        <w:rPr>
          <w:spacing w:val="-9"/>
        </w:rPr>
        <w:t> </w:t>
      </w:r>
      <w:r>
        <w:rPr/>
        <w:t>have</w:t>
      </w:r>
      <w:r>
        <w:rPr>
          <w:spacing w:val="-8"/>
        </w:rPr>
        <w:t> </w:t>
      </w:r>
      <w:r>
        <w:rPr/>
        <w:t>capacity</w:t>
      </w:r>
      <w:r>
        <w:rPr>
          <w:spacing w:val="-9"/>
        </w:rPr>
        <w:t> </w:t>
      </w:r>
      <w:r>
        <w:rPr/>
        <w:t>and</w:t>
      </w:r>
      <w:r>
        <w:rPr>
          <w:spacing w:val="-7"/>
        </w:rPr>
        <w:t> </w:t>
      </w:r>
      <w:r>
        <w:rPr/>
        <w:t>are ‘voluntarily’ receiving it without formal legal</w:t>
      </w:r>
      <w:r>
        <w:rPr>
          <w:spacing w:val="-10"/>
        </w:rPr>
        <w:t> </w:t>
      </w:r>
      <w:r>
        <w:rPr/>
        <w:t>authority.</w:t>
      </w:r>
      <w:hyperlink w:history="true" w:anchor="_bookmark9">
        <w:r>
          <w:rPr>
            <w:position w:val="8"/>
            <w:sz w:val="16"/>
          </w:rPr>
          <w:t>10</w:t>
        </w:r>
      </w:hyperlink>
    </w:p>
    <w:p>
      <w:pPr>
        <w:pStyle w:val="BodyText"/>
        <w:rPr>
          <w:sz w:val="22"/>
        </w:rPr>
      </w:pPr>
    </w:p>
    <w:p>
      <w:pPr>
        <w:pStyle w:val="BodyText"/>
        <w:ind w:left="120" w:right="229"/>
        <w:jc w:val="both"/>
        <w:rPr>
          <w:sz w:val="16"/>
        </w:rPr>
      </w:pPr>
      <w:r>
        <w:rPr/>
        <w:t>Under the Act, Treatment Orders, facilitating psychiatric treatment without consent, are made by the Victorian Mental Health Tribunal (the Tribunal). The Act has specific mechanisms, which require the Tribunal to make a determination about a person’s capacity at hearings authorising electroconvulsive treatment (ECT) and neurosurgery aimed at treating mental illness.</w:t>
      </w:r>
      <w:hyperlink w:history="true" w:anchor="_bookmark10">
        <w:r>
          <w:rPr>
            <w:position w:val="8"/>
            <w:sz w:val="16"/>
          </w:rPr>
          <w:t>11 </w:t>
        </w:r>
      </w:hyperlink>
      <w:r>
        <w:rPr/>
        <w:t>ECT and neurosurgery are not considered in this paper, which focuses instead on treatment orders which authorise other involuntary psychiatric treatment and detention for the purpose of providing that treatment. The Act does not specifically require the Tribunal to consider a person’s decision-making capacity</w:t>
      </w:r>
      <w:r>
        <w:rPr>
          <w:spacing w:val="-9"/>
        </w:rPr>
        <w:t> </w:t>
      </w:r>
      <w:r>
        <w:rPr/>
        <w:t>when</w:t>
      </w:r>
      <w:r>
        <w:rPr>
          <w:spacing w:val="-9"/>
        </w:rPr>
        <w:t> </w:t>
      </w:r>
      <w:r>
        <w:rPr/>
        <w:t>deciding</w:t>
      </w:r>
      <w:r>
        <w:rPr>
          <w:spacing w:val="-9"/>
        </w:rPr>
        <w:t> </w:t>
      </w:r>
      <w:r>
        <w:rPr/>
        <w:t>whether</w:t>
      </w:r>
      <w:r>
        <w:rPr>
          <w:spacing w:val="-10"/>
        </w:rPr>
        <w:t> </w:t>
      </w:r>
      <w:r>
        <w:rPr/>
        <w:t>or</w:t>
      </w:r>
      <w:r>
        <w:rPr>
          <w:spacing w:val="-9"/>
        </w:rPr>
        <w:t> </w:t>
      </w:r>
      <w:r>
        <w:rPr/>
        <w:t>not</w:t>
      </w:r>
      <w:r>
        <w:rPr>
          <w:spacing w:val="-9"/>
        </w:rPr>
        <w:t> </w:t>
      </w:r>
      <w:r>
        <w:rPr/>
        <w:t>to</w:t>
      </w:r>
      <w:r>
        <w:rPr>
          <w:spacing w:val="-10"/>
        </w:rPr>
        <w:t> </w:t>
      </w:r>
      <w:r>
        <w:rPr/>
        <w:t>make</w:t>
      </w:r>
      <w:r>
        <w:rPr>
          <w:spacing w:val="-9"/>
        </w:rPr>
        <w:t> </w:t>
      </w:r>
      <w:r>
        <w:rPr/>
        <w:t>an</w:t>
      </w:r>
      <w:r>
        <w:rPr>
          <w:spacing w:val="-10"/>
        </w:rPr>
        <w:t> </w:t>
      </w:r>
      <w:r>
        <w:rPr/>
        <w:t>order,</w:t>
      </w:r>
      <w:r>
        <w:rPr>
          <w:spacing w:val="-9"/>
        </w:rPr>
        <w:t> </w:t>
      </w:r>
      <w:r>
        <w:rPr/>
        <w:t>but</w:t>
      </w:r>
      <w:r>
        <w:rPr>
          <w:spacing w:val="-10"/>
        </w:rPr>
        <w:t> </w:t>
      </w:r>
      <w:r>
        <w:rPr/>
        <w:t>it</w:t>
      </w:r>
      <w:r>
        <w:rPr>
          <w:spacing w:val="-10"/>
        </w:rPr>
        <w:t> </w:t>
      </w:r>
      <w:r>
        <w:rPr/>
        <w:t>does</w:t>
      </w:r>
      <w:r>
        <w:rPr>
          <w:spacing w:val="-9"/>
        </w:rPr>
        <w:t> </w:t>
      </w:r>
      <w:r>
        <w:rPr/>
        <w:t>require</w:t>
      </w:r>
      <w:r>
        <w:rPr>
          <w:spacing w:val="-11"/>
        </w:rPr>
        <w:t> </w:t>
      </w:r>
      <w:r>
        <w:rPr/>
        <w:t>treatment to be provided in the ‘least restrictive way possible’, with a preference for voluntary treatment.</w:t>
      </w:r>
      <w:hyperlink w:history="true" w:anchor="_bookmark11">
        <w:r>
          <w:rPr>
            <w:position w:val="8"/>
            <w:sz w:val="16"/>
          </w:rPr>
          <w:t>12</w:t>
        </w:r>
      </w:hyperlink>
    </w:p>
    <w:p>
      <w:pPr>
        <w:pStyle w:val="BodyText"/>
        <w:spacing w:before="1"/>
      </w:pPr>
    </w:p>
    <w:p>
      <w:pPr>
        <w:pStyle w:val="BodyText"/>
        <w:spacing w:line="237" w:lineRule="auto" w:before="1"/>
        <w:ind w:left="120" w:right="230"/>
        <w:jc w:val="both"/>
      </w:pPr>
      <w:r>
        <w:rPr/>
        <w:t>The first section of this paper will argue that in order to ensure treatment is provided in this least restrictive way, the Tribunal </w:t>
      </w:r>
      <w:r>
        <w:rPr>
          <w:i/>
          <w:sz w:val="25"/>
        </w:rPr>
        <w:t>must </w:t>
      </w:r>
      <w:r>
        <w:rPr/>
        <w:t>have careful regard to the decision- making capacity of people brought before it and only authorise the involuntary treatment of a person over their competent objection in very limited circumstances.</w:t>
      </w:r>
    </w:p>
    <w:p>
      <w:pPr>
        <w:pStyle w:val="BodyText"/>
        <w:spacing w:before="11"/>
        <w:rPr>
          <w:sz w:val="23"/>
        </w:rPr>
      </w:pPr>
    </w:p>
    <w:p>
      <w:pPr>
        <w:pStyle w:val="BodyText"/>
        <w:ind w:left="120" w:right="230"/>
        <w:jc w:val="both"/>
      </w:pPr>
      <w:r>
        <w:rPr/>
        <w:t>In the second section, we present findings from two parallel studies that illustrate the way the Tribunal has responded to the issue of capacity when making decisions about involuntary treatment. These studies demonstrate that while the Tribunal rarely considers a person’s decision-making capacity in a protective sense, so as to uphold their competent refusal of treatment, it regularly takes into account a person’s ability to make decisions when determining if they have a mental illness, or if they require treatment for their mental illness.</w:t>
      </w:r>
    </w:p>
    <w:p>
      <w:pPr>
        <w:pStyle w:val="BodyText"/>
        <w:spacing w:before="12"/>
        <w:rPr>
          <w:sz w:val="23"/>
        </w:rPr>
      </w:pPr>
    </w:p>
    <w:p>
      <w:pPr>
        <w:pStyle w:val="ListParagraph"/>
        <w:numPr>
          <w:ilvl w:val="0"/>
          <w:numId w:val="1"/>
        </w:numPr>
        <w:tabs>
          <w:tab w:pos="3536" w:val="left" w:leader="none"/>
        </w:tabs>
        <w:spacing w:line="240" w:lineRule="auto" w:before="0" w:after="0"/>
        <w:ind w:left="3535" w:right="0" w:hanging="327"/>
        <w:jc w:val="left"/>
        <w:rPr>
          <w:sz w:val="24"/>
        </w:rPr>
      </w:pPr>
      <w:r>
        <w:rPr>
          <w:sz w:val="24"/>
        </w:rPr>
        <w:t>CAPACITY AND THE</w:t>
      </w:r>
      <w:r>
        <w:rPr>
          <w:spacing w:val="-9"/>
          <w:sz w:val="24"/>
        </w:rPr>
        <w:t> </w:t>
      </w:r>
      <w:r>
        <w:rPr>
          <w:sz w:val="24"/>
        </w:rPr>
        <w:t>ACT</w:t>
      </w:r>
    </w:p>
    <w:p>
      <w:pPr>
        <w:pStyle w:val="BodyText"/>
      </w:pPr>
    </w:p>
    <w:p>
      <w:pPr>
        <w:pStyle w:val="BodyText"/>
        <w:ind w:left="120" w:right="228"/>
        <w:jc w:val="both"/>
      </w:pPr>
      <w:r>
        <w:rPr/>
        <w:t>While the Mental Health Act 2014 (Vic) (Austl.) does not provide an absolute right to competently</w:t>
      </w:r>
      <w:r>
        <w:rPr>
          <w:spacing w:val="-8"/>
        </w:rPr>
        <w:t> </w:t>
      </w:r>
      <w:r>
        <w:rPr/>
        <w:t>refuse</w:t>
      </w:r>
      <w:r>
        <w:rPr>
          <w:spacing w:val="-9"/>
        </w:rPr>
        <w:t> </w:t>
      </w:r>
      <w:r>
        <w:rPr/>
        <w:t>psychiatric</w:t>
      </w:r>
      <w:r>
        <w:rPr>
          <w:spacing w:val="-9"/>
        </w:rPr>
        <w:t> </w:t>
      </w:r>
      <w:r>
        <w:rPr/>
        <w:t>treatment,</w:t>
      </w:r>
      <w:r>
        <w:rPr>
          <w:spacing w:val="-8"/>
        </w:rPr>
        <w:t> </w:t>
      </w:r>
      <w:r>
        <w:rPr/>
        <w:t>there</w:t>
      </w:r>
      <w:r>
        <w:rPr>
          <w:spacing w:val="-9"/>
        </w:rPr>
        <w:t> </w:t>
      </w:r>
      <w:r>
        <w:rPr/>
        <w:t>are</w:t>
      </w:r>
      <w:r>
        <w:rPr>
          <w:spacing w:val="-9"/>
        </w:rPr>
        <w:t> </w:t>
      </w:r>
      <w:r>
        <w:rPr/>
        <w:t>a</w:t>
      </w:r>
      <w:r>
        <w:rPr>
          <w:spacing w:val="-9"/>
        </w:rPr>
        <w:t> </w:t>
      </w:r>
      <w:r>
        <w:rPr/>
        <w:t>number</w:t>
      </w:r>
      <w:r>
        <w:rPr>
          <w:spacing w:val="-10"/>
        </w:rPr>
        <w:t> </w:t>
      </w:r>
      <w:r>
        <w:rPr/>
        <w:t>of</w:t>
      </w:r>
      <w:r>
        <w:rPr>
          <w:spacing w:val="-10"/>
        </w:rPr>
        <w:t> </w:t>
      </w:r>
      <w:r>
        <w:rPr/>
        <w:t>factors</w:t>
      </w:r>
      <w:r>
        <w:rPr>
          <w:spacing w:val="-9"/>
        </w:rPr>
        <w:t> </w:t>
      </w:r>
      <w:r>
        <w:rPr/>
        <w:t>which</w:t>
      </w:r>
      <w:r>
        <w:rPr>
          <w:spacing w:val="-8"/>
        </w:rPr>
        <w:t> </w:t>
      </w:r>
      <w:r>
        <w:rPr/>
        <w:t>suggest that a consideration of the treatment criteria requires, in turn, a consideration of a person’s decision-making capacity. Capacity is defined in s 68 of the</w:t>
      </w:r>
      <w:r>
        <w:rPr>
          <w:spacing w:val="-29"/>
        </w:rPr>
        <w:t> </w:t>
      </w:r>
      <w:r>
        <w:rPr/>
        <w:t>Act:</w:t>
      </w:r>
    </w:p>
    <w:p>
      <w:pPr>
        <w:pStyle w:val="BodyText"/>
        <w:spacing w:before="2"/>
        <w:rPr>
          <w:sz w:val="23"/>
        </w:rPr>
      </w:pPr>
    </w:p>
    <w:p>
      <w:pPr>
        <w:spacing w:before="0"/>
        <w:ind w:left="688" w:right="0" w:firstLine="0"/>
        <w:jc w:val="left"/>
        <w:rPr>
          <w:i/>
          <w:sz w:val="21"/>
        </w:rPr>
      </w:pPr>
      <w:r>
        <w:rPr>
          <w:i/>
          <w:w w:val="95"/>
          <w:sz w:val="21"/>
        </w:rPr>
        <w:t>A person has the </w:t>
      </w:r>
      <w:r>
        <w:rPr>
          <w:b/>
          <w:i/>
          <w:w w:val="95"/>
          <w:sz w:val="21"/>
        </w:rPr>
        <w:t>capacity to give informed consent </w:t>
      </w:r>
      <w:r>
        <w:rPr>
          <w:i/>
          <w:w w:val="95"/>
          <w:sz w:val="21"/>
        </w:rPr>
        <w:t>under this Act if the person—</w:t>
      </w:r>
    </w:p>
    <w:p>
      <w:pPr>
        <w:pStyle w:val="BodyText"/>
        <w:spacing w:before="10"/>
        <w:rPr>
          <w:i/>
          <w:sz w:val="21"/>
        </w:rPr>
      </w:pPr>
    </w:p>
    <w:p>
      <w:pPr>
        <w:pStyle w:val="ListParagraph"/>
        <w:numPr>
          <w:ilvl w:val="0"/>
          <w:numId w:val="2"/>
        </w:numPr>
        <w:tabs>
          <w:tab w:pos="1010" w:val="left" w:leader="none"/>
        </w:tabs>
        <w:spacing w:line="240" w:lineRule="auto" w:before="1" w:after="0"/>
        <w:ind w:left="1009" w:right="0" w:hanging="321"/>
        <w:jc w:val="left"/>
        <w:rPr>
          <w:i/>
          <w:sz w:val="21"/>
        </w:rPr>
      </w:pPr>
      <w:r>
        <w:rPr>
          <w:i/>
          <w:sz w:val="21"/>
        </w:rPr>
        <w:t>understands</w:t>
      </w:r>
      <w:r>
        <w:rPr>
          <w:i/>
          <w:spacing w:val="-29"/>
          <w:sz w:val="21"/>
        </w:rPr>
        <w:t> </w:t>
      </w:r>
      <w:r>
        <w:rPr>
          <w:i/>
          <w:sz w:val="21"/>
        </w:rPr>
        <w:t>the</w:t>
      </w:r>
      <w:r>
        <w:rPr>
          <w:i/>
          <w:spacing w:val="-29"/>
          <w:sz w:val="21"/>
        </w:rPr>
        <w:t> </w:t>
      </w:r>
      <w:r>
        <w:rPr>
          <w:i/>
          <w:sz w:val="21"/>
        </w:rPr>
        <w:t>information</w:t>
      </w:r>
      <w:r>
        <w:rPr>
          <w:i/>
          <w:spacing w:val="-30"/>
          <w:sz w:val="21"/>
        </w:rPr>
        <w:t> </w:t>
      </w:r>
      <w:r>
        <w:rPr>
          <w:i/>
          <w:sz w:val="21"/>
        </w:rPr>
        <w:t>he</w:t>
      </w:r>
      <w:r>
        <w:rPr>
          <w:i/>
          <w:spacing w:val="-30"/>
          <w:sz w:val="21"/>
        </w:rPr>
        <w:t> </w:t>
      </w:r>
      <w:r>
        <w:rPr>
          <w:i/>
          <w:sz w:val="21"/>
        </w:rPr>
        <w:t>or</w:t>
      </w:r>
      <w:r>
        <w:rPr>
          <w:i/>
          <w:spacing w:val="-30"/>
          <w:sz w:val="21"/>
        </w:rPr>
        <w:t> </w:t>
      </w:r>
      <w:r>
        <w:rPr>
          <w:i/>
          <w:sz w:val="21"/>
        </w:rPr>
        <w:t>she</w:t>
      </w:r>
      <w:r>
        <w:rPr>
          <w:i/>
          <w:spacing w:val="-30"/>
          <w:sz w:val="21"/>
        </w:rPr>
        <w:t> </w:t>
      </w:r>
      <w:r>
        <w:rPr>
          <w:i/>
          <w:sz w:val="21"/>
        </w:rPr>
        <w:t>is</w:t>
      </w:r>
      <w:r>
        <w:rPr>
          <w:i/>
          <w:spacing w:val="-29"/>
          <w:sz w:val="21"/>
        </w:rPr>
        <w:t> </w:t>
      </w:r>
      <w:r>
        <w:rPr>
          <w:i/>
          <w:sz w:val="21"/>
        </w:rPr>
        <w:t>given</w:t>
      </w:r>
      <w:r>
        <w:rPr>
          <w:i/>
          <w:spacing w:val="-30"/>
          <w:sz w:val="21"/>
        </w:rPr>
        <w:t> </w:t>
      </w:r>
      <w:r>
        <w:rPr>
          <w:i/>
          <w:sz w:val="21"/>
        </w:rPr>
        <w:t>that</w:t>
      </w:r>
      <w:r>
        <w:rPr>
          <w:i/>
          <w:spacing w:val="-29"/>
          <w:sz w:val="21"/>
        </w:rPr>
        <w:t> </w:t>
      </w:r>
      <w:r>
        <w:rPr>
          <w:i/>
          <w:sz w:val="21"/>
        </w:rPr>
        <w:t>is</w:t>
      </w:r>
      <w:r>
        <w:rPr>
          <w:i/>
          <w:spacing w:val="-29"/>
          <w:sz w:val="21"/>
        </w:rPr>
        <w:t> </w:t>
      </w:r>
      <w:r>
        <w:rPr>
          <w:i/>
          <w:sz w:val="21"/>
        </w:rPr>
        <w:t>relevant</w:t>
      </w:r>
      <w:r>
        <w:rPr>
          <w:i/>
          <w:spacing w:val="-29"/>
          <w:sz w:val="21"/>
        </w:rPr>
        <w:t> </w:t>
      </w:r>
      <w:r>
        <w:rPr>
          <w:i/>
          <w:sz w:val="21"/>
        </w:rPr>
        <w:t>to</w:t>
      </w:r>
      <w:r>
        <w:rPr>
          <w:i/>
          <w:spacing w:val="-29"/>
          <w:sz w:val="21"/>
        </w:rPr>
        <w:t> </w:t>
      </w:r>
      <w:r>
        <w:rPr>
          <w:i/>
          <w:sz w:val="21"/>
        </w:rPr>
        <w:t>the</w:t>
      </w:r>
      <w:r>
        <w:rPr>
          <w:i/>
          <w:spacing w:val="-29"/>
          <w:sz w:val="21"/>
        </w:rPr>
        <w:t> </w:t>
      </w:r>
      <w:r>
        <w:rPr>
          <w:i/>
          <w:sz w:val="21"/>
        </w:rPr>
        <w:t>decision;</w:t>
      </w:r>
      <w:r>
        <w:rPr>
          <w:i/>
          <w:spacing w:val="-30"/>
          <w:sz w:val="21"/>
        </w:rPr>
        <w:t> </w:t>
      </w:r>
      <w:r>
        <w:rPr>
          <w:i/>
          <w:sz w:val="21"/>
        </w:rPr>
        <w:t>and</w:t>
      </w:r>
    </w:p>
    <w:p>
      <w:pPr>
        <w:pStyle w:val="ListParagraph"/>
        <w:numPr>
          <w:ilvl w:val="0"/>
          <w:numId w:val="2"/>
        </w:numPr>
        <w:tabs>
          <w:tab w:pos="1015" w:val="left" w:leader="none"/>
        </w:tabs>
        <w:spacing w:line="240" w:lineRule="auto" w:before="24" w:after="0"/>
        <w:ind w:left="1014" w:right="0" w:hanging="326"/>
        <w:jc w:val="left"/>
        <w:rPr>
          <w:i/>
          <w:sz w:val="21"/>
        </w:rPr>
      </w:pPr>
      <w:r>
        <w:rPr>
          <w:i/>
          <w:sz w:val="21"/>
        </w:rPr>
        <w:t>is</w:t>
      </w:r>
      <w:r>
        <w:rPr>
          <w:i/>
          <w:spacing w:val="-29"/>
          <w:sz w:val="21"/>
        </w:rPr>
        <w:t> </w:t>
      </w:r>
      <w:r>
        <w:rPr>
          <w:i/>
          <w:sz w:val="21"/>
        </w:rPr>
        <w:t>able</w:t>
      </w:r>
      <w:r>
        <w:rPr>
          <w:i/>
          <w:spacing w:val="-30"/>
          <w:sz w:val="21"/>
        </w:rPr>
        <w:t> </w:t>
      </w:r>
      <w:r>
        <w:rPr>
          <w:i/>
          <w:sz w:val="21"/>
        </w:rPr>
        <w:t>to</w:t>
      </w:r>
      <w:r>
        <w:rPr>
          <w:i/>
          <w:spacing w:val="-31"/>
          <w:sz w:val="21"/>
        </w:rPr>
        <w:t> </w:t>
      </w:r>
      <w:r>
        <w:rPr>
          <w:i/>
          <w:sz w:val="21"/>
        </w:rPr>
        <w:t>remember</w:t>
      </w:r>
      <w:r>
        <w:rPr>
          <w:i/>
          <w:spacing w:val="-30"/>
          <w:sz w:val="21"/>
        </w:rPr>
        <w:t> </w:t>
      </w:r>
      <w:r>
        <w:rPr>
          <w:i/>
          <w:sz w:val="21"/>
        </w:rPr>
        <w:t>the</w:t>
      </w:r>
      <w:r>
        <w:rPr>
          <w:i/>
          <w:spacing w:val="-30"/>
          <w:sz w:val="21"/>
        </w:rPr>
        <w:t> </w:t>
      </w:r>
      <w:r>
        <w:rPr>
          <w:i/>
          <w:sz w:val="21"/>
        </w:rPr>
        <w:t>information</w:t>
      </w:r>
      <w:r>
        <w:rPr>
          <w:i/>
          <w:spacing w:val="-31"/>
          <w:sz w:val="21"/>
        </w:rPr>
        <w:t> </w:t>
      </w:r>
      <w:r>
        <w:rPr>
          <w:i/>
          <w:sz w:val="21"/>
        </w:rPr>
        <w:t>that</w:t>
      </w:r>
      <w:r>
        <w:rPr>
          <w:i/>
          <w:spacing w:val="-29"/>
          <w:sz w:val="21"/>
        </w:rPr>
        <w:t> </w:t>
      </w:r>
      <w:r>
        <w:rPr>
          <w:i/>
          <w:sz w:val="21"/>
        </w:rPr>
        <w:t>is</w:t>
      </w:r>
      <w:r>
        <w:rPr>
          <w:i/>
          <w:spacing w:val="-29"/>
          <w:sz w:val="21"/>
        </w:rPr>
        <w:t> </w:t>
      </w:r>
      <w:r>
        <w:rPr>
          <w:i/>
          <w:sz w:val="21"/>
        </w:rPr>
        <w:t>relevant</w:t>
      </w:r>
      <w:r>
        <w:rPr>
          <w:i/>
          <w:spacing w:val="-30"/>
          <w:sz w:val="21"/>
        </w:rPr>
        <w:t> </w:t>
      </w:r>
      <w:r>
        <w:rPr>
          <w:i/>
          <w:sz w:val="21"/>
        </w:rPr>
        <w:t>to</w:t>
      </w:r>
      <w:r>
        <w:rPr>
          <w:i/>
          <w:spacing w:val="-29"/>
          <w:sz w:val="21"/>
        </w:rPr>
        <w:t> </w:t>
      </w:r>
      <w:r>
        <w:rPr>
          <w:i/>
          <w:sz w:val="21"/>
        </w:rPr>
        <w:t>the</w:t>
      </w:r>
      <w:r>
        <w:rPr>
          <w:i/>
          <w:spacing w:val="-30"/>
          <w:sz w:val="21"/>
        </w:rPr>
        <w:t> </w:t>
      </w:r>
      <w:r>
        <w:rPr>
          <w:i/>
          <w:sz w:val="21"/>
        </w:rPr>
        <w:t>decision;</w:t>
      </w:r>
      <w:r>
        <w:rPr>
          <w:i/>
          <w:spacing w:val="-31"/>
          <w:sz w:val="21"/>
        </w:rPr>
        <w:t> </w:t>
      </w:r>
      <w:r>
        <w:rPr>
          <w:i/>
          <w:sz w:val="21"/>
        </w:rPr>
        <w:t>and</w:t>
      </w:r>
    </w:p>
    <w:p>
      <w:pPr>
        <w:pStyle w:val="BodyText"/>
        <w:spacing w:before="3"/>
        <w:rPr>
          <w:i/>
          <w:sz w:val="12"/>
        </w:rPr>
      </w:pPr>
      <w:r>
        <w:rPr/>
        <w:pict>
          <v:line style="position:absolute;mso-position-horizontal-relative:page;mso-position-vertical-relative:paragraph;z-index:1072;mso-wrap-distance-left:0;mso-wrap-distance-right:0" from="67.019997pt,9.634849pt" to="211.019997pt,9.634849pt" stroked="true" strokeweight=".54pt" strokecolor="#000000">
            <v:stroke dashstyle="solid"/>
            <w10:wrap type="topAndBottom"/>
          </v:line>
        </w:pict>
      </w:r>
    </w:p>
    <w:p>
      <w:pPr>
        <w:spacing w:line="232" w:lineRule="auto" w:before="62"/>
        <w:ind w:left="345" w:right="116" w:hanging="113"/>
        <w:jc w:val="both"/>
        <w:rPr>
          <w:sz w:val="20"/>
        </w:rPr>
      </w:pPr>
      <w:bookmarkStart w:name="_bookmark8" w:id="10"/>
      <w:bookmarkEnd w:id="10"/>
      <w:r>
        <w:rPr/>
      </w:r>
      <w:r>
        <w:rPr>
          <w:position w:val="7"/>
          <w:sz w:val="13"/>
        </w:rPr>
        <w:t>9</w:t>
      </w:r>
      <w:r>
        <w:rPr>
          <w:spacing w:val="-15"/>
          <w:position w:val="7"/>
          <w:sz w:val="13"/>
        </w:rPr>
        <w:t> </w:t>
      </w:r>
      <w:r>
        <w:rPr>
          <w:sz w:val="20"/>
        </w:rPr>
        <w:t>David</w:t>
      </w:r>
      <w:r>
        <w:rPr>
          <w:spacing w:val="-23"/>
          <w:sz w:val="20"/>
        </w:rPr>
        <w:t> </w:t>
      </w:r>
      <w:r>
        <w:rPr>
          <w:sz w:val="20"/>
        </w:rPr>
        <w:t>Okai</w:t>
      </w:r>
      <w:r>
        <w:rPr>
          <w:spacing w:val="-23"/>
          <w:sz w:val="20"/>
        </w:rPr>
        <w:t> </w:t>
      </w:r>
      <w:r>
        <w:rPr>
          <w:sz w:val="20"/>
        </w:rPr>
        <w:t>et</w:t>
      </w:r>
      <w:r>
        <w:rPr>
          <w:spacing w:val="-23"/>
          <w:sz w:val="20"/>
        </w:rPr>
        <w:t> </w:t>
      </w:r>
      <w:r>
        <w:rPr>
          <w:sz w:val="20"/>
        </w:rPr>
        <w:t>al,</w:t>
      </w:r>
      <w:r>
        <w:rPr>
          <w:spacing w:val="-22"/>
          <w:sz w:val="20"/>
        </w:rPr>
        <w:t> </w:t>
      </w:r>
      <w:r>
        <w:rPr>
          <w:sz w:val="20"/>
        </w:rPr>
        <w:t>‘Mental</w:t>
      </w:r>
      <w:r>
        <w:rPr>
          <w:spacing w:val="-23"/>
          <w:sz w:val="20"/>
        </w:rPr>
        <w:t> </w:t>
      </w:r>
      <w:r>
        <w:rPr>
          <w:sz w:val="20"/>
        </w:rPr>
        <w:t>Capacity</w:t>
      </w:r>
      <w:r>
        <w:rPr>
          <w:spacing w:val="-23"/>
          <w:sz w:val="20"/>
        </w:rPr>
        <w:t> </w:t>
      </w:r>
      <w:r>
        <w:rPr>
          <w:sz w:val="20"/>
        </w:rPr>
        <w:t>in</w:t>
      </w:r>
      <w:r>
        <w:rPr>
          <w:spacing w:val="-22"/>
          <w:sz w:val="20"/>
        </w:rPr>
        <w:t> </w:t>
      </w:r>
      <w:r>
        <w:rPr>
          <w:sz w:val="20"/>
        </w:rPr>
        <w:t>Psychiatric</w:t>
      </w:r>
      <w:r>
        <w:rPr>
          <w:spacing w:val="-22"/>
          <w:sz w:val="20"/>
        </w:rPr>
        <w:t> </w:t>
      </w:r>
      <w:r>
        <w:rPr>
          <w:sz w:val="20"/>
        </w:rPr>
        <w:t>Patients’</w:t>
      </w:r>
      <w:r>
        <w:rPr>
          <w:spacing w:val="-23"/>
          <w:sz w:val="20"/>
        </w:rPr>
        <w:t> </w:t>
      </w:r>
      <w:r>
        <w:rPr>
          <w:sz w:val="20"/>
        </w:rPr>
        <w:t>(2007)</w:t>
      </w:r>
      <w:r>
        <w:rPr>
          <w:spacing w:val="-22"/>
          <w:sz w:val="20"/>
        </w:rPr>
        <w:t> </w:t>
      </w:r>
      <w:r>
        <w:rPr>
          <w:sz w:val="20"/>
        </w:rPr>
        <w:t>191(4)</w:t>
      </w:r>
      <w:r>
        <w:rPr>
          <w:spacing w:val="-22"/>
          <w:sz w:val="20"/>
        </w:rPr>
        <w:t> </w:t>
      </w:r>
      <w:r>
        <w:rPr>
          <w:i/>
          <w:sz w:val="21"/>
        </w:rPr>
        <w:t>The</w:t>
      </w:r>
      <w:r>
        <w:rPr>
          <w:i/>
          <w:spacing w:val="-25"/>
          <w:sz w:val="21"/>
        </w:rPr>
        <w:t> </w:t>
      </w:r>
      <w:r>
        <w:rPr>
          <w:i/>
          <w:sz w:val="21"/>
        </w:rPr>
        <w:t>British</w:t>
      </w:r>
      <w:r>
        <w:rPr>
          <w:i/>
          <w:spacing w:val="-26"/>
          <w:sz w:val="21"/>
        </w:rPr>
        <w:t> </w:t>
      </w:r>
      <w:r>
        <w:rPr>
          <w:i/>
          <w:sz w:val="21"/>
        </w:rPr>
        <w:t>Journal</w:t>
      </w:r>
      <w:r>
        <w:rPr>
          <w:i/>
          <w:spacing w:val="-26"/>
          <w:sz w:val="21"/>
        </w:rPr>
        <w:t> </w:t>
      </w:r>
      <w:r>
        <w:rPr>
          <w:i/>
          <w:sz w:val="21"/>
        </w:rPr>
        <w:t>of</w:t>
      </w:r>
      <w:r>
        <w:rPr>
          <w:i/>
          <w:spacing w:val="-26"/>
          <w:sz w:val="21"/>
        </w:rPr>
        <w:t> </w:t>
      </w:r>
      <w:r>
        <w:rPr>
          <w:i/>
          <w:sz w:val="21"/>
        </w:rPr>
        <w:t>Psychiatry </w:t>
      </w:r>
      <w:r>
        <w:rPr>
          <w:sz w:val="20"/>
        </w:rPr>
        <w:t>291; Duncan Milne, Anthony O’Brien and Brian McKenna, ‘Community Treatment Orders and Competence to Consent’ (2009) 17(4) </w:t>
      </w:r>
      <w:r>
        <w:rPr>
          <w:i/>
          <w:sz w:val="21"/>
        </w:rPr>
        <w:t>Australasian Psychiatry: Bulletin of Royal Australian and</w:t>
      </w:r>
      <w:r>
        <w:rPr>
          <w:i/>
          <w:spacing w:val="-43"/>
          <w:sz w:val="21"/>
        </w:rPr>
        <w:t> </w:t>
      </w:r>
      <w:r>
        <w:rPr>
          <w:i/>
          <w:sz w:val="21"/>
        </w:rPr>
        <w:t>New Zealand</w:t>
      </w:r>
      <w:r>
        <w:rPr>
          <w:i/>
          <w:spacing w:val="-41"/>
          <w:sz w:val="21"/>
        </w:rPr>
        <w:t> </w:t>
      </w:r>
      <w:r>
        <w:rPr>
          <w:i/>
          <w:sz w:val="21"/>
        </w:rPr>
        <w:t>College</w:t>
      </w:r>
      <w:r>
        <w:rPr>
          <w:i/>
          <w:spacing w:val="-40"/>
          <w:sz w:val="21"/>
        </w:rPr>
        <w:t> </w:t>
      </w:r>
      <w:r>
        <w:rPr>
          <w:i/>
          <w:sz w:val="21"/>
        </w:rPr>
        <w:t>of</w:t>
      </w:r>
      <w:r>
        <w:rPr>
          <w:i/>
          <w:spacing w:val="-41"/>
          <w:sz w:val="21"/>
        </w:rPr>
        <w:t> </w:t>
      </w:r>
      <w:r>
        <w:rPr>
          <w:i/>
          <w:sz w:val="21"/>
        </w:rPr>
        <w:t>Psychiatrists</w:t>
      </w:r>
      <w:r>
        <w:rPr>
          <w:i/>
          <w:spacing w:val="-40"/>
          <w:sz w:val="21"/>
        </w:rPr>
        <w:t> </w:t>
      </w:r>
      <w:r>
        <w:rPr>
          <w:sz w:val="20"/>
        </w:rPr>
        <w:t>273.</w:t>
      </w:r>
    </w:p>
    <w:p>
      <w:pPr>
        <w:spacing w:line="230" w:lineRule="auto" w:before="8"/>
        <w:ind w:left="346" w:right="118" w:hanging="226"/>
        <w:jc w:val="left"/>
        <w:rPr>
          <w:sz w:val="20"/>
        </w:rPr>
      </w:pPr>
      <w:bookmarkStart w:name="_bookmark9" w:id="11"/>
      <w:bookmarkEnd w:id="11"/>
      <w:r>
        <w:rPr/>
      </w:r>
      <w:r>
        <w:rPr>
          <w:position w:val="7"/>
          <w:sz w:val="13"/>
        </w:rPr>
        <w:t>10 </w:t>
      </w:r>
      <w:r>
        <w:rPr>
          <w:sz w:val="20"/>
        </w:rPr>
        <w:t>Beth Ranjit, ‘Can the Use of the Mental Health Act Be the “Least Restrictive” Approach for Psychiatric in-Patients?’ (2016) 2016 (22) </w:t>
      </w:r>
      <w:r>
        <w:rPr>
          <w:i/>
          <w:sz w:val="21"/>
        </w:rPr>
        <w:t>International Journal of Mental Health and Capacity Law </w:t>
      </w:r>
      <w:r>
        <w:rPr>
          <w:sz w:val="20"/>
        </w:rPr>
        <w:t>51.</w:t>
      </w:r>
    </w:p>
    <w:p>
      <w:pPr>
        <w:spacing w:line="235" w:lineRule="exact" w:before="0"/>
        <w:ind w:left="120" w:right="0" w:firstLine="0"/>
        <w:jc w:val="left"/>
        <w:rPr>
          <w:sz w:val="20"/>
        </w:rPr>
      </w:pPr>
      <w:bookmarkStart w:name="_bookmark10" w:id="12"/>
      <w:bookmarkEnd w:id="12"/>
      <w:r>
        <w:rPr/>
      </w:r>
      <w:r>
        <w:rPr>
          <w:position w:val="7"/>
          <w:sz w:val="13"/>
        </w:rPr>
        <w:t>11 </w:t>
      </w:r>
      <w:r>
        <w:rPr>
          <w:i/>
          <w:sz w:val="21"/>
        </w:rPr>
        <w:t>Mental Health Act 2014 </w:t>
      </w:r>
      <w:r>
        <w:rPr>
          <w:sz w:val="20"/>
        </w:rPr>
        <w:t>(Vic) ss 96, 102.</w:t>
      </w:r>
    </w:p>
    <w:p>
      <w:pPr>
        <w:spacing w:line="247" w:lineRule="exact" w:before="0"/>
        <w:ind w:left="120" w:right="0" w:firstLine="0"/>
        <w:jc w:val="left"/>
        <w:rPr>
          <w:sz w:val="20"/>
        </w:rPr>
      </w:pPr>
      <w:bookmarkStart w:name="_bookmark11" w:id="13"/>
      <w:bookmarkEnd w:id="13"/>
      <w:r>
        <w:rPr/>
      </w:r>
      <w:r>
        <w:rPr>
          <w:position w:val="7"/>
          <w:sz w:val="13"/>
        </w:rPr>
        <w:t>12 </w:t>
      </w:r>
      <w:r>
        <w:rPr>
          <w:i/>
          <w:sz w:val="21"/>
        </w:rPr>
        <w:t>Mental Health Act 2014 </w:t>
      </w:r>
      <w:r>
        <w:rPr>
          <w:sz w:val="20"/>
        </w:rPr>
        <w:t>(Vic) s 11(1)(a).</w:t>
      </w:r>
    </w:p>
    <w:p>
      <w:pPr>
        <w:spacing w:after="0" w:line="247" w:lineRule="exact"/>
        <w:jc w:val="left"/>
        <w:rPr>
          <w:sz w:val="20"/>
        </w:rPr>
        <w:sectPr>
          <w:pgSz w:w="11910" w:h="16840"/>
          <w:pgMar w:header="763" w:footer="1025" w:top="980" w:bottom="1220" w:left="1220" w:right="1200"/>
        </w:sectPr>
      </w:pPr>
    </w:p>
    <w:p>
      <w:pPr>
        <w:pStyle w:val="BodyText"/>
        <w:spacing w:before="5"/>
        <w:rPr>
          <w:sz w:val="20"/>
        </w:rPr>
      </w:pPr>
    </w:p>
    <w:p>
      <w:pPr>
        <w:pStyle w:val="ListParagraph"/>
        <w:numPr>
          <w:ilvl w:val="0"/>
          <w:numId w:val="2"/>
        </w:numPr>
        <w:tabs>
          <w:tab w:pos="997" w:val="left" w:leader="none"/>
        </w:tabs>
        <w:spacing w:line="240" w:lineRule="auto" w:before="101" w:after="0"/>
        <w:ind w:left="996" w:right="0" w:hanging="308"/>
        <w:jc w:val="left"/>
        <w:rPr>
          <w:i/>
          <w:sz w:val="21"/>
        </w:rPr>
      </w:pPr>
      <w:r>
        <w:rPr>
          <w:i/>
          <w:sz w:val="21"/>
        </w:rPr>
        <w:t>is</w:t>
      </w:r>
      <w:r>
        <w:rPr>
          <w:i/>
          <w:spacing w:val="-26"/>
          <w:sz w:val="21"/>
        </w:rPr>
        <w:t> </w:t>
      </w:r>
      <w:r>
        <w:rPr>
          <w:i/>
          <w:sz w:val="21"/>
        </w:rPr>
        <w:t>able</w:t>
      </w:r>
      <w:r>
        <w:rPr>
          <w:i/>
          <w:spacing w:val="-28"/>
          <w:sz w:val="21"/>
        </w:rPr>
        <w:t> </w:t>
      </w:r>
      <w:r>
        <w:rPr>
          <w:i/>
          <w:sz w:val="21"/>
        </w:rPr>
        <w:t>to</w:t>
      </w:r>
      <w:r>
        <w:rPr>
          <w:i/>
          <w:spacing w:val="-28"/>
          <w:sz w:val="21"/>
        </w:rPr>
        <w:t> </w:t>
      </w:r>
      <w:r>
        <w:rPr>
          <w:i/>
          <w:sz w:val="21"/>
        </w:rPr>
        <w:t>use</w:t>
      </w:r>
      <w:r>
        <w:rPr>
          <w:i/>
          <w:spacing w:val="-27"/>
          <w:sz w:val="21"/>
        </w:rPr>
        <w:t> </w:t>
      </w:r>
      <w:r>
        <w:rPr>
          <w:i/>
          <w:sz w:val="21"/>
        </w:rPr>
        <w:t>or</w:t>
      </w:r>
      <w:r>
        <w:rPr>
          <w:i/>
          <w:spacing w:val="-28"/>
          <w:sz w:val="21"/>
        </w:rPr>
        <w:t> </w:t>
      </w:r>
      <w:r>
        <w:rPr>
          <w:i/>
          <w:sz w:val="21"/>
        </w:rPr>
        <w:t>weigh</w:t>
      </w:r>
      <w:r>
        <w:rPr>
          <w:i/>
          <w:spacing w:val="-28"/>
          <w:sz w:val="21"/>
        </w:rPr>
        <w:t> </w:t>
      </w:r>
      <w:r>
        <w:rPr>
          <w:i/>
          <w:sz w:val="21"/>
        </w:rPr>
        <w:t>information</w:t>
      </w:r>
      <w:r>
        <w:rPr>
          <w:i/>
          <w:spacing w:val="-27"/>
          <w:sz w:val="21"/>
        </w:rPr>
        <w:t> </w:t>
      </w:r>
      <w:r>
        <w:rPr>
          <w:i/>
          <w:sz w:val="21"/>
        </w:rPr>
        <w:t>that</w:t>
      </w:r>
      <w:r>
        <w:rPr>
          <w:i/>
          <w:spacing w:val="-26"/>
          <w:sz w:val="21"/>
        </w:rPr>
        <w:t> </w:t>
      </w:r>
      <w:r>
        <w:rPr>
          <w:i/>
          <w:sz w:val="21"/>
        </w:rPr>
        <w:t>is</w:t>
      </w:r>
      <w:r>
        <w:rPr>
          <w:i/>
          <w:spacing w:val="-26"/>
          <w:sz w:val="21"/>
        </w:rPr>
        <w:t> </w:t>
      </w:r>
      <w:r>
        <w:rPr>
          <w:i/>
          <w:sz w:val="21"/>
        </w:rPr>
        <w:t>relevant</w:t>
      </w:r>
      <w:r>
        <w:rPr>
          <w:i/>
          <w:spacing w:val="-26"/>
          <w:sz w:val="21"/>
        </w:rPr>
        <w:t> </w:t>
      </w:r>
      <w:r>
        <w:rPr>
          <w:i/>
          <w:sz w:val="21"/>
        </w:rPr>
        <w:t>to</w:t>
      </w:r>
      <w:r>
        <w:rPr>
          <w:i/>
          <w:spacing w:val="-26"/>
          <w:sz w:val="21"/>
        </w:rPr>
        <w:t> </w:t>
      </w:r>
      <w:r>
        <w:rPr>
          <w:i/>
          <w:sz w:val="21"/>
        </w:rPr>
        <w:t>the</w:t>
      </w:r>
      <w:r>
        <w:rPr>
          <w:i/>
          <w:spacing w:val="-26"/>
          <w:sz w:val="21"/>
        </w:rPr>
        <w:t> </w:t>
      </w:r>
      <w:r>
        <w:rPr>
          <w:i/>
          <w:sz w:val="21"/>
        </w:rPr>
        <w:t>decision;</w:t>
      </w:r>
      <w:r>
        <w:rPr>
          <w:i/>
          <w:spacing w:val="-27"/>
          <w:sz w:val="21"/>
        </w:rPr>
        <w:t> </w:t>
      </w:r>
      <w:r>
        <w:rPr>
          <w:i/>
          <w:sz w:val="21"/>
        </w:rPr>
        <w:t>and</w:t>
      </w:r>
    </w:p>
    <w:p>
      <w:pPr>
        <w:pStyle w:val="ListParagraph"/>
        <w:numPr>
          <w:ilvl w:val="0"/>
          <w:numId w:val="2"/>
        </w:numPr>
        <w:tabs>
          <w:tab w:pos="1009" w:val="left" w:leader="none"/>
        </w:tabs>
        <w:spacing w:line="240" w:lineRule="auto" w:before="23" w:after="0"/>
        <w:ind w:left="1008" w:right="0" w:hanging="320"/>
        <w:jc w:val="left"/>
        <w:rPr>
          <w:i/>
          <w:sz w:val="21"/>
        </w:rPr>
      </w:pPr>
      <w:r>
        <w:rPr>
          <w:i/>
          <w:sz w:val="21"/>
        </w:rPr>
        <w:t>is</w:t>
      </w:r>
      <w:r>
        <w:rPr>
          <w:i/>
          <w:spacing w:val="-35"/>
          <w:sz w:val="21"/>
        </w:rPr>
        <w:t> </w:t>
      </w:r>
      <w:r>
        <w:rPr>
          <w:i/>
          <w:sz w:val="21"/>
        </w:rPr>
        <w:t>able</w:t>
      </w:r>
      <w:r>
        <w:rPr>
          <w:i/>
          <w:spacing w:val="-35"/>
          <w:sz w:val="21"/>
        </w:rPr>
        <w:t> </w:t>
      </w:r>
      <w:r>
        <w:rPr>
          <w:i/>
          <w:sz w:val="21"/>
        </w:rPr>
        <w:t>to</w:t>
      </w:r>
      <w:r>
        <w:rPr>
          <w:i/>
          <w:spacing w:val="-36"/>
          <w:sz w:val="21"/>
        </w:rPr>
        <w:t> </w:t>
      </w:r>
      <w:r>
        <w:rPr>
          <w:i/>
          <w:sz w:val="21"/>
        </w:rPr>
        <w:t>communicate</w:t>
      </w:r>
      <w:r>
        <w:rPr>
          <w:i/>
          <w:spacing w:val="-36"/>
          <w:sz w:val="21"/>
        </w:rPr>
        <w:t> </w:t>
      </w:r>
      <w:r>
        <w:rPr>
          <w:i/>
          <w:sz w:val="21"/>
        </w:rPr>
        <w:t>the</w:t>
      </w:r>
      <w:r>
        <w:rPr>
          <w:i/>
          <w:spacing w:val="-35"/>
          <w:sz w:val="21"/>
        </w:rPr>
        <w:t> </w:t>
      </w:r>
      <w:r>
        <w:rPr>
          <w:i/>
          <w:sz w:val="21"/>
        </w:rPr>
        <w:t>decision</w:t>
      </w:r>
      <w:r>
        <w:rPr>
          <w:i/>
          <w:spacing w:val="-36"/>
          <w:sz w:val="21"/>
        </w:rPr>
        <w:t> </w:t>
      </w:r>
      <w:r>
        <w:rPr>
          <w:i/>
          <w:sz w:val="21"/>
        </w:rPr>
        <w:t>he</w:t>
      </w:r>
      <w:r>
        <w:rPr>
          <w:i/>
          <w:spacing w:val="-35"/>
          <w:sz w:val="21"/>
        </w:rPr>
        <w:t> </w:t>
      </w:r>
      <w:r>
        <w:rPr>
          <w:i/>
          <w:sz w:val="21"/>
        </w:rPr>
        <w:t>or</w:t>
      </w:r>
      <w:r>
        <w:rPr>
          <w:i/>
          <w:spacing w:val="-36"/>
          <w:sz w:val="21"/>
        </w:rPr>
        <w:t> </w:t>
      </w:r>
      <w:r>
        <w:rPr>
          <w:i/>
          <w:sz w:val="21"/>
        </w:rPr>
        <w:t>she</w:t>
      </w:r>
      <w:r>
        <w:rPr>
          <w:i/>
          <w:spacing w:val="-35"/>
          <w:sz w:val="21"/>
        </w:rPr>
        <w:t> </w:t>
      </w:r>
      <w:r>
        <w:rPr>
          <w:i/>
          <w:sz w:val="21"/>
        </w:rPr>
        <w:t>makes</w:t>
      </w:r>
      <w:r>
        <w:rPr>
          <w:i/>
          <w:spacing w:val="-35"/>
          <w:sz w:val="21"/>
        </w:rPr>
        <w:t> </w:t>
      </w:r>
      <w:r>
        <w:rPr>
          <w:i/>
          <w:sz w:val="21"/>
        </w:rPr>
        <w:t>by</w:t>
      </w:r>
      <w:r>
        <w:rPr>
          <w:i/>
          <w:spacing w:val="-36"/>
          <w:sz w:val="21"/>
        </w:rPr>
        <w:t> </w:t>
      </w:r>
      <w:r>
        <w:rPr>
          <w:i/>
          <w:sz w:val="21"/>
        </w:rPr>
        <w:t>speech,</w:t>
      </w:r>
      <w:r>
        <w:rPr>
          <w:i/>
          <w:spacing w:val="-35"/>
          <w:sz w:val="21"/>
        </w:rPr>
        <w:t> </w:t>
      </w:r>
      <w:r>
        <w:rPr>
          <w:i/>
          <w:sz w:val="21"/>
        </w:rPr>
        <w:t>gestures</w:t>
      </w:r>
      <w:r>
        <w:rPr>
          <w:i/>
          <w:spacing w:val="-35"/>
          <w:sz w:val="21"/>
        </w:rPr>
        <w:t> </w:t>
      </w:r>
      <w:r>
        <w:rPr>
          <w:i/>
          <w:sz w:val="21"/>
        </w:rPr>
        <w:t>or</w:t>
      </w:r>
      <w:r>
        <w:rPr>
          <w:i/>
          <w:spacing w:val="-36"/>
          <w:sz w:val="21"/>
        </w:rPr>
        <w:t> </w:t>
      </w:r>
      <w:r>
        <w:rPr>
          <w:i/>
          <w:sz w:val="21"/>
        </w:rPr>
        <w:t>any</w:t>
      </w:r>
      <w:r>
        <w:rPr>
          <w:i/>
          <w:spacing w:val="-35"/>
          <w:sz w:val="21"/>
        </w:rPr>
        <w:t> </w:t>
      </w:r>
      <w:r>
        <w:rPr>
          <w:i/>
          <w:sz w:val="21"/>
        </w:rPr>
        <w:t>other</w:t>
      </w:r>
      <w:r>
        <w:rPr>
          <w:i/>
          <w:spacing w:val="-35"/>
          <w:sz w:val="21"/>
        </w:rPr>
        <w:t> </w:t>
      </w:r>
      <w:r>
        <w:rPr>
          <w:i/>
          <w:sz w:val="21"/>
        </w:rPr>
        <w:t>means.</w:t>
      </w:r>
    </w:p>
    <w:p>
      <w:pPr>
        <w:pStyle w:val="BodyText"/>
        <w:spacing w:before="10"/>
        <w:rPr>
          <w:i/>
          <w:sz w:val="23"/>
        </w:rPr>
      </w:pPr>
    </w:p>
    <w:p>
      <w:pPr>
        <w:pStyle w:val="BodyText"/>
        <w:ind w:left="120" w:right="210"/>
        <w:jc w:val="both"/>
      </w:pPr>
      <w:r>
        <w:rPr/>
        <w:t>As with other Australian mental health Acts, the Victorian legislation provides that a person may only be subject to involuntary treatment if certain criteria are met. These qualifications are set out in s 5:</w:t>
      </w:r>
    </w:p>
    <w:p>
      <w:pPr>
        <w:pStyle w:val="BodyText"/>
        <w:spacing w:before="3"/>
      </w:pPr>
    </w:p>
    <w:p>
      <w:pPr>
        <w:spacing w:line="228" w:lineRule="auto" w:before="0"/>
        <w:ind w:left="687" w:right="0" w:firstLine="0"/>
        <w:jc w:val="left"/>
        <w:rPr>
          <w:i/>
          <w:sz w:val="21"/>
        </w:rPr>
      </w:pPr>
      <w:r>
        <w:rPr>
          <w:i/>
          <w:sz w:val="21"/>
        </w:rPr>
        <w:t>The</w:t>
      </w:r>
      <w:r>
        <w:rPr>
          <w:i/>
          <w:spacing w:val="-26"/>
          <w:sz w:val="21"/>
        </w:rPr>
        <w:t> </w:t>
      </w:r>
      <w:r>
        <w:rPr>
          <w:b/>
          <w:i/>
          <w:spacing w:val="11"/>
          <w:sz w:val="21"/>
        </w:rPr>
        <w:t>treatment</w:t>
      </w:r>
      <w:r>
        <w:rPr>
          <w:b/>
          <w:i/>
          <w:spacing w:val="-16"/>
          <w:sz w:val="21"/>
        </w:rPr>
        <w:t> </w:t>
      </w:r>
      <w:r>
        <w:rPr>
          <w:b/>
          <w:i/>
          <w:spacing w:val="10"/>
          <w:sz w:val="21"/>
        </w:rPr>
        <w:t>criteria</w:t>
      </w:r>
      <w:r>
        <w:rPr>
          <w:b/>
          <w:i/>
          <w:spacing w:val="-14"/>
          <w:sz w:val="21"/>
        </w:rPr>
        <w:t> </w:t>
      </w:r>
      <w:r>
        <w:rPr>
          <w:i/>
          <w:sz w:val="21"/>
        </w:rPr>
        <w:t>for</w:t>
      </w:r>
      <w:r>
        <w:rPr>
          <w:i/>
          <w:spacing w:val="-26"/>
          <w:sz w:val="21"/>
        </w:rPr>
        <w:t> </w:t>
      </w:r>
      <w:r>
        <w:rPr>
          <w:i/>
          <w:sz w:val="21"/>
        </w:rPr>
        <w:t>a</w:t>
      </w:r>
      <w:r>
        <w:rPr>
          <w:i/>
          <w:spacing w:val="-25"/>
          <w:sz w:val="21"/>
        </w:rPr>
        <w:t> </w:t>
      </w:r>
      <w:r>
        <w:rPr>
          <w:i/>
          <w:sz w:val="21"/>
        </w:rPr>
        <w:t>person</w:t>
      </w:r>
      <w:r>
        <w:rPr>
          <w:i/>
          <w:spacing w:val="-26"/>
          <w:sz w:val="21"/>
        </w:rPr>
        <w:t> </w:t>
      </w:r>
      <w:r>
        <w:rPr>
          <w:i/>
          <w:sz w:val="21"/>
        </w:rPr>
        <w:t>to</w:t>
      </w:r>
      <w:r>
        <w:rPr>
          <w:i/>
          <w:spacing w:val="-25"/>
          <w:sz w:val="21"/>
        </w:rPr>
        <w:t> </w:t>
      </w:r>
      <w:r>
        <w:rPr>
          <w:i/>
          <w:sz w:val="21"/>
        </w:rPr>
        <w:t>be</w:t>
      </w:r>
      <w:r>
        <w:rPr>
          <w:i/>
          <w:spacing w:val="-26"/>
          <w:sz w:val="21"/>
        </w:rPr>
        <w:t> </w:t>
      </w:r>
      <w:r>
        <w:rPr>
          <w:i/>
          <w:sz w:val="21"/>
        </w:rPr>
        <w:t>made</w:t>
      </w:r>
      <w:r>
        <w:rPr>
          <w:i/>
          <w:spacing w:val="-26"/>
          <w:sz w:val="21"/>
        </w:rPr>
        <w:t> </w:t>
      </w:r>
      <w:r>
        <w:rPr>
          <w:i/>
          <w:sz w:val="21"/>
        </w:rPr>
        <w:t>subject</w:t>
      </w:r>
      <w:r>
        <w:rPr>
          <w:i/>
          <w:spacing w:val="-25"/>
          <w:sz w:val="21"/>
        </w:rPr>
        <w:t> </w:t>
      </w:r>
      <w:r>
        <w:rPr>
          <w:i/>
          <w:sz w:val="21"/>
        </w:rPr>
        <w:t>to</w:t>
      </w:r>
      <w:r>
        <w:rPr>
          <w:i/>
          <w:spacing w:val="-25"/>
          <w:sz w:val="21"/>
        </w:rPr>
        <w:t> </w:t>
      </w:r>
      <w:r>
        <w:rPr>
          <w:i/>
          <w:sz w:val="21"/>
        </w:rPr>
        <w:t>a</w:t>
      </w:r>
      <w:r>
        <w:rPr>
          <w:i/>
          <w:spacing w:val="-26"/>
          <w:sz w:val="21"/>
        </w:rPr>
        <w:t> </w:t>
      </w:r>
      <w:r>
        <w:rPr>
          <w:i/>
          <w:sz w:val="21"/>
        </w:rPr>
        <w:t>Temporary</w:t>
      </w:r>
      <w:r>
        <w:rPr>
          <w:i/>
          <w:spacing w:val="-26"/>
          <w:sz w:val="21"/>
        </w:rPr>
        <w:t> </w:t>
      </w:r>
      <w:r>
        <w:rPr>
          <w:i/>
          <w:sz w:val="21"/>
        </w:rPr>
        <w:t>Treatment</w:t>
      </w:r>
      <w:r>
        <w:rPr>
          <w:i/>
          <w:spacing w:val="-25"/>
          <w:sz w:val="21"/>
        </w:rPr>
        <w:t> </w:t>
      </w:r>
      <w:r>
        <w:rPr>
          <w:i/>
          <w:sz w:val="21"/>
        </w:rPr>
        <w:t>Order</w:t>
      </w:r>
      <w:r>
        <w:rPr>
          <w:i/>
          <w:spacing w:val="-26"/>
          <w:sz w:val="21"/>
        </w:rPr>
        <w:t> </w:t>
      </w:r>
      <w:r>
        <w:rPr>
          <w:i/>
          <w:sz w:val="21"/>
        </w:rPr>
        <w:t>or </w:t>
      </w:r>
      <w:r>
        <w:rPr>
          <w:i/>
          <w:w w:val="95"/>
          <w:sz w:val="21"/>
        </w:rPr>
        <w:t>Treatment Order</w:t>
      </w:r>
      <w:r>
        <w:rPr>
          <w:i/>
          <w:spacing w:val="-2"/>
          <w:w w:val="95"/>
          <w:sz w:val="21"/>
        </w:rPr>
        <w:t> </w:t>
      </w:r>
      <w:r>
        <w:rPr>
          <w:i/>
          <w:w w:val="95"/>
          <w:sz w:val="21"/>
        </w:rPr>
        <w:t>are—</w:t>
      </w:r>
    </w:p>
    <w:p>
      <w:pPr>
        <w:pStyle w:val="BodyText"/>
        <w:rPr>
          <w:i/>
          <w:sz w:val="23"/>
        </w:rPr>
      </w:pPr>
    </w:p>
    <w:p>
      <w:pPr>
        <w:pStyle w:val="ListParagraph"/>
        <w:numPr>
          <w:ilvl w:val="0"/>
          <w:numId w:val="3"/>
        </w:numPr>
        <w:tabs>
          <w:tab w:pos="1010" w:val="left" w:leader="none"/>
        </w:tabs>
        <w:spacing w:line="247" w:lineRule="exact" w:before="0" w:after="0"/>
        <w:ind w:left="970" w:right="0" w:hanging="282"/>
        <w:jc w:val="left"/>
        <w:rPr>
          <w:i/>
          <w:sz w:val="21"/>
        </w:rPr>
      </w:pPr>
      <w:r>
        <w:rPr>
          <w:i/>
          <w:sz w:val="21"/>
        </w:rPr>
        <w:t>the</w:t>
      </w:r>
      <w:r>
        <w:rPr>
          <w:i/>
          <w:spacing w:val="-33"/>
          <w:sz w:val="21"/>
        </w:rPr>
        <w:t> </w:t>
      </w:r>
      <w:r>
        <w:rPr>
          <w:i/>
          <w:sz w:val="21"/>
        </w:rPr>
        <w:t>person</w:t>
      </w:r>
      <w:r>
        <w:rPr>
          <w:i/>
          <w:spacing w:val="-34"/>
          <w:sz w:val="21"/>
        </w:rPr>
        <w:t> </w:t>
      </w:r>
      <w:r>
        <w:rPr>
          <w:i/>
          <w:sz w:val="21"/>
        </w:rPr>
        <w:t>has</w:t>
      </w:r>
      <w:r>
        <w:rPr>
          <w:i/>
          <w:spacing w:val="-33"/>
          <w:sz w:val="21"/>
        </w:rPr>
        <w:t> </w:t>
      </w:r>
      <w:r>
        <w:rPr>
          <w:i/>
          <w:sz w:val="21"/>
        </w:rPr>
        <w:t>mental</w:t>
      </w:r>
      <w:r>
        <w:rPr>
          <w:i/>
          <w:spacing w:val="-34"/>
          <w:sz w:val="21"/>
        </w:rPr>
        <w:t> </w:t>
      </w:r>
      <w:r>
        <w:rPr>
          <w:i/>
          <w:sz w:val="21"/>
        </w:rPr>
        <w:t>illness;</w:t>
      </w:r>
      <w:r>
        <w:rPr>
          <w:i/>
          <w:spacing w:val="-34"/>
          <w:sz w:val="21"/>
        </w:rPr>
        <w:t> </w:t>
      </w:r>
      <w:r>
        <w:rPr>
          <w:i/>
          <w:sz w:val="21"/>
        </w:rPr>
        <w:t>and</w:t>
      </w:r>
    </w:p>
    <w:p>
      <w:pPr>
        <w:pStyle w:val="ListParagraph"/>
        <w:numPr>
          <w:ilvl w:val="0"/>
          <w:numId w:val="3"/>
        </w:numPr>
        <w:tabs>
          <w:tab w:pos="1015" w:val="left" w:leader="none"/>
        </w:tabs>
        <w:spacing w:line="241" w:lineRule="exact" w:before="0" w:after="0"/>
        <w:ind w:left="1014" w:right="0" w:hanging="327"/>
        <w:jc w:val="left"/>
        <w:rPr>
          <w:i/>
          <w:sz w:val="21"/>
        </w:rPr>
      </w:pPr>
      <w:r>
        <w:rPr>
          <w:i/>
          <w:sz w:val="21"/>
        </w:rPr>
        <w:t>because</w:t>
      </w:r>
      <w:r>
        <w:rPr>
          <w:i/>
          <w:spacing w:val="-37"/>
          <w:sz w:val="21"/>
        </w:rPr>
        <w:t> </w:t>
      </w:r>
      <w:r>
        <w:rPr>
          <w:i/>
          <w:sz w:val="21"/>
        </w:rPr>
        <w:t>the</w:t>
      </w:r>
      <w:r>
        <w:rPr>
          <w:i/>
          <w:spacing w:val="-37"/>
          <w:sz w:val="21"/>
        </w:rPr>
        <w:t> </w:t>
      </w:r>
      <w:r>
        <w:rPr>
          <w:i/>
          <w:sz w:val="21"/>
        </w:rPr>
        <w:t>person</w:t>
      </w:r>
      <w:r>
        <w:rPr>
          <w:i/>
          <w:spacing w:val="-37"/>
          <w:sz w:val="21"/>
        </w:rPr>
        <w:t> </w:t>
      </w:r>
      <w:r>
        <w:rPr>
          <w:i/>
          <w:sz w:val="21"/>
        </w:rPr>
        <w:t>has</w:t>
      </w:r>
      <w:r>
        <w:rPr>
          <w:i/>
          <w:spacing w:val="-37"/>
          <w:sz w:val="21"/>
        </w:rPr>
        <w:t> </w:t>
      </w:r>
      <w:r>
        <w:rPr>
          <w:i/>
          <w:sz w:val="21"/>
        </w:rPr>
        <w:t>mental</w:t>
      </w:r>
      <w:r>
        <w:rPr>
          <w:i/>
          <w:spacing w:val="-37"/>
          <w:sz w:val="21"/>
        </w:rPr>
        <w:t> </w:t>
      </w:r>
      <w:r>
        <w:rPr>
          <w:i/>
          <w:sz w:val="21"/>
        </w:rPr>
        <w:t>illness,</w:t>
      </w:r>
      <w:r>
        <w:rPr>
          <w:i/>
          <w:spacing w:val="-37"/>
          <w:sz w:val="21"/>
        </w:rPr>
        <w:t> </w:t>
      </w:r>
      <w:r>
        <w:rPr>
          <w:i/>
          <w:sz w:val="21"/>
        </w:rPr>
        <w:t>the</w:t>
      </w:r>
      <w:r>
        <w:rPr>
          <w:i/>
          <w:spacing w:val="-37"/>
          <w:sz w:val="21"/>
        </w:rPr>
        <w:t> </w:t>
      </w:r>
      <w:r>
        <w:rPr>
          <w:i/>
          <w:sz w:val="21"/>
        </w:rPr>
        <w:t>person</w:t>
      </w:r>
      <w:r>
        <w:rPr>
          <w:i/>
          <w:spacing w:val="-37"/>
          <w:sz w:val="21"/>
        </w:rPr>
        <w:t> </w:t>
      </w:r>
      <w:r>
        <w:rPr>
          <w:i/>
          <w:sz w:val="21"/>
        </w:rPr>
        <w:t>needs</w:t>
      </w:r>
      <w:r>
        <w:rPr>
          <w:i/>
          <w:spacing w:val="-37"/>
          <w:sz w:val="21"/>
        </w:rPr>
        <w:t> </w:t>
      </w:r>
      <w:r>
        <w:rPr>
          <w:i/>
          <w:sz w:val="21"/>
        </w:rPr>
        <w:t>immediate</w:t>
      </w:r>
      <w:r>
        <w:rPr>
          <w:i/>
          <w:spacing w:val="-37"/>
          <w:sz w:val="21"/>
        </w:rPr>
        <w:t> </w:t>
      </w:r>
      <w:r>
        <w:rPr>
          <w:i/>
          <w:sz w:val="21"/>
        </w:rPr>
        <w:t>treatment</w:t>
      </w:r>
      <w:r>
        <w:rPr>
          <w:i/>
          <w:spacing w:val="-37"/>
          <w:sz w:val="21"/>
        </w:rPr>
        <w:t> </w:t>
      </w:r>
      <w:r>
        <w:rPr>
          <w:i/>
          <w:sz w:val="21"/>
        </w:rPr>
        <w:t>to</w:t>
      </w:r>
      <w:r>
        <w:rPr>
          <w:i/>
          <w:spacing w:val="-37"/>
          <w:sz w:val="21"/>
        </w:rPr>
        <w:t> </w:t>
      </w:r>
      <w:r>
        <w:rPr>
          <w:i/>
          <w:sz w:val="21"/>
        </w:rPr>
        <w:t>prevent—</w:t>
      </w:r>
    </w:p>
    <w:p>
      <w:pPr>
        <w:pStyle w:val="ListParagraph"/>
        <w:numPr>
          <w:ilvl w:val="0"/>
          <w:numId w:val="4"/>
        </w:numPr>
        <w:tabs>
          <w:tab w:pos="1012" w:val="left" w:leader="none"/>
        </w:tabs>
        <w:spacing w:line="241" w:lineRule="exact" w:before="0" w:after="0"/>
        <w:ind w:left="1011" w:right="0" w:hanging="324"/>
        <w:jc w:val="left"/>
        <w:rPr>
          <w:i/>
          <w:sz w:val="21"/>
        </w:rPr>
      </w:pPr>
      <w:r>
        <w:rPr>
          <w:i/>
          <w:sz w:val="21"/>
        </w:rPr>
        <w:t>serious</w:t>
      </w:r>
      <w:r>
        <w:rPr>
          <w:i/>
          <w:spacing w:val="-35"/>
          <w:sz w:val="21"/>
        </w:rPr>
        <w:t> </w:t>
      </w:r>
      <w:r>
        <w:rPr>
          <w:i/>
          <w:sz w:val="21"/>
        </w:rPr>
        <w:t>deterioration</w:t>
      </w:r>
      <w:r>
        <w:rPr>
          <w:i/>
          <w:spacing w:val="-36"/>
          <w:sz w:val="21"/>
        </w:rPr>
        <w:t> </w:t>
      </w:r>
      <w:r>
        <w:rPr>
          <w:i/>
          <w:sz w:val="21"/>
        </w:rPr>
        <w:t>in</w:t>
      </w:r>
      <w:r>
        <w:rPr>
          <w:i/>
          <w:spacing w:val="-36"/>
          <w:sz w:val="21"/>
        </w:rPr>
        <w:t> </w:t>
      </w:r>
      <w:r>
        <w:rPr>
          <w:i/>
          <w:sz w:val="21"/>
        </w:rPr>
        <w:t>the</w:t>
      </w:r>
      <w:r>
        <w:rPr>
          <w:i/>
          <w:spacing w:val="-35"/>
          <w:sz w:val="21"/>
        </w:rPr>
        <w:t> </w:t>
      </w:r>
      <w:r>
        <w:rPr>
          <w:i/>
          <w:sz w:val="21"/>
        </w:rPr>
        <w:t>person's</w:t>
      </w:r>
      <w:r>
        <w:rPr>
          <w:i/>
          <w:spacing w:val="-36"/>
          <w:sz w:val="21"/>
        </w:rPr>
        <w:t> </w:t>
      </w:r>
      <w:r>
        <w:rPr>
          <w:i/>
          <w:sz w:val="21"/>
        </w:rPr>
        <w:t>mental</w:t>
      </w:r>
      <w:r>
        <w:rPr>
          <w:i/>
          <w:spacing w:val="-36"/>
          <w:sz w:val="21"/>
        </w:rPr>
        <w:t> </w:t>
      </w:r>
      <w:r>
        <w:rPr>
          <w:i/>
          <w:sz w:val="21"/>
        </w:rPr>
        <w:t>or</w:t>
      </w:r>
      <w:r>
        <w:rPr>
          <w:i/>
          <w:spacing w:val="-36"/>
          <w:sz w:val="21"/>
        </w:rPr>
        <w:t> </w:t>
      </w:r>
      <w:r>
        <w:rPr>
          <w:i/>
          <w:sz w:val="21"/>
        </w:rPr>
        <w:t>physical</w:t>
      </w:r>
      <w:r>
        <w:rPr>
          <w:i/>
          <w:spacing w:val="-36"/>
          <w:sz w:val="21"/>
        </w:rPr>
        <w:t> </w:t>
      </w:r>
      <w:r>
        <w:rPr>
          <w:i/>
          <w:sz w:val="21"/>
        </w:rPr>
        <w:t>health;</w:t>
      </w:r>
      <w:r>
        <w:rPr>
          <w:i/>
          <w:spacing w:val="-36"/>
          <w:sz w:val="21"/>
        </w:rPr>
        <w:t> </w:t>
      </w:r>
      <w:r>
        <w:rPr>
          <w:i/>
          <w:sz w:val="21"/>
        </w:rPr>
        <w:t>or</w:t>
      </w:r>
    </w:p>
    <w:p>
      <w:pPr>
        <w:pStyle w:val="ListParagraph"/>
        <w:numPr>
          <w:ilvl w:val="0"/>
          <w:numId w:val="4"/>
        </w:numPr>
        <w:tabs>
          <w:tab w:pos="995" w:val="left" w:leader="none"/>
        </w:tabs>
        <w:spacing w:line="242" w:lineRule="exact" w:before="0" w:after="0"/>
        <w:ind w:left="994" w:right="0" w:hanging="307"/>
        <w:jc w:val="left"/>
        <w:rPr>
          <w:i/>
          <w:sz w:val="21"/>
        </w:rPr>
      </w:pPr>
      <w:r>
        <w:rPr>
          <w:i/>
          <w:sz w:val="21"/>
        </w:rPr>
        <w:t>serious</w:t>
      </w:r>
      <w:r>
        <w:rPr>
          <w:i/>
          <w:spacing w:val="-29"/>
          <w:sz w:val="21"/>
        </w:rPr>
        <w:t> </w:t>
      </w:r>
      <w:r>
        <w:rPr>
          <w:i/>
          <w:sz w:val="21"/>
        </w:rPr>
        <w:t>harm</w:t>
      </w:r>
      <w:r>
        <w:rPr>
          <w:i/>
          <w:spacing w:val="-29"/>
          <w:sz w:val="21"/>
        </w:rPr>
        <w:t> </w:t>
      </w:r>
      <w:r>
        <w:rPr>
          <w:i/>
          <w:sz w:val="21"/>
        </w:rPr>
        <w:t>to</w:t>
      </w:r>
      <w:r>
        <w:rPr>
          <w:i/>
          <w:spacing w:val="-29"/>
          <w:sz w:val="21"/>
        </w:rPr>
        <w:t> </w:t>
      </w:r>
      <w:r>
        <w:rPr>
          <w:i/>
          <w:sz w:val="21"/>
        </w:rPr>
        <w:t>the</w:t>
      </w:r>
      <w:r>
        <w:rPr>
          <w:i/>
          <w:spacing w:val="-29"/>
          <w:sz w:val="21"/>
        </w:rPr>
        <w:t> </w:t>
      </w:r>
      <w:r>
        <w:rPr>
          <w:i/>
          <w:sz w:val="21"/>
        </w:rPr>
        <w:t>person</w:t>
      </w:r>
      <w:r>
        <w:rPr>
          <w:i/>
          <w:spacing w:val="-30"/>
          <w:sz w:val="21"/>
        </w:rPr>
        <w:t> </w:t>
      </w:r>
      <w:r>
        <w:rPr>
          <w:i/>
          <w:sz w:val="21"/>
        </w:rPr>
        <w:t>or</w:t>
      </w:r>
      <w:r>
        <w:rPr>
          <w:i/>
          <w:spacing w:val="-29"/>
          <w:sz w:val="21"/>
        </w:rPr>
        <w:t> </w:t>
      </w:r>
      <w:r>
        <w:rPr>
          <w:i/>
          <w:sz w:val="21"/>
        </w:rPr>
        <w:t>to</w:t>
      </w:r>
      <w:r>
        <w:rPr>
          <w:i/>
          <w:spacing w:val="-30"/>
          <w:sz w:val="21"/>
        </w:rPr>
        <w:t> </w:t>
      </w:r>
      <w:r>
        <w:rPr>
          <w:i/>
          <w:sz w:val="21"/>
        </w:rPr>
        <w:t>another</w:t>
      </w:r>
      <w:r>
        <w:rPr>
          <w:i/>
          <w:spacing w:val="-29"/>
          <w:sz w:val="21"/>
        </w:rPr>
        <w:t> </w:t>
      </w:r>
      <w:r>
        <w:rPr>
          <w:i/>
          <w:sz w:val="21"/>
        </w:rPr>
        <w:t>person;</w:t>
      </w:r>
      <w:r>
        <w:rPr>
          <w:i/>
          <w:spacing w:val="-30"/>
          <w:sz w:val="21"/>
        </w:rPr>
        <w:t> </w:t>
      </w:r>
      <w:r>
        <w:rPr>
          <w:i/>
          <w:sz w:val="21"/>
        </w:rPr>
        <w:t>and</w:t>
      </w:r>
    </w:p>
    <w:p>
      <w:pPr>
        <w:pStyle w:val="ListParagraph"/>
        <w:numPr>
          <w:ilvl w:val="0"/>
          <w:numId w:val="3"/>
        </w:numPr>
        <w:tabs>
          <w:tab w:pos="989" w:val="left" w:leader="none"/>
        </w:tabs>
        <w:spacing w:line="228" w:lineRule="auto" w:before="7" w:after="0"/>
        <w:ind w:left="970" w:right="211" w:hanging="283"/>
        <w:jc w:val="left"/>
        <w:rPr>
          <w:i/>
          <w:sz w:val="21"/>
        </w:rPr>
      </w:pPr>
      <w:r>
        <w:rPr>
          <w:i/>
          <w:sz w:val="21"/>
        </w:rPr>
        <w:t>the</w:t>
      </w:r>
      <w:r>
        <w:rPr>
          <w:i/>
          <w:spacing w:val="-36"/>
          <w:sz w:val="21"/>
        </w:rPr>
        <w:t> </w:t>
      </w:r>
      <w:r>
        <w:rPr>
          <w:i/>
          <w:sz w:val="21"/>
        </w:rPr>
        <w:t>immediate</w:t>
      </w:r>
      <w:r>
        <w:rPr>
          <w:i/>
          <w:spacing w:val="-36"/>
          <w:sz w:val="21"/>
        </w:rPr>
        <w:t> </w:t>
      </w:r>
      <w:r>
        <w:rPr>
          <w:i/>
          <w:sz w:val="21"/>
        </w:rPr>
        <w:t>treatment</w:t>
      </w:r>
      <w:r>
        <w:rPr>
          <w:i/>
          <w:spacing w:val="-36"/>
          <w:sz w:val="21"/>
        </w:rPr>
        <w:t> </w:t>
      </w:r>
      <w:r>
        <w:rPr>
          <w:i/>
          <w:sz w:val="21"/>
        </w:rPr>
        <w:t>will</w:t>
      </w:r>
      <w:r>
        <w:rPr>
          <w:i/>
          <w:spacing w:val="-36"/>
          <w:sz w:val="21"/>
        </w:rPr>
        <w:t> </w:t>
      </w:r>
      <w:r>
        <w:rPr>
          <w:i/>
          <w:sz w:val="21"/>
        </w:rPr>
        <w:t>be</w:t>
      </w:r>
      <w:r>
        <w:rPr>
          <w:i/>
          <w:spacing w:val="-36"/>
          <w:sz w:val="21"/>
        </w:rPr>
        <w:t> </w:t>
      </w:r>
      <w:r>
        <w:rPr>
          <w:i/>
          <w:sz w:val="21"/>
        </w:rPr>
        <w:t>provided</w:t>
      </w:r>
      <w:r>
        <w:rPr>
          <w:i/>
          <w:spacing w:val="-36"/>
          <w:sz w:val="21"/>
        </w:rPr>
        <w:t> </w:t>
      </w:r>
      <w:r>
        <w:rPr>
          <w:i/>
          <w:sz w:val="21"/>
        </w:rPr>
        <w:t>to</w:t>
      </w:r>
      <w:r>
        <w:rPr>
          <w:i/>
          <w:spacing w:val="-36"/>
          <w:sz w:val="21"/>
        </w:rPr>
        <w:t> </w:t>
      </w:r>
      <w:r>
        <w:rPr>
          <w:i/>
          <w:sz w:val="21"/>
        </w:rPr>
        <w:t>the</w:t>
      </w:r>
      <w:r>
        <w:rPr>
          <w:i/>
          <w:spacing w:val="-36"/>
          <w:sz w:val="21"/>
        </w:rPr>
        <w:t> </w:t>
      </w:r>
      <w:r>
        <w:rPr>
          <w:i/>
          <w:sz w:val="21"/>
        </w:rPr>
        <w:t>person</w:t>
      </w:r>
      <w:r>
        <w:rPr>
          <w:i/>
          <w:spacing w:val="-36"/>
          <w:sz w:val="21"/>
        </w:rPr>
        <w:t> </w:t>
      </w:r>
      <w:r>
        <w:rPr>
          <w:i/>
          <w:sz w:val="21"/>
        </w:rPr>
        <w:t>if</w:t>
      </w:r>
      <w:r>
        <w:rPr>
          <w:i/>
          <w:spacing w:val="-36"/>
          <w:sz w:val="21"/>
        </w:rPr>
        <w:t> </w:t>
      </w:r>
      <w:r>
        <w:rPr>
          <w:i/>
          <w:sz w:val="21"/>
        </w:rPr>
        <w:t>the</w:t>
      </w:r>
      <w:r>
        <w:rPr>
          <w:i/>
          <w:spacing w:val="-36"/>
          <w:sz w:val="21"/>
        </w:rPr>
        <w:t> </w:t>
      </w:r>
      <w:r>
        <w:rPr>
          <w:i/>
          <w:sz w:val="21"/>
        </w:rPr>
        <w:t>person</w:t>
      </w:r>
      <w:r>
        <w:rPr>
          <w:i/>
          <w:spacing w:val="-36"/>
          <w:sz w:val="21"/>
        </w:rPr>
        <w:t> </w:t>
      </w:r>
      <w:r>
        <w:rPr>
          <w:i/>
          <w:sz w:val="21"/>
        </w:rPr>
        <w:t>is</w:t>
      </w:r>
      <w:r>
        <w:rPr>
          <w:i/>
          <w:spacing w:val="-36"/>
          <w:sz w:val="21"/>
        </w:rPr>
        <w:t> </w:t>
      </w:r>
      <w:r>
        <w:rPr>
          <w:i/>
          <w:sz w:val="21"/>
        </w:rPr>
        <w:t>subject</w:t>
      </w:r>
      <w:r>
        <w:rPr>
          <w:i/>
          <w:spacing w:val="-36"/>
          <w:sz w:val="21"/>
        </w:rPr>
        <w:t> </w:t>
      </w:r>
      <w:r>
        <w:rPr>
          <w:i/>
          <w:sz w:val="21"/>
        </w:rPr>
        <w:t>to</w:t>
      </w:r>
      <w:r>
        <w:rPr>
          <w:i/>
          <w:spacing w:val="-36"/>
          <w:sz w:val="21"/>
        </w:rPr>
        <w:t> </w:t>
      </w:r>
      <w:r>
        <w:rPr>
          <w:i/>
          <w:sz w:val="21"/>
        </w:rPr>
        <w:t>a</w:t>
      </w:r>
      <w:r>
        <w:rPr>
          <w:i/>
          <w:spacing w:val="-36"/>
          <w:sz w:val="21"/>
        </w:rPr>
        <w:t> </w:t>
      </w:r>
      <w:r>
        <w:rPr>
          <w:i/>
          <w:sz w:val="21"/>
        </w:rPr>
        <w:t>Temporary Treatment</w:t>
      </w:r>
      <w:r>
        <w:rPr>
          <w:i/>
          <w:spacing w:val="-41"/>
          <w:sz w:val="21"/>
        </w:rPr>
        <w:t> </w:t>
      </w:r>
      <w:r>
        <w:rPr>
          <w:i/>
          <w:sz w:val="21"/>
        </w:rPr>
        <w:t>Order</w:t>
      </w:r>
      <w:r>
        <w:rPr>
          <w:i/>
          <w:spacing w:val="-41"/>
          <w:sz w:val="21"/>
        </w:rPr>
        <w:t> </w:t>
      </w:r>
      <w:r>
        <w:rPr>
          <w:i/>
          <w:sz w:val="21"/>
        </w:rPr>
        <w:t>or</w:t>
      </w:r>
      <w:r>
        <w:rPr>
          <w:i/>
          <w:spacing w:val="-41"/>
          <w:sz w:val="21"/>
        </w:rPr>
        <w:t> </w:t>
      </w:r>
      <w:r>
        <w:rPr>
          <w:i/>
          <w:sz w:val="21"/>
        </w:rPr>
        <w:t>Treatment</w:t>
      </w:r>
      <w:r>
        <w:rPr>
          <w:i/>
          <w:spacing w:val="-41"/>
          <w:sz w:val="21"/>
        </w:rPr>
        <w:t> </w:t>
      </w:r>
      <w:r>
        <w:rPr>
          <w:i/>
          <w:sz w:val="21"/>
        </w:rPr>
        <w:t>Order;</w:t>
      </w:r>
      <w:r>
        <w:rPr>
          <w:i/>
          <w:spacing w:val="-41"/>
          <w:sz w:val="21"/>
        </w:rPr>
        <w:t> </w:t>
      </w:r>
      <w:r>
        <w:rPr>
          <w:i/>
          <w:sz w:val="21"/>
        </w:rPr>
        <w:t>and</w:t>
      </w:r>
    </w:p>
    <w:p>
      <w:pPr>
        <w:pStyle w:val="ListParagraph"/>
        <w:numPr>
          <w:ilvl w:val="0"/>
          <w:numId w:val="3"/>
        </w:numPr>
        <w:tabs>
          <w:tab w:pos="1037" w:val="left" w:leader="none"/>
        </w:tabs>
        <w:spacing w:line="228" w:lineRule="auto" w:before="0" w:after="0"/>
        <w:ind w:left="1027" w:right="210" w:hanging="340"/>
        <w:jc w:val="left"/>
        <w:rPr>
          <w:i/>
          <w:sz w:val="21"/>
        </w:rPr>
      </w:pPr>
      <w:r>
        <w:rPr>
          <w:i/>
          <w:sz w:val="21"/>
        </w:rPr>
        <w:t>there</w:t>
      </w:r>
      <w:r>
        <w:rPr>
          <w:i/>
          <w:spacing w:val="-8"/>
          <w:sz w:val="21"/>
        </w:rPr>
        <w:t> </w:t>
      </w:r>
      <w:r>
        <w:rPr>
          <w:i/>
          <w:sz w:val="21"/>
        </w:rPr>
        <w:t>is</w:t>
      </w:r>
      <w:r>
        <w:rPr>
          <w:i/>
          <w:spacing w:val="-8"/>
          <w:sz w:val="21"/>
        </w:rPr>
        <w:t> </w:t>
      </w:r>
      <w:r>
        <w:rPr>
          <w:i/>
          <w:sz w:val="21"/>
        </w:rPr>
        <w:t>no</w:t>
      </w:r>
      <w:r>
        <w:rPr>
          <w:i/>
          <w:spacing w:val="-8"/>
          <w:sz w:val="21"/>
        </w:rPr>
        <w:t> </w:t>
      </w:r>
      <w:r>
        <w:rPr>
          <w:i/>
          <w:sz w:val="21"/>
        </w:rPr>
        <w:t>less</w:t>
      </w:r>
      <w:r>
        <w:rPr>
          <w:i/>
          <w:spacing w:val="-8"/>
          <w:sz w:val="21"/>
        </w:rPr>
        <w:t> </w:t>
      </w:r>
      <w:r>
        <w:rPr>
          <w:i/>
          <w:sz w:val="21"/>
        </w:rPr>
        <w:t>restrictive</w:t>
      </w:r>
      <w:r>
        <w:rPr>
          <w:i/>
          <w:spacing w:val="-8"/>
          <w:sz w:val="21"/>
        </w:rPr>
        <w:t> </w:t>
      </w:r>
      <w:r>
        <w:rPr>
          <w:i/>
          <w:sz w:val="21"/>
        </w:rPr>
        <w:t>means</w:t>
      </w:r>
      <w:r>
        <w:rPr>
          <w:i/>
          <w:spacing w:val="-8"/>
          <w:sz w:val="21"/>
        </w:rPr>
        <w:t> </w:t>
      </w:r>
      <w:r>
        <w:rPr>
          <w:i/>
          <w:sz w:val="21"/>
        </w:rPr>
        <w:t>reasonably</w:t>
      </w:r>
      <w:r>
        <w:rPr>
          <w:i/>
          <w:spacing w:val="-9"/>
          <w:sz w:val="21"/>
        </w:rPr>
        <w:t> </w:t>
      </w:r>
      <w:r>
        <w:rPr>
          <w:i/>
          <w:sz w:val="21"/>
        </w:rPr>
        <w:t>available</w:t>
      </w:r>
      <w:r>
        <w:rPr>
          <w:i/>
          <w:spacing w:val="-8"/>
          <w:sz w:val="21"/>
        </w:rPr>
        <w:t> </w:t>
      </w:r>
      <w:r>
        <w:rPr>
          <w:i/>
          <w:sz w:val="21"/>
        </w:rPr>
        <w:t>to</w:t>
      </w:r>
      <w:r>
        <w:rPr>
          <w:i/>
          <w:spacing w:val="-9"/>
          <w:sz w:val="21"/>
        </w:rPr>
        <w:t> </w:t>
      </w:r>
      <w:r>
        <w:rPr>
          <w:i/>
          <w:sz w:val="21"/>
        </w:rPr>
        <w:t>enable</w:t>
      </w:r>
      <w:r>
        <w:rPr>
          <w:i/>
          <w:spacing w:val="-8"/>
          <w:sz w:val="21"/>
        </w:rPr>
        <w:t> </w:t>
      </w:r>
      <w:r>
        <w:rPr>
          <w:i/>
          <w:sz w:val="21"/>
        </w:rPr>
        <w:t>the</w:t>
      </w:r>
      <w:r>
        <w:rPr>
          <w:i/>
          <w:spacing w:val="-8"/>
          <w:sz w:val="21"/>
        </w:rPr>
        <w:t> </w:t>
      </w:r>
      <w:r>
        <w:rPr>
          <w:i/>
          <w:sz w:val="21"/>
        </w:rPr>
        <w:t>person</w:t>
      </w:r>
      <w:r>
        <w:rPr>
          <w:i/>
          <w:spacing w:val="-9"/>
          <w:sz w:val="21"/>
        </w:rPr>
        <w:t> </w:t>
      </w:r>
      <w:r>
        <w:rPr>
          <w:i/>
          <w:sz w:val="21"/>
        </w:rPr>
        <w:t>to</w:t>
      </w:r>
      <w:r>
        <w:rPr>
          <w:i/>
          <w:spacing w:val="-8"/>
          <w:sz w:val="21"/>
        </w:rPr>
        <w:t> </w:t>
      </w:r>
      <w:r>
        <w:rPr>
          <w:i/>
          <w:sz w:val="21"/>
        </w:rPr>
        <w:t>receive</w:t>
      </w:r>
      <w:r>
        <w:rPr>
          <w:i/>
          <w:spacing w:val="-8"/>
          <w:sz w:val="21"/>
        </w:rPr>
        <w:t> </w:t>
      </w:r>
      <w:r>
        <w:rPr>
          <w:i/>
          <w:sz w:val="21"/>
        </w:rPr>
        <w:t>the </w:t>
      </w:r>
      <w:r>
        <w:rPr>
          <w:i/>
          <w:w w:val="95"/>
          <w:sz w:val="21"/>
        </w:rPr>
        <w:t>immediate</w:t>
      </w:r>
      <w:r>
        <w:rPr>
          <w:i/>
          <w:spacing w:val="-5"/>
          <w:w w:val="95"/>
          <w:sz w:val="21"/>
        </w:rPr>
        <w:t> </w:t>
      </w:r>
      <w:r>
        <w:rPr>
          <w:i/>
          <w:w w:val="95"/>
          <w:sz w:val="21"/>
        </w:rPr>
        <w:t>treatment.</w:t>
      </w:r>
    </w:p>
    <w:p>
      <w:pPr>
        <w:pStyle w:val="BodyText"/>
        <w:spacing w:before="9"/>
        <w:rPr>
          <w:i/>
          <w:sz w:val="23"/>
        </w:rPr>
      </w:pPr>
    </w:p>
    <w:p>
      <w:pPr>
        <w:pStyle w:val="BodyText"/>
        <w:ind w:left="120" w:right="209"/>
        <w:jc w:val="both"/>
      </w:pPr>
      <w:r>
        <w:rPr/>
        <w:t>We</w:t>
      </w:r>
      <w:r>
        <w:rPr>
          <w:spacing w:val="-7"/>
        </w:rPr>
        <w:t> </w:t>
      </w:r>
      <w:r>
        <w:rPr/>
        <w:t>argue</w:t>
      </w:r>
      <w:r>
        <w:rPr>
          <w:spacing w:val="-8"/>
        </w:rPr>
        <w:t> </w:t>
      </w:r>
      <w:r>
        <w:rPr/>
        <w:t>that</w:t>
      </w:r>
      <w:r>
        <w:rPr>
          <w:spacing w:val="-6"/>
        </w:rPr>
        <w:t> </w:t>
      </w:r>
      <w:r>
        <w:rPr/>
        <w:t>the</w:t>
      </w:r>
      <w:r>
        <w:rPr>
          <w:spacing w:val="-8"/>
        </w:rPr>
        <w:t> </w:t>
      </w:r>
      <w:r>
        <w:rPr/>
        <w:t>final</w:t>
      </w:r>
      <w:r>
        <w:rPr>
          <w:spacing w:val="-6"/>
        </w:rPr>
        <w:t> </w:t>
      </w:r>
      <w:r>
        <w:rPr/>
        <w:t>criterion,</w:t>
      </w:r>
      <w:r>
        <w:rPr>
          <w:spacing w:val="-7"/>
        </w:rPr>
        <w:t> </w:t>
      </w:r>
      <w:r>
        <w:rPr/>
        <w:t>the</w:t>
      </w:r>
      <w:r>
        <w:rPr>
          <w:spacing w:val="-7"/>
        </w:rPr>
        <w:t> </w:t>
      </w:r>
      <w:r>
        <w:rPr/>
        <w:t>least</w:t>
      </w:r>
      <w:r>
        <w:rPr>
          <w:spacing w:val="-7"/>
        </w:rPr>
        <w:t> </w:t>
      </w:r>
      <w:r>
        <w:rPr/>
        <w:t>restrictive</w:t>
      </w:r>
      <w:r>
        <w:rPr>
          <w:spacing w:val="-7"/>
        </w:rPr>
        <w:t> </w:t>
      </w:r>
      <w:r>
        <w:rPr/>
        <w:t>criterion,</w:t>
      </w:r>
      <w:r>
        <w:rPr>
          <w:spacing w:val="-7"/>
        </w:rPr>
        <w:t> </w:t>
      </w:r>
      <w:r>
        <w:rPr/>
        <w:t>requires</w:t>
      </w:r>
      <w:r>
        <w:rPr>
          <w:spacing w:val="-7"/>
        </w:rPr>
        <w:t> </w:t>
      </w:r>
      <w:r>
        <w:rPr/>
        <w:t>a</w:t>
      </w:r>
      <w:r>
        <w:rPr>
          <w:spacing w:val="-6"/>
        </w:rPr>
        <w:t> </w:t>
      </w:r>
      <w:r>
        <w:rPr/>
        <w:t>consideration of a person’s decision-making capacity. A competent person is already ‘enabled’ to receive the immediate treatment, as they are ‘able’ to make the decision themselves, and receive the treatment voluntarily.</w:t>
      </w:r>
      <w:hyperlink w:history="true" w:anchor="_bookmark12">
        <w:r>
          <w:rPr>
            <w:position w:val="8"/>
            <w:sz w:val="16"/>
          </w:rPr>
          <w:t>13</w:t>
        </w:r>
      </w:hyperlink>
      <w:r>
        <w:rPr>
          <w:position w:val="8"/>
          <w:sz w:val="16"/>
        </w:rPr>
        <w:t> </w:t>
      </w:r>
      <w:r>
        <w:rPr/>
        <w:t>As voluntary treatment must be preferred, forcing</w:t>
      </w:r>
      <w:r>
        <w:rPr>
          <w:spacing w:val="-18"/>
        </w:rPr>
        <w:t> </w:t>
      </w:r>
      <w:r>
        <w:rPr/>
        <w:t>a</w:t>
      </w:r>
      <w:r>
        <w:rPr>
          <w:spacing w:val="-18"/>
        </w:rPr>
        <w:t> </w:t>
      </w:r>
      <w:r>
        <w:rPr/>
        <w:t>competent</w:t>
      </w:r>
      <w:r>
        <w:rPr>
          <w:spacing w:val="-18"/>
        </w:rPr>
        <w:t> </w:t>
      </w:r>
      <w:r>
        <w:rPr/>
        <w:t>person</w:t>
      </w:r>
      <w:r>
        <w:rPr>
          <w:spacing w:val="-18"/>
        </w:rPr>
        <w:t> </w:t>
      </w:r>
      <w:r>
        <w:rPr/>
        <w:t>to</w:t>
      </w:r>
      <w:r>
        <w:rPr>
          <w:spacing w:val="-18"/>
        </w:rPr>
        <w:t> </w:t>
      </w:r>
      <w:r>
        <w:rPr/>
        <w:t>receive</w:t>
      </w:r>
      <w:r>
        <w:rPr>
          <w:spacing w:val="-18"/>
        </w:rPr>
        <w:t> </w:t>
      </w:r>
      <w:r>
        <w:rPr/>
        <w:t>treatment</w:t>
      </w:r>
      <w:r>
        <w:rPr>
          <w:spacing w:val="-17"/>
        </w:rPr>
        <w:t> </w:t>
      </w:r>
      <w:r>
        <w:rPr/>
        <w:t>will</w:t>
      </w:r>
      <w:r>
        <w:rPr>
          <w:spacing w:val="-18"/>
        </w:rPr>
        <w:t> </w:t>
      </w:r>
      <w:r>
        <w:rPr/>
        <w:t>almost</w:t>
      </w:r>
      <w:r>
        <w:rPr>
          <w:spacing w:val="-18"/>
        </w:rPr>
        <w:t> </w:t>
      </w:r>
      <w:r>
        <w:rPr/>
        <w:t>never</w:t>
      </w:r>
      <w:r>
        <w:rPr>
          <w:spacing w:val="-18"/>
        </w:rPr>
        <w:t> </w:t>
      </w:r>
      <w:r>
        <w:rPr/>
        <w:t>be</w:t>
      </w:r>
      <w:r>
        <w:rPr>
          <w:spacing w:val="-18"/>
        </w:rPr>
        <w:t> </w:t>
      </w:r>
      <w:r>
        <w:rPr/>
        <w:t>the</w:t>
      </w:r>
      <w:r>
        <w:rPr>
          <w:spacing w:val="-19"/>
        </w:rPr>
        <w:t> </w:t>
      </w:r>
      <w:r>
        <w:rPr/>
        <w:t>less</w:t>
      </w:r>
      <w:r>
        <w:rPr>
          <w:spacing w:val="-18"/>
        </w:rPr>
        <w:t> </w:t>
      </w:r>
      <w:r>
        <w:rPr/>
        <w:t>restrictive means available to enable a person to receive medical</w:t>
      </w:r>
      <w:r>
        <w:rPr>
          <w:spacing w:val="-20"/>
        </w:rPr>
        <w:t> </w:t>
      </w:r>
      <w:r>
        <w:rPr/>
        <w:t>care.</w:t>
      </w:r>
    </w:p>
    <w:p>
      <w:pPr>
        <w:pStyle w:val="BodyText"/>
        <w:spacing w:before="11"/>
        <w:rPr>
          <w:sz w:val="23"/>
        </w:rPr>
      </w:pPr>
    </w:p>
    <w:p>
      <w:pPr>
        <w:pStyle w:val="BodyText"/>
        <w:ind w:left="120" w:right="209"/>
        <w:jc w:val="both"/>
      </w:pPr>
      <w:r>
        <w:rPr/>
        <w:t>This</w:t>
      </w:r>
      <w:r>
        <w:rPr>
          <w:spacing w:val="-8"/>
        </w:rPr>
        <w:t> </w:t>
      </w:r>
      <w:r>
        <w:rPr/>
        <w:t>reasoning</w:t>
      </w:r>
      <w:r>
        <w:rPr>
          <w:spacing w:val="-7"/>
        </w:rPr>
        <w:t> </w:t>
      </w:r>
      <w:r>
        <w:rPr/>
        <w:t>means</w:t>
      </w:r>
      <w:r>
        <w:rPr>
          <w:spacing w:val="-8"/>
        </w:rPr>
        <w:t> </w:t>
      </w:r>
      <w:r>
        <w:rPr/>
        <w:t>that</w:t>
      </w:r>
      <w:r>
        <w:rPr>
          <w:spacing w:val="-7"/>
        </w:rPr>
        <w:t> </w:t>
      </w:r>
      <w:r>
        <w:rPr/>
        <w:t>the</w:t>
      </w:r>
      <w:r>
        <w:rPr>
          <w:spacing w:val="-8"/>
        </w:rPr>
        <w:t> </w:t>
      </w:r>
      <w:r>
        <w:rPr/>
        <w:t>Act</w:t>
      </w:r>
      <w:r>
        <w:rPr>
          <w:spacing w:val="-6"/>
        </w:rPr>
        <w:t> </w:t>
      </w:r>
      <w:r>
        <w:rPr/>
        <w:t>requires</w:t>
      </w:r>
      <w:r>
        <w:rPr>
          <w:spacing w:val="-8"/>
        </w:rPr>
        <w:t> </w:t>
      </w:r>
      <w:r>
        <w:rPr/>
        <w:t>the</w:t>
      </w:r>
      <w:r>
        <w:rPr>
          <w:spacing w:val="-7"/>
        </w:rPr>
        <w:t> </w:t>
      </w:r>
      <w:r>
        <w:rPr/>
        <w:t>Tribunal</w:t>
      </w:r>
      <w:r>
        <w:rPr>
          <w:spacing w:val="-7"/>
        </w:rPr>
        <w:t> </w:t>
      </w:r>
      <w:r>
        <w:rPr/>
        <w:t>to</w:t>
      </w:r>
      <w:r>
        <w:rPr>
          <w:spacing w:val="-7"/>
        </w:rPr>
        <w:t> </w:t>
      </w:r>
      <w:r>
        <w:rPr/>
        <w:t>consider</w:t>
      </w:r>
      <w:r>
        <w:rPr>
          <w:spacing w:val="-6"/>
        </w:rPr>
        <w:t> </w:t>
      </w:r>
      <w:r>
        <w:rPr/>
        <w:t>any</w:t>
      </w:r>
      <w:r>
        <w:rPr>
          <w:spacing w:val="-7"/>
        </w:rPr>
        <w:t> </w:t>
      </w:r>
      <w:r>
        <w:rPr/>
        <w:t>assessment</w:t>
      </w:r>
      <w:r>
        <w:rPr>
          <w:spacing w:val="-7"/>
        </w:rPr>
        <w:t> </w:t>
      </w:r>
      <w:r>
        <w:rPr/>
        <w:t>of the patient’s capacity, and requires that such an assessment has taken place. To understand the role that the presence or absence of decision making capacity plays in whether or not a person with a mental illness can be treated involuntarily under the Act, it is necessary to examine the treatment criteria, especially the least restrictive criterion, in the context of the rest of the</w:t>
      </w:r>
      <w:r>
        <w:rPr>
          <w:spacing w:val="-21"/>
        </w:rPr>
        <w:t> </w:t>
      </w:r>
      <w:r>
        <w:rPr/>
        <w:t>Act.</w:t>
      </w:r>
    </w:p>
    <w:p>
      <w:pPr>
        <w:pStyle w:val="BodyText"/>
        <w:spacing w:before="10"/>
        <w:rPr>
          <w:sz w:val="23"/>
        </w:rPr>
      </w:pPr>
    </w:p>
    <w:p>
      <w:pPr>
        <w:pStyle w:val="BodyText"/>
        <w:ind w:left="120" w:right="209"/>
        <w:jc w:val="both"/>
      </w:pPr>
      <w:r>
        <w:rPr/>
        <w:t>While the process of statutory interpretation is fluid and contested, the Tribunal must adopt</w:t>
      </w:r>
      <w:r>
        <w:rPr>
          <w:spacing w:val="-9"/>
        </w:rPr>
        <w:t> </w:t>
      </w:r>
      <w:r>
        <w:rPr/>
        <w:t>a</w:t>
      </w:r>
      <w:r>
        <w:rPr>
          <w:spacing w:val="-9"/>
        </w:rPr>
        <w:t> </w:t>
      </w:r>
      <w:r>
        <w:rPr/>
        <w:t>construction</w:t>
      </w:r>
      <w:r>
        <w:rPr>
          <w:spacing w:val="-10"/>
        </w:rPr>
        <w:t> </w:t>
      </w:r>
      <w:r>
        <w:rPr/>
        <w:t>of</w:t>
      </w:r>
      <w:r>
        <w:rPr>
          <w:spacing w:val="-9"/>
        </w:rPr>
        <w:t> </w:t>
      </w:r>
      <w:r>
        <w:rPr/>
        <w:t>the</w:t>
      </w:r>
      <w:r>
        <w:rPr>
          <w:spacing w:val="-9"/>
        </w:rPr>
        <w:t> </w:t>
      </w:r>
      <w:r>
        <w:rPr/>
        <w:t>Act</w:t>
      </w:r>
      <w:r>
        <w:rPr>
          <w:spacing w:val="-10"/>
        </w:rPr>
        <w:t> </w:t>
      </w:r>
      <w:r>
        <w:rPr/>
        <w:t>which</w:t>
      </w:r>
      <w:r>
        <w:rPr>
          <w:spacing w:val="-8"/>
        </w:rPr>
        <w:t> </w:t>
      </w:r>
      <w:r>
        <w:rPr/>
        <w:t>would</w:t>
      </w:r>
      <w:r>
        <w:rPr>
          <w:spacing w:val="-8"/>
        </w:rPr>
        <w:t> </w:t>
      </w:r>
      <w:r>
        <w:rPr/>
        <w:t>‘promote</w:t>
      </w:r>
      <w:r>
        <w:rPr>
          <w:spacing w:val="-11"/>
        </w:rPr>
        <w:t> </w:t>
      </w:r>
      <w:r>
        <w:rPr/>
        <w:t>the</w:t>
      </w:r>
      <w:r>
        <w:rPr>
          <w:spacing w:val="-9"/>
        </w:rPr>
        <w:t> </w:t>
      </w:r>
      <w:r>
        <w:rPr/>
        <w:t>purpose</w:t>
      </w:r>
      <w:r>
        <w:rPr>
          <w:spacing w:val="-8"/>
        </w:rPr>
        <w:t> </w:t>
      </w:r>
      <w:r>
        <w:rPr/>
        <w:t>or</w:t>
      </w:r>
      <w:r>
        <w:rPr>
          <w:spacing w:val="-9"/>
        </w:rPr>
        <w:t> </w:t>
      </w:r>
      <w:r>
        <w:rPr/>
        <w:t>object</w:t>
      </w:r>
      <w:r>
        <w:rPr>
          <w:spacing w:val="-9"/>
        </w:rPr>
        <w:t> </w:t>
      </w:r>
      <w:r>
        <w:rPr/>
        <w:t>underlying the Act’.</w:t>
      </w:r>
      <w:hyperlink w:history="true" w:anchor="_bookmark13">
        <w:r>
          <w:rPr>
            <w:position w:val="8"/>
            <w:sz w:val="16"/>
          </w:rPr>
          <w:t>14 </w:t>
        </w:r>
      </w:hyperlink>
      <w:r>
        <w:rPr/>
        <w:t>This requires an analysis of the relevant provisions of the Act, and other indicators of its purpose.</w:t>
      </w:r>
      <w:hyperlink w:history="true" w:anchor="_bookmark14">
        <w:r>
          <w:rPr>
            <w:position w:val="8"/>
            <w:sz w:val="16"/>
          </w:rPr>
          <w:t>15</w:t>
        </w:r>
      </w:hyperlink>
      <w:r>
        <w:rPr>
          <w:position w:val="8"/>
          <w:sz w:val="16"/>
        </w:rPr>
        <w:t> </w:t>
      </w:r>
      <w:r>
        <w:rPr/>
        <w:t>These include other relevant provisions of the Act, the intention of Parliament, other laws and international treaties, and relevant case</w:t>
      </w:r>
      <w:r>
        <w:rPr>
          <w:spacing w:val="-28"/>
        </w:rPr>
        <w:t> </w:t>
      </w:r>
      <w:r>
        <w:rPr/>
        <w:t>law.</w:t>
      </w:r>
    </w:p>
    <w:p>
      <w:pPr>
        <w:pStyle w:val="BodyText"/>
        <w:spacing w:before="11"/>
        <w:rPr>
          <w:sz w:val="23"/>
        </w:rPr>
      </w:pPr>
    </w:p>
    <w:p>
      <w:pPr>
        <w:pStyle w:val="ListParagraph"/>
        <w:numPr>
          <w:ilvl w:val="0"/>
          <w:numId w:val="1"/>
        </w:numPr>
        <w:tabs>
          <w:tab w:pos="3265" w:val="left" w:leader="none"/>
        </w:tabs>
        <w:spacing w:line="240" w:lineRule="auto" w:before="1" w:after="0"/>
        <w:ind w:left="3264" w:right="0" w:hanging="418"/>
        <w:jc w:val="left"/>
        <w:rPr>
          <w:sz w:val="24"/>
        </w:rPr>
      </w:pPr>
      <w:r>
        <w:rPr>
          <w:sz w:val="24"/>
        </w:rPr>
        <w:t>THE PROVISIONS OF THE</w:t>
      </w:r>
      <w:r>
        <w:rPr>
          <w:spacing w:val="-13"/>
          <w:sz w:val="24"/>
        </w:rPr>
        <w:t> </w:t>
      </w:r>
      <w:r>
        <w:rPr>
          <w:sz w:val="24"/>
        </w:rPr>
        <w:t>ACT</w:t>
      </w:r>
    </w:p>
    <w:p>
      <w:pPr>
        <w:pStyle w:val="BodyText"/>
      </w:pPr>
    </w:p>
    <w:p>
      <w:pPr>
        <w:pStyle w:val="BodyText"/>
        <w:ind w:left="120" w:right="209"/>
        <w:jc w:val="both"/>
      </w:pPr>
      <w:r>
        <w:rPr/>
        <w:t>Perhaps</w:t>
      </w:r>
      <w:r>
        <w:rPr>
          <w:spacing w:val="-8"/>
        </w:rPr>
        <w:t> </w:t>
      </w:r>
      <w:r>
        <w:rPr/>
        <w:t>the</w:t>
      </w:r>
      <w:r>
        <w:rPr>
          <w:spacing w:val="-8"/>
        </w:rPr>
        <w:t> </w:t>
      </w:r>
      <w:r>
        <w:rPr/>
        <w:t>most</w:t>
      </w:r>
      <w:r>
        <w:rPr>
          <w:spacing w:val="-8"/>
        </w:rPr>
        <w:t> </w:t>
      </w:r>
      <w:r>
        <w:rPr/>
        <w:t>relevant</w:t>
      </w:r>
      <w:r>
        <w:rPr>
          <w:spacing w:val="-9"/>
        </w:rPr>
        <w:t> </w:t>
      </w:r>
      <w:r>
        <w:rPr/>
        <w:t>provision</w:t>
      </w:r>
      <w:r>
        <w:rPr>
          <w:spacing w:val="-9"/>
        </w:rPr>
        <w:t> </w:t>
      </w:r>
      <w:r>
        <w:rPr/>
        <w:t>of</w:t>
      </w:r>
      <w:r>
        <w:rPr>
          <w:spacing w:val="-9"/>
        </w:rPr>
        <w:t> </w:t>
      </w:r>
      <w:r>
        <w:rPr/>
        <w:t>the</w:t>
      </w:r>
      <w:r>
        <w:rPr>
          <w:spacing w:val="-9"/>
        </w:rPr>
        <w:t> </w:t>
      </w:r>
      <w:r>
        <w:rPr/>
        <w:t>Act</w:t>
      </w:r>
      <w:r>
        <w:rPr>
          <w:spacing w:val="-8"/>
        </w:rPr>
        <w:t> </w:t>
      </w:r>
      <w:r>
        <w:rPr/>
        <w:t>in</w:t>
      </w:r>
      <w:r>
        <w:rPr>
          <w:spacing w:val="-9"/>
        </w:rPr>
        <w:t> </w:t>
      </w:r>
      <w:r>
        <w:rPr/>
        <w:t>considering</w:t>
      </w:r>
      <w:r>
        <w:rPr>
          <w:spacing w:val="-9"/>
        </w:rPr>
        <w:t> </w:t>
      </w:r>
      <w:r>
        <w:rPr/>
        <w:t>capacity</w:t>
      </w:r>
      <w:r>
        <w:rPr>
          <w:spacing w:val="-9"/>
        </w:rPr>
        <w:t> </w:t>
      </w:r>
      <w:r>
        <w:rPr/>
        <w:t>is</w:t>
      </w:r>
      <w:r>
        <w:rPr>
          <w:spacing w:val="-8"/>
        </w:rPr>
        <w:t> </w:t>
      </w:r>
      <w:r>
        <w:rPr/>
        <w:t>s</w:t>
      </w:r>
      <w:r>
        <w:rPr>
          <w:spacing w:val="-8"/>
        </w:rPr>
        <w:t> </w:t>
      </w:r>
      <w:r>
        <w:rPr/>
        <w:t>70(1),</w:t>
      </w:r>
      <w:r>
        <w:rPr>
          <w:spacing w:val="-9"/>
        </w:rPr>
        <w:t> </w:t>
      </w:r>
      <w:r>
        <w:rPr/>
        <w:t>which requires that ‘[b]efore treatment or medical treatment is administered to a person in accordance</w:t>
      </w:r>
      <w:r>
        <w:rPr>
          <w:spacing w:val="-19"/>
        </w:rPr>
        <w:t> </w:t>
      </w:r>
      <w:r>
        <w:rPr/>
        <w:t>with</w:t>
      </w:r>
      <w:r>
        <w:rPr>
          <w:spacing w:val="-19"/>
        </w:rPr>
        <w:t> </w:t>
      </w:r>
      <w:r>
        <w:rPr/>
        <w:t>this</w:t>
      </w:r>
      <w:r>
        <w:rPr>
          <w:spacing w:val="-20"/>
        </w:rPr>
        <w:t> </w:t>
      </w:r>
      <w:r>
        <w:rPr/>
        <w:t>Act,</w:t>
      </w:r>
      <w:r>
        <w:rPr>
          <w:spacing w:val="-18"/>
        </w:rPr>
        <w:t> </w:t>
      </w:r>
      <w:r>
        <w:rPr/>
        <w:t>the</w:t>
      </w:r>
      <w:r>
        <w:rPr>
          <w:spacing w:val="-20"/>
        </w:rPr>
        <w:t> </w:t>
      </w:r>
      <w:r>
        <w:rPr/>
        <w:t>informed</w:t>
      </w:r>
      <w:r>
        <w:rPr>
          <w:spacing w:val="-18"/>
        </w:rPr>
        <w:t> </w:t>
      </w:r>
      <w:r>
        <w:rPr/>
        <w:t>consent</w:t>
      </w:r>
      <w:r>
        <w:rPr>
          <w:spacing w:val="-19"/>
        </w:rPr>
        <w:t> </w:t>
      </w:r>
      <w:r>
        <w:rPr/>
        <w:t>of</w:t>
      </w:r>
      <w:r>
        <w:rPr>
          <w:spacing w:val="-19"/>
        </w:rPr>
        <w:t> </w:t>
      </w:r>
      <w:r>
        <w:rPr/>
        <w:t>the</w:t>
      </w:r>
      <w:r>
        <w:rPr>
          <w:spacing w:val="-20"/>
        </w:rPr>
        <w:t> </w:t>
      </w:r>
      <w:r>
        <w:rPr/>
        <w:t>person</w:t>
      </w:r>
      <w:r>
        <w:rPr>
          <w:spacing w:val="-18"/>
        </w:rPr>
        <w:t> </w:t>
      </w:r>
      <w:r>
        <w:rPr/>
        <w:t>must</w:t>
      </w:r>
      <w:r>
        <w:rPr>
          <w:spacing w:val="-21"/>
        </w:rPr>
        <w:t> </w:t>
      </w:r>
      <w:r>
        <w:rPr/>
        <w:t>be</w:t>
      </w:r>
      <w:r>
        <w:rPr>
          <w:spacing w:val="-19"/>
        </w:rPr>
        <w:t> </w:t>
      </w:r>
      <w:r>
        <w:rPr/>
        <w:t>sought’</w:t>
      </w:r>
      <w:r>
        <w:rPr>
          <w:spacing w:val="-20"/>
        </w:rPr>
        <w:t> </w:t>
      </w:r>
      <w:r>
        <w:rPr/>
        <w:t>and</w:t>
      </w:r>
      <w:r>
        <w:rPr>
          <w:spacing w:val="-19"/>
        </w:rPr>
        <w:t> </w:t>
      </w:r>
      <w:r>
        <w:rPr/>
        <w:t>‘[t]he person</w:t>
      </w:r>
      <w:r>
        <w:rPr>
          <w:spacing w:val="36"/>
        </w:rPr>
        <w:t> </w:t>
      </w:r>
      <w:r>
        <w:rPr/>
        <w:t>seeking</w:t>
      </w:r>
      <w:r>
        <w:rPr>
          <w:spacing w:val="36"/>
        </w:rPr>
        <w:t> </w:t>
      </w:r>
      <w:r>
        <w:rPr/>
        <w:t>the</w:t>
      </w:r>
      <w:r>
        <w:rPr>
          <w:spacing w:val="35"/>
        </w:rPr>
        <w:t> </w:t>
      </w:r>
      <w:r>
        <w:rPr/>
        <w:t>informed</w:t>
      </w:r>
      <w:r>
        <w:rPr>
          <w:spacing w:val="35"/>
        </w:rPr>
        <w:t> </w:t>
      </w:r>
      <w:r>
        <w:rPr/>
        <w:t>consent</w:t>
      </w:r>
      <w:r>
        <w:rPr>
          <w:spacing w:val="35"/>
        </w:rPr>
        <w:t> </w:t>
      </w:r>
      <w:r>
        <w:rPr/>
        <w:t>of</w:t>
      </w:r>
      <w:r>
        <w:rPr>
          <w:spacing w:val="35"/>
        </w:rPr>
        <w:t> </w:t>
      </w:r>
      <w:r>
        <w:rPr/>
        <w:t>another</w:t>
      </w:r>
      <w:r>
        <w:rPr>
          <w:spacing w:val="35"/>
        </w:rPr>
        <w:t> </w:t>
      </w:r>
      <w:r>
        <w:rPr/>
        <w:t>person</w:t>
      </w:r>
      <w:r>
        <w:rPr>
          <w:spacing w:val="36"/>
        </w:rPr>
        <w:t> </w:t>
      </w:r>
      <w:r>
        <w:rPr/>
        <w:t>to</w:t>
      </w:r>
      <w:r>
        <w:rPr>
          <w:spacing w:val="35"/>
        </w:rPr>
        <w:t> </w:t>
      </w:r>
      <w:r>
        <w:rPr/>
        <w:t>a</w:t>
      </w:r>
      <w:r>
        <w:rPr>
          <w:spacing w:val="36"/>
        </w:rPr>
        <w:t> </w:t>
      </w:r>
      <w:r>
        <w:rPr/>
        <w:t>treatment</w:t>
      </w:r>
      <w:r>
        <w:rPr>
          <w:spacing w:val="36"/>
        </w:rPr>
        <w:t> </w:t>
      </w:r>
      <w:r>
        <w:rPr/>
        <w:t>or</w:t>
      </w:r>
      <w:r>
        <w:rPr>
          <w:spacing w:val="35"/>
        </w:rPr>
        <w:t> </w:t>
      </w:r>
      <w:r>
        <w:rPr/>
        <w:t>medical</w:t>
      </w:r>
    </w:p>
    <w:p>
      <w:pPr>
        <w:pStyle w:val="BodyText"/>
        <w:spacing w:before="4"/>
        <w:rPr>
          <w:sz w:val="29"/>
        </w:rPr>
      </w:pPr>
      <w:r>
        <w:rPr/>
        <w:pict>
          <v:line style="position:absolute;mso-position-horizontal-relative:page;mso-position-vertical-relative:paragraph;z-index:1096;mso-wrap-distance-left:0;mso-wrap-distance-right:0" from="67.019997pt,19.975985pt" to="211.019997pt,19.975985pt" stroked="true" strokeweight=".54pt" strokecolor="#000000">
            <v:stroke dashstyle="solid"/>
            <w10:wrap type="topAndBottom"/>
          </v:line>
        </w:pict>
      </w:r>
    </w:p>
    <w:p>
      <w:pPr>
        <w:spacing w:line="230" w:lineRule="auto" w:before="74"/>
        <w:ind w:left="289" w:right="0" w:hanging="170"/>
        <w:jc w:val="left"/>
        <w:rPr>
          <w:sz w:val="20"/>
        </w:rPr>
      </w:pPr>
      <w:bookmarkStart w:name="_bookmark12" w:id="14"/>
      <w:bookmarkEnd w:id="14"/>
      <w:r>
        <w:rPr/>
      </w:r>
      <w:r>
        <w:rPr>
          <w:position w:val="7"/>
          <w:sz w:val="13"/>
        </w:rPr>
        <w:t>13</w:t>
      </w:r>
      <w:r>
        <w:rPr>
          <w:spacing w:val="-8"/>
          <w:position w:val="7"/>
          <w:sz w:val="13"/>
        </w:rPr>
        <w:t> </w:t>
      </w:r>
      <w:r>
        <w:rPr>
          <w:sz w:val="20"/>
        </w:rPr>
        <w:t>The</w:t>
      </w:r>
      <w:r>
        <w:rPr>
          <w:spacing w:val="-11"/>
          <w:sz w:val="20"/>
        </w:rPr>
        <w:t> </w:t>
      </w:r>
      <w:r>
        <w:rPr>
          <w:sz w:val="20"/>
        </w:rPr>
        <w:t>definition</w:t>
      </w:r>
      <w:r>
        <w:rPr>
          <w:spacing w:val="-11"/>
          <w:sz w:val="20"/>
        </w:rPr>
        <w:t> </w:t>
      </w:r>
      <w:r>
        <w:rPr>
          <w:sz w:val="20"/>
        </w:rPr>
        <w:t>of</w:t>
      </w:r>
      <w:r>
        <w:rPr>
          <w:spacing w:val="-11"/>
          <w:sz w:val="20"/>
        </w:rPr>
        <w:t> </w:t>
      </w:r>
      <w:r>
        <w:rPr>
          <w:sz w:val="20"/>
        </w:rPr>
        <w:t>the</w:t>
      </w:r>
      <w:r>
        <w:rPr>
          <w:spacing w:val="-12"/>
          <w:sz w:val="20"/>
        </w:rPr>
        <w:t> </w:t>
      </w:r>
      <w:r>
        <w:rPr>
          <w:sz w:val="20"/>
        </w:rPr>
        <w:t>word,</w:t>
      </w:r>
      <w:r>
        <w:rPr>
          <w:spacing w:val="-11"/>
          <w:sz w:val="20"/>
        </w:rPr>
        <w:t> </w:t>
      </w:r>
      <w:r>
        <w:rPr>
          <w:sz w:val="20"/>
        </w:rPr>
        <w:t>‘enable’,</w:t>
      </w:r>
      <w:r>
        <w:rPr>
          <w:spacing w:val="-11"/>
          <w:sz w:val="20"/>
        </w:rPr>
        <w:t> </w:t>
      </w:r>
      <w:r>
        <w:rPr>
          <w:sz w:val="20"/>
        </w:rPr>
        <w:t>is</w:t>
      </w:r>
      <w:r>
        <w:rPr>
          <w:spacing w:val="-10"/>
          <w:sz w:val="20"/>
        </w:rPr>
        <w:t> </w:t>
      </w:r>
      <w:r>
        <w:rPr>
          <w:sz w:val="20"/>
        </w:rPr>
        <w:t>‘to</w:t>
      </w:r>
      <w:r>
        <w:rPr>
          <w:spacing w:val="-11"/>
          <w:sz w:val="20"/>
        </w:rPr>
        <w:t> </w:t>
      </w:r>
      <w:r>
        <w:rPr>
          <w:sz w:val="20"/>
        </w:rPr>
        <w:t>make</w:t>
      </w:r>
      <w:r>
        <w:rPr>
          <w:spacing w:val="-12"/>
          <w:sz w:val="20"/>
        </w:rPr>
        <w:t> </w:t>
      </w:r>
      <w:r>
        <w:rPr>
          <w:sz w:val="20"/>
        </w:rPr>
        <w:t>able;</w:t>
      </w:r>
      <w:r>
        <w:rPr>
          <w:spacing w:val="-12"/>
          <w:sz w:val="20"/>
        </w:rPr>
        <w:t> </w:t>
      </w:r>
      <w:r>
        <w:rPr>
          <w:sz w:val="20"/>
        </w:rPr>
        <w:t>give</w:t>
      </w:r>
      <w:r>
        <w:rPr>
          <w:spacing w:val="-11"/>
          <w:sz w:val="20"/>
        </w:rPr>
        <w:t> </w:t>
      </w:r>
      <w:r>
        <w:rPr>
          <w:sz w:val="20"/>
        </w:rPr>
        <w:t>power,</w:t>
      </w:r>
      <w:r>
        <w:rPr>
          <w:spacing w:val="-12"/>
          <w:sz w:val="20"/>
        </w:rPr>
        <w:t> </w:t>
      </w:r>
      <w:r>
        <w:rPr>
          <w:sz w:val="20"/>
        </w:rPr>
        <w:t>means,</w:t>
      </w:r>
      <w:r>
        <w:rPr>
          <w:spacing w:val="-12"/>
          <w:sz w:val="20"/>
        </w:rPr>
        <w:t> </w:t>
      </w:r>
      <w:r>
        <w:rPr>
          <w:sz w:val="20"/>
        </w:rPr>
        <w:t>or</w:t>
      </w:r>
      <w:r>
        <w:rPr>
          <w:spacing w:val="-11"/>
          <w:sz w:val="20"/>
        </w:rPr>
        <w:t> </w:t>
      </w:r>
      <w:r>
        <w:rPr>
          <w:sz w:val="20"/>
        </w:rPr>
        <w:t>ability</w:t>
      </w:r>
      <w:r>
        <w:rPr>
          <w:spacing w:val="-11"/>
          <w:sz w:val="20"/>
        </w:rPr>
        <w:t> </w:t>
      </w:r>
      <w:r>
        <w:rPr>
          <w:sz w:val="20"/>
        </w:rPr>
        <w:t>to;</w:t>
      </w:r>
      <w:r>
        <w:rPr>
          <w:spacing w:val="-11"/>
          <w:sz w:val="20"/>
        </w:rPr>
        <w:t> </w:t>
      </w:r>
      <w:r>
        <w:rPr>
          <w:sz w:val="20"/>
        </w:rPr>
        <w:t>make</w:t>
      </w:r>
      <w:r>
        <w:rPr>
          <w:spacing w:val="-12"/>
          <w:sz w:val="20"/>
        </w:rPr>
        <w:t> </w:t>
      </w:r>
      <w:r>
        <w:rPr>
          <w:sz w:val="20"/>
        </w:rPr>
        <w:t>competent; authorise’</w:t>
      </w:r>
      <w:r>
        <w:rPr>
          <w:spacing w:val="-12"/>
          <w:sz w:val="20"/>
        </w:rPr>
        <w:t> </w:t>
      </w:r>
      <w:r>
        <w:rPr>
          <w:sz w:val="20"/>
        </w:rPr>
        <w:t>Macquarie</w:t>
      </w:r>
      <w:r>
        <w:rPr>
          <w:spacing w:val="-10"/>
          <w:sz w:val="20"/>
        </w:rPr>
        <w:t> </w:t>
      </w:r>
      <w:r>
        <w:rPr>
          <w:sz w:val="20"/>
        </w:rPr>
        <w:t>Dictionary,</w:t>
      </w:r>
      <w:r>
        <w:rPr>
          <w:spacing w:val="-9"/>
          <w:sz w:val="20"/>
        </w:rPr>
        <w:t> </w:t>
      </w:r>
      <w:r>
        <w:rPr>
          <w:i/>
          <w:sz w:val="21"/>
        </w:rPr>
        <w:t>Enable</w:t>
      </w:r>
      <w:r>
        <w:rPr>
          <w:i/>
          <w:spacing w:val="-15"/>
          <w:sz w:val="21"/>
        </w:rPr>
        <w:t> </w:t>
      </w:r>
      <w:r>
        <w:rPr>
          <w:sz w:val="20"/>
        </w:rPr>
        <w:t>(Macquarie</w:t>
      </w:r>
      <w:r>
        <w:rPr>
          <w:spacing w:val="-10"/>
          <w:sz w:val="20"/>
        </w:rPr>
        <w:t> </w:t>
      </w:r>
      <w:r>
        <w:rPr>
          <w:sz w:val="20"/>
        </w:rPr>
        <w:t>Dictionary</w:t>
      </w:r>
      <w:r>
        <w:rPr>
          <w:spacing w:val="-11"/>
          <w:sz w:val="20"/>
        </w:rPr>
        <w:t> </w:t>
      </w:r>
      <w:r>
        <w:rPr>
          <w:sz w:val="20"/>
        </w:rPr>
        <w:t>Publishers,</w:t>
      </w:r>
      <w:r>
        <w:rPr>
          <w:spacing w:val="-10"/>
          <w:sz w:val="20"/>
        </w:rPr>
        <w:t> </w:t>
      </w:r>
      <w:r>
        <w:rPr>
          <w:sz w:val="20"/>
        </w:rPr>
        <w:t>2017).</w:t>
      </w:r>
    </w:p>
    <w:p>
      <w:pPr>
        <w:spacing w:line="235" w:lineRule="exact" w:before="0"/>
        <w:ind w:left="120" w:right="0" w:firstLine="0"/>
        <w:jc w:val="left"/>
        <w:rPr>
          <w:sz w:val="20"/>
        </w:rPr>
      </w:pPr>
      <w:bookmarkStart w:name="_bookmark13" w:id="15"/>
      <w:bookmarkEnd w:id="15"/>
      <w:r>
        <w:rPr/>
      </w:r>
      <w:r>
        <w:rPr>
          <w:position w:val="7"/>
          <w:sz w:val="13"/>
        </w:rPr>
        <w:t>14 </w:t>
      </w:r>
      <w:r>
        <w:rPr>
          <w:i/>
          <w:sz w:val="21"/>
        </w:rPr>
        <w:t>Interpretation of Legislation Act 1984 </w:t>
      </w:r>
      <w:r>
        <w:rPr>
          <w:sz w:val="20"/>
        </w:rPr>
        <w:t>(Vic) s 35(a).</w:t>
      </w:r>
    </w:p>
    <w:p>
      <w:pPr>
        <w:spacing w:line="247" w:lineRule="exact" w:before="0"/>
        <w:ind w:left="120" w:right="0" w:firstLine="0"/>
        <w:jc w:val="left"/>
        <w:rPr>
          <w:sz w:val="20"/>
        </w:rPr>
      </w:pPr>
      <w:bookmarkStart w:name="_bookmark14" w:id="16"/>
      <w:bookmarkEnd w:id="16"/>
      <w:r>
        <w:rPr/>
      </w:r>
      <w:r>
        <w:rPr>
          <w:position w:val="7"/>
          <w:sz w:val="13"/>
        </w:rPr>
        <w:t>15 </w:t>
      </w:r>
      <w:r>
        <w:rPr>
          <w:sz w:val="20"/>
        </w:rPr>
        <w:t>Michelle Sanson, </w:t>
      </w:r>
      <w:r>
        <w:rPr>
          <w:i/>
          <w:sz w:val="21"/>
        </w:rPr>
        <w:t>Statutory Interpretation </w:t>
      </w:r>
      <w:r>
        <w:rPr>
          <w:sz w:val="20"/>
        </w:rPr>
        <w:t>(OUP Australia &amp; New Zealand, 2012).</w:t>
      </w:r>
    </w:p>
    <w:p>
      <w:pPr>
        <w:spacing w:after="0" w:line="247" w:lineRule="exact"/>
        <w:jc w:val="left"/>
        <w:rPr>
          <w:sz w:val="20"/>
        </w:rPr>
        <w:sectPr>
          <w:pgSz w:w="11910" w:h="16840"/>
          <w:pgMar w:header="763" w:footer="1025" w:top="980" w:bottom="1220" w:left="1220" w:right="1220"/>
        </w:sectPr>
      </w:pPr>
    </w:p>
    <w:p>
      <w:pPr>
        <w:pStyle w:val="BodyText"/>
        <w:spacing w:before="4"/>
        <w:rPr>
          <w:sz w:val="21"/>
        </w:rPr>
      </w:pPr>
    </w:p>
    <w:p>
      <w:pPr>
        <w:pStyle w:val="BodyText"/>
        <w:spacing w:before="100"/>
        <w:ind w:left="120" w:right="109"/>
        <w:jc w:val="both"/>
      </w:pPr>
      <w:r>
        <w:rPr/>
        <w:t>treatment must presume that the other person has the capacity to give informed consent’.</w:t>
      </w:r>
      <w:r>
        <w:rPr>
          <w:spacing w:val="-17"/>
        </w:rPr>
        <w:t> </w:t>
      </w:r>
      <w:r>
        <w:rPr/>
        <w:t>This</w:t>
      </w:r>
      <w:r>
        <w:rPr>
          <w:spacing w:val="-18"/>
        </w:rPr>
        <w:t> </w:t>
      </w:r>
      <w:r>
        <w:rPr/>
        <w:t>presumption</w:t>
      </w:r>
      <w:r>
        <w:rPr>
          <w:spacing w:val="-17"/>
        </w:rPr>
        <w:t> </w:t>
      </w:r>
      <w:r>
        <w:rPr/>
        <w:t>of</w:t>
      </w:r>
      <w:r>
        <w:rPr>
          <w:spacing w:val="-17"/>
        </w:rPr>
        <w:t> </w:t>
      </w:r>
      <w:r>
        <w:rPr/>
        <w:t>capacity</w:t>
      </w:r>
      <w:r>
        <w:rPr>
          <w:spacing w:val="-17"/>
        </w:rPr>
        <w:t> </w:t>
      </w:r>
      <w:r>
        <w:rPr/>
        <w:t>clearly</w:t>
      </w:r>
      <w:r>
        <w:rPr>
          <w:spacing w:val="-17"/>
        </w:rPr>
        <w:t> </w:t>
      </w:r>
      <w:r>
        <w:rPr/>
        <w:t>applies</w:t>
      </w:r>
      <w:r>
        <w:rPr>
          <w:spacing w:val="-18"/>
        </w:rPr>
        <w:t> </w:t>
      </w:r>
      <w:r>
        <w:rPr/>
        <w:t>to</w:t>
      </w:r>
      <w:r>
        <w:rPr>
          <w:spacing w:val="-17"/>
        </w:rPr>
        <w:t> </w:t>
      </w:r>
      <w:r>
        <w:rPr/>
        <w:t>psychiatrists</w:t>
      </w:r>
      <w:r>
        <w:rPr>
          <w:spacing w:val="-18"/>
        </w:rPr>
        <w:t> </w:t>
      </w:r>
      <w:r>
        <w:rPr/>
        <w:t>and</w:t>
      </w:r>
      <w:r>
        <w:rPr>
          <w:spacing w:val="-17"/>
        </w:rPr>
        <w:t> </w:t>
      </w:r>
      <w:r>
        <w:rPr/>
        <w:t>other</w:t>
      </w:r>
      <w:r>
        <w:rPr>
          <w:spacing w:val="-17"/>
        </w:rPr>
        <w:t> </w:t>
      </w:r>
      <w:r>
        <w:rPr/>
        <w:t>treating clinicians empowered by the Act, but can also be read to bind the Tribunal, as the making of a treatment order is a necessary precursor to administering compulsory treatment. If s 70(1) is held to bind the Tribunal, the Tribunal must seek the informed consent</w:t>
      </w:r>
      <w:r>
        <w:rPr>
          <w:spacing w:val="-6"/>
        </w:rPr>
        <w:t> </w:t>
      </w:r>
      <w:r>
        <w:rPr/>
        <w:t>of</w:t>
      </w:r>
      <w:r>
        <w:rPr>
          <w:spacing w:val="-6"/>
        </w:rPr>
        <w:t> </w:t>
      </w:r>
      <w:r>
        <w:rPr/>
        <w:t>people</w:t>
      </w:r>
      <w:r>
        <w:rPr>
          <w:spacing w:val="-6"/>
        </w:rPr>
        <w:t> </w:t>
      </w:r>
      <w:r>
        <w:rPr/>
        <w:t>who</w:t>
      </w:r>
      <w:r>
        <w:rPr>
          <w:spacing w:val="-6"/>
        </w:rPr>
        <w:t> </w:t>
      </w:r>
      <w:r>
        <w:rPr/>
        <w:t>it</w:t>
      </w:r>
      <w:r>
        <w:rPr>
          <w:spacing w:val="-6"/>
        </w:rPr>
        <w:t> </w:t>
      </w:r>
      <w:r>
        <w:rPr/>
        <w:t>considers</w:t>
      </w:r>
      <w:r>
        <w:rPr>
          <w:spacing w:val="-6"/>
        </w:rPr>
        <w:t> </w:t>
      </w:r>
      <w:r>
        <w:rPr/>
        <w:t>making</w:t>
      </w:r>
      <w:r>
        <w:rPr>
          <w:spacing w:val="-6"/>
        </w:rPr>
        <w:t> </w:t>
      </w:r>
      <w:r>
        <w:rPr/>
        <w:t>orders</w:t>
      </w:r>
      <w:r>
        <w:rPr>
          <w:spacing w:val="-6"/>
        </w:rPr>
        <w:t> </w:t>
      </w:r>
      <w:r>
        <w:rPr/>
        <w:t>about,</w:t>
      </w:r>
      <w:r>
        <w:rPr>
          <w:spacing w:val="-5"/>
        </w:rPr>
        <w:t> </w:t>
      </w:r>
      <w:r>
        <w:rPr/>
        <w:t>and</w:t>
      </w:r>
      <w:r>
        <w:rPr>
          <w:spacing w:val="-6"/>
        </w:rPr>
        <w:t> </w:t>
      </w:r>
      <w:r>
        <w:rPr/>
        <w:t>presume</w:t>
      </w:r>
      <w:r>
        <w:rPr>
          <w:spacing w:val="-6"/>
        </w:rPr>
        <w:t> </w:t>
      </w:r>
      <w:r>
        <w:rPr/>
        <w:t>that</w:t>
      </w:r>
      <w:r>
        <w:rPr>
          <w:spacing w:val="-6"/>
        </w:rPr>
        <w:t> </w:t>
      </w:r>
      <w:r>
        <w:rPr/>
        <w:t>the</w:t>
      </w:r>
      <w:r>
        <w:rPr>
          <w:spacing w:val="-6"/>
        </w:rPr>
        <w:t> </w:t>
      </w:r>
      <w:r>
        <w:rPr/>
        <w:t>person has</w:t>
      </w:r>
      <w:r>
        <w:rPr>
          <w:spacing w:val="-4"/>
        </w:rPr>
        <w:t> </w:t>
      </w:r>
      <w:r>
        <w:rPr/>
        <w:t>capacity.</w:t>
      </w:r>
    </w:p>
    <w:p>
      <w:pPr>
        <w:pStyle w:val="BodyText"/>
        <w:spacing w:before="11"/>
        <w:rPr>
          <w:sz w:val="23"/>
        </w:rPr>
      </w:pPr>
    </w:p>
    <w:p>
      <w:pPr>
        <w:pStyle w:val="BodyText"/>
        <w:spacing w:before="1"/>
        <w:ind w:left="120" w:right="109"/>
        <w:jc w:val="both"/>
      </w:pPr>
      <w:r>
        <w:rPr/>
        <w:t>Supporting</w:t>
      </w:r>
      <w:r>
        <w:rPr>
          <w:spacing w:val="-17"/>
        </w:rPr>
        <w:t> </w:t>
      </w:r>
      <w:r>
        <w:rPr/>
        <w:t>this</w:t>
      </w:r>
      <w:r>
        <w:rPr>
          <w:spacing w:val="-16"/>
        </w:rPr>
        <w:t> </w:t>
      </w:r>
      <w:r>
        <w:rPr/>
        <w:t>interpretation,</w:t>
      </w:r>
      <w:r>
        <w:rPr>
          <w:spacing w:val="-16"/>
        </w:rPr>
        <w:t> </w:t>
      </w:r>
      <w:r>
        <w:rPr/>
        <w:t>s</w:t>
      </w:r>
      <w:r>
        <w:rPr>
          <w:spacing w:val="-17"/>
        </w:rPr>
        <w:t> </w:t>
      </w:r>
      <w:r>
        <w:rPr/>
        <w:t>55</w:t>
      </w:r>
      <w:r>
        <w:rPr>
          <w:spacing w:val="-17"/>
        </w:rPr>
        <w:t> </w:t>
      </w:r>
      <w:r>
        <w:rPr/>
        <w:t>requires</w:t>
      </w:r>
      <w:r>
        <w:rPr>
          <w:spacing w:val="-17"/>
        </w:rPr>
        <w:t> </w:t>
      </w:r>
      <w:r>
        <w:rPr/>
        <w:t>the</w:t>
      </w:r>
      <w:r>
        <w:rPr>
          <w:spacing w:val="-16"/>
        </w:rPr>
        <w:t> </w:t>
      </w:r>
      <w:r>
        <w:rPr/>
        <w:t>Tribunal</w:t>
      </w:r>
      <w:r>
        <w:rPr>
          <w:spacing w:val="-17"/>
        </w:rPr>
        <w:t> </w:t>
      </w:r>
      <w:r>
        <w:rPr/>
        <w:t>to</w:t>
      </w:r>
      <w:r>
        <w:rPr>
          <w:spacing w:val="-16"/>
        </w:rPr>
        <w:t> </w:t>
      </w:r>
      <w:r>
        <w:rPr/>
        <w:t>have</w:t>
      </w:r>
      <w:r>
        <w:rPr>
          <w:spacing w:val="-17"/>
        </w:rPr>
        <w:t> </w:t>
      </w:r>
      <w:r>
        <w:rPr/>
        <w:t>regard</w:t>
      </w:r>
      <w:r>
        <w:rPr>
          <w:spacing w:val="-16"/>
        </w:rPr>
        <w:t> </w:t>
      </w:r>
      <w:r>
        <w:rPr/>
        <w:t>to</w:t>
      </w:r>
      <w:r>
        <w:rPr>
          <w:spacing w:val="-16"/>
        </w:rPr>
        <w:t> </w:t>
      </w:r>
      <w:r>
        <w:rPr/>
        <w:t>‘the</w:t>
      </w:r>
      <w:r>
        <w:rPr>
          <w:spacing w:val="-18"/>
        </w:rPr>
        <w:t> </w:t>
      </w:r>
      <w:r>
        <w:rPr/>
        <w:t>person's views and preferences about treatment of her/his mental illness and the reasons for those</w:t>
      </w:r>
      <w:r>
        <w:rPr>
          <w:spacing w:val="-10"/>
        </w:rPr>
        <w:t> </w:t>
      </w:r>
      <w:r>
        <w:rPr/>
        <w:t>views</w:t>
      </w:r>
      <w:r>
        <w:rPr>
          <w:spacing w:val="-10"/>
        </w:rPr>
        <w:t> </w:t>
      </w:r>
      <w:r>
        <w:rPr/>
        <w:t>and</w:t>
      </w:r>
      <w:r>
        <w:rPr>
          <w:spacing w:val="-11"/>
        </w:rPr>
        <w:t> </w:t>
      </w:r>
      <w:r>
        <w:rPr/>
        <w:t>preferences…’.</w:t>
      </w:r>
      <w:r>
        <w:rPr>
          <w:spacing w:val="-10"/>
        </w:rPr>
        <w:t> </w:t>
      </w:r>
      <w:r>
        <w:rPr/>
        <w:t>In</w:t>
      </w:r>
      <w:r>
        <w:rPr>
          <w:spacing w:val="-10"/>
        </w:rPr>
        <w:t> </w:t>
      </w:r>
      <w:r>
        <w:rPr/>
        <w:t>the</w:t>
      </w:r>
      <w:r>
        <w:rPr>
          <w:spacing w:val="-11"/>
        </w:rPr>
        <w:t> </w:t>
      </w:r>
      <w:r>
        <w:rPr/>
        <w:t>context</w:t>
      </w:r>
      <w:r>
        <w:rPr>
          <w:spacing w:val="-10"/>
        </w:rPr>
        <w:t> </w:t>
      </w:r>
      <w:r>
        <w:rPr/>
        <w:t>in</w:t>
      </w:r>
      <w:r>
        <w:rPr>
          <w:spacing w:val="-11"/>
        </w:rPr>
        <w:t> </w:t>
      </w:r>
      <w:r>
        <w:rPr/>
        <w:t>which</w:t>
      </w:r>
      <w:r>
        <w:rPr>
          <w:spacing w:val="-12"/>
        </w:rPr>
        <w:t> </w:t>
      </w:r>
      <w:r>
        <w:rPr/>
        <w:t>the</w:t>
      </w:r>
      <w:r>
        <w:rPr>
          <w:spacing w:val="-10"/>
        </w:rPr>
        <w:t> </w:t>
      </w:r>
      <w:r>
        <w:rPr/>
        <w:t>Tribunal</w:t>
      </w:r>
      <w:r>
        <w:rPr>
          <w:spacing w:val="-10"/>
        </w:rPr>
        <w:t> </w:t>
      </w:r>
      <w:r>
        <w:rPr/>
        <w:t>operates,</w:t>
      </w:r>
      <w:r>
        <w:rPr>
          <w:spacing w:val="-11"/>
        </w:rPr>
        <w:t> </w:t>
      </w:r>
      <w:r>
        <w:rPr/>
        <w:t>it</w:t>
      </w:r>
      <w:r>
        <w:rPr>
          <w:spacing w:val="-10"/>
        </w:rPr>
        <w:t> </w:t>
      </w:r>
      <w:r>
        <w:rPr/>
        <w:t>seems impossible to have regard to a person’s views about treatment and the reasons for those views, without considering their capacity to consent to that</w:t>
      </w:r>
      <w:r>
        <w:rPr>
          <w:spacing w:val="-32"/>
        </w:rPr>
        <w:t> </w:t>
      </w:r>
      <w:r>
        <w:rPr/>
        <w:t>treatment.</w:t>
      </w:r>
    </w:p>
    <w:p>
      <w:pPr>
        <w:pStyle w:val="BodyText"/>
        <w:spacing w:before="11"/>
        <w:rPr>
          <w:sz w:val="23"/>
        </w:rPr>
      </w:pPr>
    </w:p>
    <w:p>
      <w:pPr>
        <w:pStyle w:val="BodyText"/>
        <w:ind w:left="120" w:right="109"/>
        <w:jc w:val="both"/>
      </w:pPr>
      <w:r>
        <w:rPr/>
        <w:t>In addition to ss 55 and 70, the Act sets out clear objectives in s 10, including “to enable and support persons who have mental illness or appear to have mental  illness</w:t>
      </w:r>
    </w:p>
    <w:p>
      <w:pPr>
        <w:pStyle w:val="BodyText"/>
        <w:ind w:left="120" w:right="109"/>
        <w:jc w:val="both"/>
      </w:pPr>
      <w:r>
        <w:rPr/>
        <w:t>…</w:t>
      </w:r>
      <w:r>
        <w:rPr>
          <w:spacing w:val="-18"/>
        </w:rPr>
        <w:t> </w:t>
      </w:r>
      <w:r>
        <w:rPr/>
        <w:t>to</w:t>
      </w:r>
      <w:r>
        <w:rPr>
          <w:spacing w:val="-18"/>
        </w:rPr>
        <w:t> </w:t>
      </w:r>
      <w:r>
        <w:rPr/>
        <w:t>make,</w:t>
      </w:r>
      <w:r>
        <w:rPr>
          <w:spacing w:val="-18"/>
        </w:rPr>
        <w:t> </w:t>
      </w:r>
      <w:r>
        <w:rPr/>
        <w:t>or</w:t>
      </w:r>
      <w:r>
        <w:rPr>
          <w:spacing w:val="-20"/>
        </w:rPr>
        <w:t> </w:t>
      </w:r>
      <w:r>
        <w:rPr/>
        <w:t>participate</w:t>
      </w:r>
      <w:r>
        <w:rPr>
          <w:spacing w:val="-18"/>
        </w:rPr>
        <w:t> </w:t>
      </w:r>
      <w:r>
        <w:rPr/>
        <w:t>in,</w:t>
      </w:r>
      <w:r>
        <w:rPr>
          <w:spacing w:val="-18"/>
        </w:rPr>
        <w:t> </w:t>
      </w:r>
      <w:r>
        <w:rPr/>
        <w:t>decisions</w:t>
      </w:r>
      <w:r>
        <w:rPr>
          <w:spacing w:val="-19"/>
        </w:rPr>
        <w:t> </w:t>
      </w:r>
      <w:r>
        <w:rPr/>
        <w:t>about</w:t>
      </w:r>
      <w:r>
        <w:rPr>
          <w:spacing w:val="-18"/>
        </w:rPr>
        <w:t> </w:t>
      </w:r>
      <w:r>
        <w:rPr/>
        <w:t>their</w:t>
      </w:r>
      <w:r>
        <w:rPr>
          <w:spacing w:val="-17"/>
        </w:rPr>
        <w:t> </w:t>
      </w:r>
      <w:r>
        <w:rPr/>
        <w:t>assessment,</w:t>
      </w:r>
      <w:r>
        <w:rPr>
          <w:spacing w:val="-18"/>
        </w:rPr>
        <w:t> </w:t>
      </w:r>
      <w:r>
        <w:rPr/>
        <w:t>treatment</w:t>
      </w:r>
      <w:r>
        <w:rPr>
          <w:spacing w:val="-17"/>
        </w:rPr>
        <w:t> </w:t>
      </w:r>
      <w:r>
        <w:rPr/>
        <w:t>and</w:t>
      </w:r>
      <w:r>
        <w:rPr>
          <w:spacing w:val="-18"/>
        </w:rPr>
        <w:t> </w:t>
      </w:r>
      <w:r>
        <w:rPr/>
        <w:t>recovery” and “to protect the rights of persons receiving assessment and treatment”. Similarly, the mental health principles, in s 11, require that people “be involved in all decisions about their assessment, treatment and recovery and be supported to make,</w:t>
      </w:r>
      <w:r>
        <w:rPr>
          <w:spacing w:val="30"/>
        </w:rPr>
        <w:t> </w:t>
      </w:r>
      <w:r>
        <w:rPr/>
        <w:t>or participate in, those decisions, and their views and preferences should be respected”. They must also “be allowed to make decisions about their assessment, treatment and recovery that involve a degree of risk” while they “have their rights, dignity and autonomy respected and</w:t>
      </w:r>
      <w:r>
        <w:rPr>
          <w:spacing w:val="-16"/>
        </w:rPr>
        <w:t> </w:t>
      </w:r>
      <w:r>
        <w:rPr/>
        <w:t>promoted”.</w:t>
      </w:r>
    </w:p>
    <w:p>
      <w:pPr>
        <w:pStyle w:val="BodyText"/>
      </w:pPr>
    </w:p>
    <w:p>
      <w:pPr>
        <w:pStyle w:val="BodyText"/>
        <w:spacing w:before="1"/>
        <w:ind w:left="120" w:right="108"/>
        <w:jc w:val="both"/>
      </w:pPr>
      <w:r>
        <w:rPr/>
        <w:t>The objectives and principles of the Act strongly reinforce the presumption that a patient’s</w:t>
      </w:r>
      <w:r>
        <w:rPr>
          <w:spacing w:val="-20"/>
        </w:rPr>
        <w:t> </w:t>
      </w:r>
      <w:r>
        <w:rPr/>
        <w:t>competent</w:t>
      </w:r>
      <w:r>
        <w:rPr>
          <w:spacing w:val="-19"/>
        </w:rPr>
        <w:t> </w:t>
      </w:r>
      <w:r>
        <w:rPr/>
        <w:t>refusal</w:t>
      </w:r>
      <w:r>
        <w:rPr>
          <w:spacing w:val="-19"/>
        </w:rPr>
        <w:t> </w:t>
      </w:r>
      <w:r>
        <w:rPr/>
        <w:t>should</w:t>
      </w:r>
      <w:r>
        <w:rPr>
          <w:spacing w:val="-19"/>
        </w:rPr>
        <w:t> </w:t>
      </w:r>
      <w:r>
        <w:rPr/>
        <w:t>carry</w:t>
      </w:r>
      <w:r>
        <w:rPr>
          <w:spacing w:val="-19"/>
        </w:rPr>
        <w:t> </w:t>
      </w:r>
      <w:r>
        <w:rPr/>
        <w:t>considerable</w:t>
      </w:r>
      <w:r>
        <w:rPr>
          <w:spacing w:val="-20"/>
        </w:rPr>
        <w:t> </w:t>
      </w:r>
      <w:r>
        <w:rPr/>
        <w:t>weight</w:t>
      </w:r>
      <w:r>
        <w:rPr>
          <w:spacing w:val="-19"/>
        </w:rPr>
        <w:t> </w:t>
      </w:r>
      <w:r>
        <w:rPr/>
        <w:t>when</w:t>
      </w:r>
      <w:r>
        <w:rPr>
          <w:spacing w:val="-20"/>
        </w:rPr>
        <w:t> </w:t>
      </w:r>
      <w:r>
        <w:rPr/>
        <w:t>the</w:t>
      </w:r>
      <w:r>
        <w:rPr>
          <w:spacing w:val="-20"/>
        </w:rPr>
        <w:t> </w:t>
      </w:r>
      <w:r>
        <w:rPr/>
        <w:t>Tribunal</w:t>
      </w:r>
      <w:r>
        <w:rPr>
          <w:spacing w:val="-19"/>
        </w:rPr>
        <w:t> </w:t>
      </w:r>
      <w:r>
        <w:rPr/>
        <w:t>decides whether there is no less restrictive way for the patient to be treated, even in the face of an envisaged harm that might result from that refusal. One purpose of the Act is to protect human rights, including the right to make decisions about treatment – a right generally</w:t>
      </w:r>
      <w:r>
        <w:rPr>
          <w:spacing w:val="-8"/>
        </w:rPr>
        <w:t> </w:t>
      </w:r>
      <w:r>
        <w:rPr/>
        <w:t>enjoyed</w:t>
      </w:r>
      <w:r>
        <w:rPr>
          <w:spacing w:val="-10"/>
        </w:rPr>
        <w:t> </w:t>
      </w:r>
      <w:r>
        <w:rPr/>
        <w:t>by</w:t>
      </w:r>
      <w:r>
        <w:rPr>
          <w:spacing w:val="-8"/>
        </w:rPr>
        <w:t> </w:t>
      </w:r>
      <w:r>
        <w:rPr/>
        <w:t>all</w:t>
      </w:r>
      <w:r>
        <w:rPr>
          <w:spacing w:val="-9"/>
        </w:rPr>
        <w:t> </w:t>
      </w:r>
      <w:r>
        <w:rPr/>
        <w:t>competent</w:t>
      </w:r>
      <w:r>
        <w:rPr>
          <w:spacing w:val="-9"/>
        </w:rPr>
        <w:t> </w:t>
      </w:r>
      <w:r>
        <w:rPr/>
        <w:t>Victorians</w:t>
      </w:r>
      <w:r>
        <w:rPr>
          <w:spacing w:val="-10"/>
        </w:rPr>
        <w:t> </w:t>
      </w:r>
      <w:r>
        <w:rPr/>
        <w:t>with</w:t>
      </w:r>
      <w:r>
        <w:rPr>
          <w:spacing w:val="-8"/>
        </w:rPr>
        <w:t> </w:t>
      </w:r>
      <w:r>
        <w:rPr/>
        <w:t>respect</w:t>
      </w:r>
      <w:r>
        <w:rPr>
          <w:spacing w:val="-9"/>
        </w:rPr>
        <w:t> </w:t>
      </w:r>
      <w:r>
        <w:rPr/>
        <w:t>to</w:t>
      </w:r>
      <w:r>
        <w:rPr>
          <w:spacing w:val="-8"/>
        </w:rPr>
        <w:t> </w:t>
      </w:r>
      <w:r>
        <w:rPr/>
        <w:t>medical</w:t>
      </w:r>
      <w:r>
        <w:rPr>
          <w:spacing w:val="-9"/>
        </w:rPr>
        <w:t> </w:t>
      </w:r>
      <w:r>
        <w:rPr/>
        <w:t>treatment,</w:t>
      </w:r>
      <w:r>
        <w:rPr>
          <w:spacing w:val="-8"/>
        </w:rPr>
        <w:t> </w:t>
      </w:r>
      <w:r>
        <w:rPr/>
        <w:t>and</w:t>
      </w:r>
      <w:r>
        <w:rPr>
          <w:spacing w:val="-8"/>
        </w:rPr>
        <w:t> </w:t>
      </w:r>
      <w:r>
        <w:rPr/>
        <w:t>a right which the Tribunal has a responsibility to</w:t>
      </w:r>
      <w:r>
        <w:rPr>
          <w:spacing w:val="-22"/>
        </w:rPr>
        <w:t> </w:t>
      </w:r>
      <w:r>
        <w:rPr/>
        <w:t>safeguard.</w:t>
      </w:r>
    </w:p>
    <w:p>
      <w:pPr>
        <w:pStyle w:val="BodyText"/>
      </w:pPr>
    </w:p>
    <w:p>
      <w:pPr>
        <w:pStyle w:val="ListParagraph"/>
        <w:numPr>
          <w:ilvl w:val="0"/>
          <w:numId w:val="1"/>
        </w:numPr>
        <w:tabs>
          <w:tab w:pos="3080" w:val="left" w:leader="none"/>
        </w:tabs>
        <w:spacing w:line="240" w:lineRule="auto" w:before="0" w:after="0"/>
        <w:ind w:left="3079" w:right="0" w:hanging="381"/>
        <w:jc w:val="left"/>
        <w:rPr>
          <w:sz w:val="24"/>
        </w:rPr>
      </w:pPr>
      <w:r>
        <w:rPr>
          <w:sz w:val="24"/>
        </w:rPr>
        <w:t>THE INTENTION OF</w:t>
      </w:r>
      <w:r>
        <w:rPr>
          <w:spacing w:val="-14"/>
          <w:sz w:val="24"/>
        </w:rPr>
        <w:t> </w:t>
      </w:r>
      <w:r>
        <w:rPr>
          <w:sz w:val="24"/>
        </w:rPr>
        <w:t>PARLIAMENT</w:t>
      </w:r>
    </w:p>
    <w:p>
      <w:pPr>
        <w:pStyle w:val="BodyText"/>
        <w:spacing w:before="1"/>
        <w:rPr>
          <w:sz w:val="23"/>
        </w:rPr>
      </w:pPr>
    </w:p>
    <w:p>
      <w:pPr>
        <w:pStyle w:val="BodyText"/>
        <w:spacing w:before="1"/>
        <w:ind w:left="120" w:right="109"/>
        <w:jc w:val="both"/>
      </w:pPr>
      <w:r>
        <w:rPr/>
        <w:t>Introducing the </w:t>
      </w:r>
      <w:r>
        <w:rPr>
          <w:i/>
          <w:sz w:val="25"/>
        </w:rPr>
        <w:t>Mental Health Bill 2014 </w:t>
      </w:r>
      <w:r>
        <w:rPr/>
        <w:t>(Vic) (“the Bill”) into Victorian Parliament,</w:t>
      </w:r>
      <w:r>
        <w:rPr>
          <w:spacing w:val="-46"/>
        </w:rPr>
        <w:t> </w:t>
      </w:r>
      <w:r>
        <w:rPr/>
        <w:t>the Health Minister proclaimed that it was “about maximising individual choice, autonomy, opportunity</w:t>
      </w:r>
      <w:r>
        <w:rPr>
          <w:spacing w:val="-7"/>
        </w:rPr>
        <w:t> </w:t>
      </w:r>
      <w:r>
        <w:rPr/>
        <w:t>and</w:t>
      </w:r>
      <w:r>
        <w:rPr>
          <w:spacing w:val="-6"/>
        </w:rPr>
        <w:t> </w:t>
      </w:r>
      <w:r>
        <w:rPr/>
        <w:t>wellbeing</w:t>
      </w:r>
      <w:r>
        <w:rPr>
          <w:spacing w:val="-7"/>
        </w:rPr>
        <w:t> </w:t>
      </w:r>
      <w:r>
        <w:rPr/>
        <w:t>during</w:t>
      </w:r>
      <w:r>
        <w:rPr>
          <w:spacing w:val="-9"/>
        </w:rPr>
        <w:t> </w:t>
      </w:r>
      <w:r>
        <w:rPr/>
        <w:t>a</w:t>
      </w:r>
      <w:r>
        <w:rPr>
          <w:spacing w:val="-7"/>
        </w:rPr>
        <w:t> </w:t>
      </w:r>
      <w:r>
        <w:rPr/>
        <w:t>person’s</w:t>
      </w:r>
      <w:r>
        <w:rPr>
          <w:spacing w:val="-8"/>
        </w:rPr>
        <w:t> </w:t>
      </w:r>
      <w:r>
        <w:rPr/>
        <w:t>life”</w:t>
      </w:r>
      <w:r>
        <w:rPr>
          <w:spacing w:val="-7"/>
        </w:rPr>
        <w:t> </w:t>
      </w:r>
      <w:r>
        <w:rPr/>
        <w:t>and</w:t>
      </w:r>
      <w:r>
        <w:rPr>
          <w:spacing w:val="-6"/>
        </w:rPr>
        <w:t> </w:t>
      </w:r>
      <w:r>
        <w:rPr/>
        <w:t>that</w:t>
      </w:r>
      <w:r>
        <w:rPr>
          <w:spacing w:val="-6"/>
        </w:rPr>
        <w:t> </w:t>
      </w:r>
      <w:r>
        <w:rPr/>
        <w:t>at</w:t>
      </w:r>
      <w:r>
        <w:rPr>
          <w:spacing w:val="-8"/>
        </w:rPr>
        <w:t> </w:t>
      </w:r>
      <w:r>
        <w:rPr/>
        <w:t>“the</w:t>
      </w:r>
      <w:r>
        <w:rPr>
          <w:spacing w:val="-8"/>
        </w:rPr>
        <w:t> </w:t>
      </w:r>
      <w:r>
        <w:rPr/>
        <w:t>very</w:t>
      </w:r>
      <w:r>
        <w:rPr>
          <w:spacing w:val="-6"/>
        </w:rPr>
        <w:t> </w:t>
      </w:r>
      <w:r>
        <w:rPr/>
        <w:t>heart</w:t>
      </w:r>
      <w:r>
        <w:rPr>
          <w:spacing w:val="-8"/>
        </w:rPr>
        <w:t> </w:t>
      </w:r>
      <w:r>
        <w:rPr/>
        <w:t>of</w:t>
      </w:r>
      <w:r>
        <w:rPr>
          <w:spacing w:val="-7"/>
        </w:rPr>
        <w:t> </w:t>
      </w:r>
      <w:r>
        <w:rPr/>
        <w:t>the</w:t>
      </w:r>
      <w:r>
        <w:rPr>
          <w:spacing w:val="-7"/>
        </w:rPr>
        <w:t> </w:t>
      </w:r>
      <w:r>
        <w:rPr/>
        <w:t>bill” was a supported decision making model that would “enable patients to make or participate in decisions about their assessment, treatment and recovery and to be provided</w:t>
      </w:r>
      <w:r>
        <w:rPr>
          <w:spacing w:val="-9"/>
        </w:rPr>
        <w:t> </w:t>
      </w:r>
      <w:r>
        <w:rPr/>
        <w:t>with</w:t>
      </w:r>
      <w:r>
        <w:rPr>
          <w:spacing w:val="-9"/>
        </w:rPr>
        <w:t> </w:t>
      </w:r>
      <w:r>
        <w:rPr/>
        <w:t>the</w:t>
      </w:r>
      <w:r>
        <w:rPr>
          <w:spacing w:val="-9"/>
        </w:rPr>
        <w:t> </w:t>
      </w:r>
      <w:r>
        <w:rPr/>
        <w:t>support</w:t>
      </w:r>
      <w:r>
        <w:rPr>
          <w:spacing w:val="-9"/>
        </w:rPr>
        <w:t> </w:t>
      </w:r>
      <w:r>
        <w:rPr/>
        <w:t>to</w:t>
      </w:r>
      <w:r>
        <w:rPr>
          <w:spacing w:val="-9"/>
        </w:rPr>
        <w:t> </w:t>
      </w:r>
      <w:r>
        <w:rPr/>
        <w:t>do</w:t>
      </w:r>
      <w:r>
        <w:rPr>
          <w:spacing w:val="-9"/>
        </w:rPr>
        <w:t> </w:t>
      </w:r>
      <w:r>
        <w:rPr/>
        <w:t>so”.</w:t>
      </w:r>
      <w:hyperlink w:history="true" w:anchor="_bookmark15">
        <w:r>
          <w:rPr>
            <w:position w:val="8"/>
            <w:sz w:val="16"/>
          </w:rPr>
          <w:t>16</w:t>
        </w:r>
        <w:r>
          <w:rPr>
            <w:spacing w:val="-5"/>
            <w:position w:val="8"/>
            <w:sz w:val="16"/>
          </w:rPr>
          <w:t> </w:t>
        </w:r>
      </w:hyperlink>
      <w:r>
        <w:rPr/>
        <w:t>In</w:t>
      </w:r>
      <w:r>
        <w:rPr>
          <w:spacing w:val="-10"/>
        </w:rPr>
        <w:t> </w:t>
      </w:r>
      <w:r>
        <w:rPr/>
        <w:t>doing</w:t>
      </w:r>
      <w:r>
        <w:rPr>
          <w:spacing w:val="-9"/>
        </w:rPr>
        <w:t> </w:t>
      </w:r>
      <w:r>
        <w:rPr/>
        <w:t>so</w:t>
      </w:r>
      <w:r>
        <w:rPr>
          <w:spacing w:val="-7"/>
        </w:rPr>
        <w:t> </w:t>
      </w:r>
      <w:r>
        <w:rPr/>
        <w:t>the</w:t>
      </w:r>
      <w:r>
        <w:rPr>
          <w:spacing w:val="-8"/>
        </w:rPr>
        <w:t> </w:t>
      </w:r>
      <w:r>
        <w:rPr/>
        <w:t>Minister</w:t>
      </w:r>
      <w:r>
        <w:rPr>
          <w:spacing w:val="-8"/>
        </w:rPr>
        <w:t> </w:t>
      </w:r>
      <w:r>
        <w:rPr/>
        <w:t>highlighted</w:t>
      </w:r>
      <w:r>
        <w:rPr>
          <w:spacing w:val="-9"/>
        </w:rPr>
        <w:t> </w:t>
      </w:r>
      <w:r>
        <w:rPr/>
        <w:t>the</w:t>
      </w:r>
      <w:r>
        <w:rPr>
          <w:spacing w:val="-9"/>
        </w:rPr>
        <w:t> </w:t>
      </w:r>
      <w:r>
        <w:rPr/>
        <w:t>fact</w:t>
      </w:r>
      <w:r>
        <w:rPr>
          <w:spacing w:val="-8"/>
        </w:rPr>
        <w:t> </w:t>
      </w:r>
      <w:r>
        <w:rPr/>
        <w:t>that under the Act, patients would “be presumed to have capacity to make their own treatment decisions” though that presumption could be displaced. She also noted that a</w:t>
      </w:r>
      <w:r>
        <w:rPr>
          <w:spacing w:val="-16"/>
        </w:rPr>
        <w:t> </w:t>
      </w:r>
      <w:r>
        <w:rPr/>
        <w:t>person</w:t>
      </w:r>
      <w:r>
        <w:rPr>
          <w:spacing w:val="-16"/>
        </w:rPr>
        <w:t> </w:t>
      </w:r>
      <w:r>
        <w:rPr/>
        <w:t>may</w:t>
      </w:r>
      <w:r>
        <w:rPr>
          <w:spacing w:val="-17"/>
        </w:rPr>
        <w:t> </w:t>
      </w:r>
      <w:r>
        <w:rPr/>
        <w:t>only</w:t>
      </w:r>
      <w:r>
        <w:rPr>
          <w:spacing w:val="-17"/>
        </w:rPr>
        <w:t> </w:t>
      </w:r>
      <w:r>
        <w:rPr/>
        <w:t>be</w:t>
      </w:r>
      <w:r>
        <w:rPr>
          <w:spacing w:val="-19"/>
        </w:rPr>
        <w:t> </w:t>
      </w:r>
      <w:r>
        <w:rPr/>
        <w:t>made</w:t>
      </w:r>
      <w:r>
        <w:rPr>
          <w:spacing w:val="-17"/>
        </w:rPr>
        <w:t> </w:t>
      </w:r>
      <w:r>
        <w:rPr/>
        <w:t>subject</w:t>
      </w:r>
      <w:r>
        <w:rPr>
          <w:spacing w:val="-16"/>
        </w:rPr>
        <w:t> </w:t>
      </w:r>
      <w:r>
        <w:rPr/>
        <w:t>to</w:t>
      </w:r>
      <w:r>
        <w:rPr>
          <w:spacing w:val="-17"/>
        </w:rPr>
        <w:t> </w:t>
      </w:r>
      <w:r>
        <w:rPr/>
        <w:t>an</w:t>
      </w:r>
      <w:r>
        <w:rPr>
          <w:spacing w:val="-17"/>
        </w:rPr>
        <w:t> </w:t>
      </w:r>
      <w:r>
        <w:rPr/>
        <w:t>involuntary</w:t>
      </w:r>
      <w:r>
        <w:rPr>
          <w:spacing w:val="-17"/>
        </w:rPr>
        <w:t> </w:t>
      </w:r>
      <w:r>
        <w:rPr/>
        <w:t>order</w:t>
      </w:r>
      <w:r>
        <w:rPr>
          <w:spacing w:val="-16"/>
        </w:rPr>
        <w:t> </w:t>
      </w:r>
      <w:r>
        <w:rPr/>
        <w:t>“if</w:t>
      </w:r>
      <w:r>
        <w:rPr>
          <w:spacing w:val="-17"/>
        </w:rPr>
        <w:t> </w:t>
      </w:r>
      <w:r>
        <w:rPr/>
        <w:t>there</w:t>
      </w:r>
      <w:r>
        <w:rPr>
          <w:spacing w:val="-17"/>
        </w:rPr>
        <w:t> </w:t>
      </w:r>
      <w:r>
        <w:rPr/>
        <w:t>is</w:t>
      </w:r>
      <w:r>
        <w:rPr>
          <w:spacing w:val="-18"/>
        </w:rPr>
        <w:t> </w:t>
      </w:r>
      <w:r>
        <w:rPr/>
        <w:t>no</w:t>
      </w:r>
      <w:r>
        <w:rPr>
          <w:spacing w:val="-17"/>
        </w:rPr>
        <w:t> </w:t>
      </w:r>
      <w:r>
        <w:rPr/>
        <w:t>less</w:t>
      </w:r>
      <w:r>
        <w:rPr>
          <w:spacing w:val="-19"/>
        </w:rPr>
        <w:t> </w:t>
      </w:r>
      <w:r>
        <w:rPr/>
        <w:t>restrictive means reasonably available to enable the person to be assessed or treated” and that this includes “whether the person can receive mental health treatment</w:t>
      </w:r>
      <w:r>
        <w:rPr>
          <w:spacing w:val="-33"/>
        </w:rPr>
        <w:t> </w:t>
      </w:r>
      <w:r>
        <w:rPr/>
        <w:t>voluntarily”.</w:t>
      </w:r>
    </w:p>
    <w:p>
      <w:pPr>
        <w:pStyle w:val="BodyText"/>
        <w:spacing w:before="4"/>
        <w:rPr>
          <w:sz w:val="20"/>
        </w:rPr>
      </w:pPr>
      <w:r>
        <w:rPr/>
        <w:pict>
          <v:line style="position:absolute;mso-position-horizontal-relative:page;mso-position-vertical-relative:paragraph;z-index:1120;mso-wrap-distance-left:0;mso-wrap-distance-right:0" from="67.019997pt,14.537306pt" to="211.019997pt,14.537306pt" stroked="true" strokeweight=".54pt" strokecolor="#000000">
            <v:stroke dashstyle="solid"/>
            <w10:wrap type="topAndBottom"/>
          </v:line>
        </w:pict>
      </w:r>
    </w:p>
    <w:p>
      <w:pPr>
        <w:spacing w:before="54"/>
        <w:ind w:left="120" w:right="0" w:firstLine="0"/>
        <w:jc w:val="left"/>
        <w:rPr>
          <w:sz w:val="20"/>
        </w:rPr>
      </w:pPr>
      <w:bookmarkStart w:name="_bookmark15" w:id="17"/>
      <w:bookmarkEnd w:id="17"/>
      <w:r>
        <w:rPr/>
      </w:r>
      <w:r>
        <w:rPr>
          <w:position w:val="7"/>
          <w:sz w:val="13"/>
        </w:rPr>
        <w:t>16 </w:t>
      </w:r>
      <w:r>
        <w:rPr>
          <w:sz w:val="20"/>
        </w:rPr>
        <w:t>Victoria, </w:t>
      </w:r>
      <w:r>
        <w:rPr>
          <w:i/>
          <w:sz w:val="21"/>
        </w:rPr>
        <w:t>Parliamentary Debates, </w:t>
      </w:r>
      <w:r>
        <w:rPr>
          <w:sz w:val="20"/>
        </w:rPr>
        <w:t>Legislative Assembly, 20 February 2014, 470 (Mary Wooldridge).</w:t>
      </w:r>
    </w:p>
    <w:p>
      <w:pPr>
        <w:spacing w:after="0"/>
        <w:jc w:val="left"/>
        <w:rPr>
          <w:sz w:val="20"/>
        </w:rPr>
        <w:sectPr>
          <w:pgSz w:w="11910" w:h="16840"/>
          <w:pgMar w:header="763" w:footer="1025" w:top="980" w:bottom="1220" w:left="1220" w:right="1320"/>
        </w:sectPr>
      </w:pPr>
    </w:p>
    <w:p>
      <w:pPr>
        <w:pStyle w:val="BodyText"/>
        <w:rPr>
          <w:sz w:val="20"/>
        </w:rPr>
      </w:pPr>
    </w:p>
    <w:p>
      <w:pPr>
        <w:pStyle w:val="BodyText"/>
        <w:spacing w:before="3"/>
        <w:rPr>
          <w:sz w:val="25"/>
        </w:rPr>
      </w:pPr>
    </w:p>
    <w:p>
      <w:pPr>
        <w:pStyle w:val="BodyText"/>
        <w:spacing w:before="101"/>
        <w:ind w:left="120" w:right="228"/>
        <w:jc w:val="both"/>
      </w:pPr>
      <w:r>
        <w:rPr/>
        <w:t>Despite this, the Minister endorses the fact that the Act would also facilitate the treatment of some people despite a competent objection, stating that this was “necessary</w:t>
      </w:r>
      <w:r>
        <w:rPr>
          <w:spacing w:val="-17"/>
        </w:rPr>
        <w:t> </w:t>
      </w:r>
      <w:r>
        <w:rPr/>
        <w:t>to</w:t>
      </w:r>
      <w:r>
        <w:rPr>
          <w:spacing w:val="-17"/>
        </w:rPr>
        <w:t> </w:t>
      </w:r>
      <w:r>
        <w:rPr/>
        <w:t>ensure</w:t>
      </w:r>
      <w:r>
        <w:rPr>
          <w:spacing w:val="-18"/>
        </w:rPr>
        <w:t> </w:t>
      </w:r>
      <w:r>
        <w:rPr/>
        <w:t>that</w:t>
      </w:r>
      <w:r>
        <w:rPr>
          <w:spacing w:val="-17"/>
        </w:rPr>
        <w:t> </w:t>
      </w:r>
      <w:r>
        <w:rPr/>
        <w:t>patients</w:t>
      </w:r>
      <w:r>
        <w:rPr>
          <w:spacing w:val="-18"/>
        </w:rPr>
        <w:t> </w:t>
      </w:r>
      <w:r>
        <w:rPr/>
        <w:t>receive</w:t>
      </w:r>
      <w:r>
        <w:rPr>
          <w:spacing w:val="-18"/>
        </w:rPr>
        <w:t> </w:t>
      </w:r>
      <w:r>
        <w:rPr/>
        <w:t>treatment</w:t>
      </w:r>
      <w:r>
        <w:rPr>
          <w:spacing w:val="-17"/>
        </w:rPr>
        <w:t> </w:t>
      </w:r>
      <w:r>
        <w:rPr/>
        <w:t>at</w:t>
      </w:r>
      <w:r>
        <w:rPr>
          <w:spacing w:val="-18"/>
        </w:rPr>
        <w:t> </w:t>
      </w:r>
      <w:r>
        <w:rPr/>
        <w:t>times</w:t>
      </w:r>
      <w:r>
        <w:rPr>
          <w:spacing w:val="-18"/>
        </w:rPr>
        <w:t> </w:t>
      </w:r>
      <w:r>
        <w:rPr/>
        <w:t>when</w:t>
      </w:r>
      <w:r>
        <w:rPr>
          <w:spacing w:val="-17"/>
        </w:rPr>
        <w:t> </w:t>
      </w:r>
      <w:r>
        <w:rPr/>
        <w:t>…</w:t>
      </w:r>
      <w:r>
        <w:rPr>
          <w:spacing w:val="-18"/>
        </w:rPr>
        <w:t> </w:t>
      </w:r>
      <w:r>
        <w:rPr/>
        <w:t>the</w:t>
      </w:r>
      <w:r>
        <w:rPr>
          <w:spacing w:val="-18"/>
        </w:rPr>
        <w:t> </w:t>
      </w:r>
      <w:r>
        <w:rPr/>
        <w:t>person</w:t>
      </w:r>
      <w:r>
        <w:rPr>
          <w:spacing w:val="-18"/>
        </w:rPr>
        <w:t> </w:t>
      </w:r>
      <w:r>
        <w:rPr/>
        <w:t>needs treatment</w:t>
      </w:r>
      <w:r>
        <w:rPr>
          <w:spacing w:val="-21"/>
        </w:rPr>
        <w:t> </w:t>
      </w:r>
      <w:r>
        <w:rPr/>
        <w:t>to</w:t>
      </w:r>
      <w:r>
        <w:rPr>
          <w:spacing w:val="-21"/>
        </w:rPr>
        <w:t> </w:t>
      </w:r>
      <w:r>
        <w:rPr/>
        <w:t>prevent</w:t>
      </w:r>
      <w:r>
        <w:rPr>
          <w:spacing w:val="-21"/>
        </w:rPr>
        <w:t> </w:t>
      </w:r>
      <w:r>
        <w:rPr/>
        <w:t>serious</w:t>
      </w:r>
      <w:r>
        <w:rPr>
          <w:spacing w:val="-21"/>
        </w:rPr>
        <w:t> </w:t>
      </w:r>
      <w:r>
        <w:rPr/>
        <w:t>harm</w:t>
      </w:r>
      <w:r>
        <w:rPr>
          <w:spacing w:val="-21"/>
        </w:rPr>
        <w:t> </w:t>
      </w:r>
      <w:r>
        <w:rPr/>
        <w:t>to</w:t>
      </w:r>
      <w:r>
        <w:rPr>
          <w:spacing w:val="-21"/>
        </w:rPr>
        <w:t> </w:t>
      </w:r>
      <w:r>
        <w:rPr/>
        <w:t>the</w:t>
      </w:r>
      <w:r>
        <w:rPr>
          <w:spacing w:val="-22"/>
        </w:rPr>
        <w:t> </w:t>
      </w:r>
      <w:r>
        <w:rPr/>
        <w:t>person</w:t>
      </w:r>
      <w:r>
        <w:rPr>
          <w:spacing w:val="-21"/>
        </w:rPr>
        <w:t> </w:t>
      </w:r>
      <w:r>
        <w:rPr/>
        <w:t>or</w:t>
      </w:r>
      <w:r>
        <w:rPr>
          <w:spacing w:val="-21"/>
        </w:rPr>
        <w:t> </w:t>
      </w:r>
      <w:r>
        <w:rPr/>
        <w:t>another</w:t>
      </w:r>
      <w:r>
        <w:rPr>
          <w:spacing w:val="-21"/>
        </w:rPr>
        <w:t> </w:t>
      </w:r>
      <w:r>
        <w:rPr/>
        <w:t>person</w:t>
      </w:r>
      <w:r>
        <w:rPr>
          <w:spacing w:val="-22"/>
        </w:rPr>
        <w:t> </w:t>
      </w:r>
      <w:r>
        <w:rPr/>
        <w:t>or</w:t>
      </w:r>
      <w:r>
        <w:rPr>
          <w:spacing w:val="-21"/>
        </w:rPr>
        <w:t> </w:t>
      </w:r>
      <w:r>
        <w:rPr/>
        <w:t>to</w:t>
      </w:r>
      <w:r>
        <w:rPr>
          <w:spacing w:val="-21"/>
        </w:rPr>
        <w:t> </w:t>
      </w:r>
      <w:r>
        <w:rPr/>
        <w:t>prevent</w:t>
      </w:r>
      <w:r>
        <w:rPr>
          <w:spacing w:val="-21"/>
        </w:rPr>
        <w:t> </w:t>
      </w:r>
      <w:r>
        <w:rPr/>
        <w:t>serious deterioration in the person's mental or physical health”.</w:t>
      </w:r>
      <w:hyperlink w:history="true" w:anchor="_bookmark16">
        <w:r>
          <w:rPr>
            <w:position w:val="8"/>
            <w:sz w:val="16"/>
          </w:rPr>
          <w:t>17 </w:t>
        </w:r>
      </w:hyperlink>
      <w:r>
        <w:rPr/>
        <w:t>The use of the word ‘ensure’ here is inconsistent with the wording of the Act, which does not ‘ensure’ that people receive treatment, but ‘enables’</w:t>
      </w:r>
      <w:r>
        <w:rPr>
          <w:spacing w:val="-15"/>
        </w:rPr>
        <w:t> </w:t>
      </w:r>
      <w:r>
        <w:rPr/>
        <w:t>it.</w:t>
      </w:r>
    </w:p>
    <w:p>
      <w:pPr>
        <w:pStyle w:val="BodyText"/>
        <w:spacing w:before="11"/>
        <w:rPr>
          <w:sz w:val="23"/>
        </w:rPr>
      </w:pPr>
    </w:p>
    <w:p>
      <w:pPr>
        <w:pStyle w:val="BodyText"/>
        <w:ind w:left="120" w:right="230"/>
        <w:jc w:val="both"/>
      </w:pPr>
      <w:r>
        <w:rPr/>
        <w:t>Reading these somewhat contradictory aims together, it appears that the intention of Parliament was to only allow the override of competent refusal in a very limited set of circumstances when treatment was necessary to ensure the prevention of serious harm.</w:t>
      </w:r>
    </w:p>
    <w:p>
      <w:pPr>
        <w:pStyle w:val="BodyText"/>
        <w:spacing w:before="7"/>
        <w:rPr>
          <w:sz w:val="15"/>
        </w:rPr>
      </w:pPr>
    </w:p>
    <w:p>
      <w:pPr>
        <w:pStyle w:val="ListParagraph"/>
        <w:numPr>
          <w:ilvl w:val="0"/>
          <w:numId w:val="1"/>
        </w:numPr>
        <w:tabs>
          <w:tab w:pos="4179" w:val="left" w:leader="none"/>
        </w:tabs>
        <w:spacing w:line="240" w:lineRule="auto" w:before="100" w:after="0"/>
        <w:ind w:left="4178" w:right="0" w:hanging="291"/>
        <w:jc w:val="left"/>
        <w:rPr>
          <w:sz w:val="24"/>
        </w:rPr>
      </w:pPr>
      <w:r>
        <w:rPr>
          <w:sz w:val="24"/>
        </w:rPr>
        <w:t>OTHER</w:t>
      </w:r>
      <w:r>
        <w:rPr>
          <w:spacing w:val="-3"/>
          <w:sz w:val="24"/>
        </w:rPr>
        <w:t> </w:t>
      </w:r>
      <w:r>
        <w:rPr>
          <w:sz w:val="24"/>
        </w:rPr>
        <w:t>LAW</w:t>
      </w:r>
    </w:p>
    <w:p>
      <w:pPr>
        <w:pStyle w:val="BodyText"/>
        <w:spacing w:before="2"/>
      </w:pPr>
    </w:p>
    <w:p>
      <w:pPr>
        <w:pStyle w:val="BodyText"/>
        <w:spacing w:line="237" w:lineRule="auto"/>
        <w:ind w:left="120" w:right="229"/>
        <w:jc w:val="both"/>
      </w:pPr>
      <w:r>
        <w:rPr/>
        <w:t>In</w:t>
      </w:r>
      <w:r>
        <w:rPr>
          <w:spacing w:val="-22"/>
        </w:rPr>
        <w:t> </w:t>
      </w:r>
      <w:r>
        <w:rPr/>
        <w:t>the</w:t>
      </w:r>
      <w:r>
        <w:rPr>
          <w:spacing w:val="-22"/>
        </w:rPr>
        <w:t> </w:t>
      </w:r>
      <w:r>
        <w:rPr/>
        <w:t>second</w:t>
      </w:r>
      <w:r>
        <w:rPr>
          <w:spacing w:val="-22"/>
        </w:rPr>
        <w:t> </w:t>
      </w:r>
      <w:r>
        <w:rPr/>
        <w:t>reading</w:t>
      </w:r>
      <w:r>
        <w:rPr>
          <w:spacing w:val="-23"/>
        </w:rPr>
        <w:t> </w:t>
      </w:r>
      <w:r>
        <w:rPr/>
        <w:t>speech,</w:t>
      </w:r>
      <w:r>
        <w:rPr>
          <w:spacing w:val="-20"/>
        </w:rPr>
        <w:t> </w:t>
      </w:r>
      <w:r>
        <w:rPr/>
        <w:t>the</w:t>
      </w:r>
      <w:r>
        <w:rPr>
          <w:spacing w:val="-21"/>
        </w:rPr>
        <w:t> </w:t>
      </w:r>
      <w:r>
        <w:rPr/>
        <w:t>Government</w:t>
      </w:r>
      <w:r>
        <w:rPr>
          <w:spacing w:val="-21"/>
        </w:rPr>
        <w:t> </w:t>
      </w:r>
      <w:r>
        <w:rPr/>
        <w:t>also</w:t>
      </w:r>
      <w:r>
        <w:rPr>
          <w:spacing w:val="-22"/>
        </w:rPr>
        <w:t> </w:t>
      </w:r>
      <w:r>
        <w:rPr/>
        <w:t>claimed</w:t>
      </w:r>
      <w:r>
        <w:rPr>
          <w:spacing w:val="-20"/>
        </w:rPr>
        <w:t> </w:t>
      </w:r>
      <w:r>
        <w:rPr/>
        <w:t>that</w:t>
      </w:r>
      <w:r>
        <w:rPr>
          <w:spacing w:val="-22"/>
        </w:rPr>
        <w:t> </w:t>
      </w:r>
      <w:r>
        <w:rPr/>
        <w:t>the</w:t>
      </w:r>
      <w:r>
        <w:rPr>
          <w:spacing w:val="-21"/>
        </w:rPr>
        <w:t> </w:t>
      </w:r>
      <w:r>
        <w:rPr/>
        <w:t>Bill</w:t>
      </w:r>
      <w:r>
        <w:rPr>
          <w:spacing w:val="-22"/>
        </w:rPr>
        <w:t> </w:t>
      </w:r>
      <w:r>
        <w:rPr/>
        <w:t>was</w:t>
      </w:r>
      <w:r>
        <w:rPr>
          <w:spacing w:val="-21"/>
        </w:rPr>
        <w:t> </w:t>
      </w:r>
      <w:r>
        <w:rPr/>
        <w:t>compatible with</w:t>
      </w:r>
      <w:r>
        <w:rPr>
          <w:spacing w:val="-29"/>
        </w:rPr>
        <w:t> </w:t>
      </w:r>
      <w:r>
        <w:rPr/>
        <w:t>the</w:t>
      </w:r>
      <w:r>
        <w:rPr>
          <w:spacing w:val="-29"/>
        </w:rPr>
        <w:t> </w:t>
      </w:r>
      <w:r>
        <w:rPr>
          <w:i/>
          <w:sz w:val="25"/>
        </w:rPr>
        <w:t>Charter</w:t>
      </w:r>
      <w:r>
        <w:rPr>
          <w:i/>
          <w:spacing w:val="-33"/>
          <w:sz w:val="25"/>
        </w:rPr>
        <w:t> </w:t>
      </w:r>
      <w:r>
        <w:rPr>
          <w:i/>
          <w:sz w:val="25"/>
        </w:rPr>
        <w:t>of</w:t>
      </w:r>
      <w:r>
        <w:rPr>
          <w:i/>
          <w:spacing w:val="-32"/>
          <w:sz w:val="25"/>
        </w:rPr>
        <w:t> </w:t>
      </w:r>
      <w:r>
        <w:rPr>
          <w:i/>
          <w:sz w:val="25"/>
        </w:rPr>
        <w:t>Human</w:t>
      </w:r>
      <w:r>
        <w:rPr>
          <w:i/>
          <w:spacing w:val="-32"/>
          <w:sz w:val="25"/>
        </w:rPr>
        <w:t> </w:t>
      </w:r>
      <w:r>
        <w:rPr>
          <w:i/>
          <w:sz w:val="25"/>
        </w:rPr>
        <w:t>Rights</w:t>
      </w:r>
      <w:r>
        <w:rPr>
          <w:i/>
          <w:spacing w:val="-33"/>
          <w:sz w:val="25"/>
        </w:rPr>
        <w:t> </w:t>
      </w:r>
      <w:r>
        <w:rPr>
          <w:i/>
          <w:sz w:val="25"/>
        </w:rPr>
        <w:t>and</w:t>
      </w:r>
      <w:r>
        <w:rPr>
          <w:i/>
          <w:spacing w:val="-32"/>
          <w:sz w:val="25"/>
        </w:rPr>
        <w:t> </w:t>
      </w:r>
      <w:r>
        <w:rPr>
          <w:i/>
          <w:sz w:val="25"/>
        </w:rPr>
        <w:t>Responsibilities</w:t>
      </w:r>
      <w:r>
        <w:rPr>
          <w:i/>
          <w:spacing w:val="-33"/>
          <w:sz w:val="25"/>
        </w:rPr>
        <w:t> </w:t>
      </w:r>
      <w:r>
        <w:rPr>
          <w:i/>
          <w:sz w:val="25"/>
        </w:rPr>
        <w:t>Act</w:t>
      </w:r>
      <w:r>
        <w:rPr>
          <w:i/>
          <w:spacing w:val="-32"/>
          <w:sz w:val="25"/>
        </w:rPr>
        <w:t> </w:t>
      </w:r>
      <w:r>
        <w:rPr>
          <w:i/>
          <w:sz w:val="25"/>
        </w:rPr>
        <w:t>2006</w:t>
      </w:r>
      <w:r>
        <w:rPr>
          <w:i/>
          <w:spacing w:val="-32"/>
          <w:sz w:val="25"/>
        </w:rPr>
        <w:t> </w:t>
      </w:r>
      <w:r>
        <w:rPr/>
        <w:t>(Vic)</w:t>
      </w:r>
      <w:r>
        <w:rPr>
          <w:spacing w:val="-29"/>
        </w:rPr>
        <w:t> </w:t>
      </w:r>
      <w:r>
        <w:rPr/>
        <w:t>(Austl.).</w:t>
      </w:r>
      <w:hyperlink w:history="true" w:anchor="_bookmark17">
        <w:r>
          <w:rPr>
            <w:position w:val="8"/>
            <w:sz w:val="16"/>
          </w:rPr>
          <w:t>18</w:t>
        </w:r>
        <w:r>
          <w:rPr>
            <w:spacing w:val="-20"/>
            <w:position w:val="8"/>
            <w:sz w:val="16"/>
          </w:rPr>
          <w:t> </w:t>
        </w:r>
      </w:hyperlink>
      <w:r>
        <w:rPr/>
        <w:t>Section 32 of the Charter stipulates that “[s]o far as it is possible to do so consistently with their purpose, all statutory provisions must be interpreted in a way that is compatible with human rights” and that “International law … relevant to a human right may be considered in interpreting a statutory</w:t>
      </w:r>
      <w:r>
        <w:rPr>
          <w:spacing w:val="-19"/>
        </w:rPr>
        <w:t> </w:t>
      </w:r>
      <w:r>
        <w:rPr/>
        <w:t>provision”.</w:t>
      </w:r>
    </w:p>
    <w:p>
      <w:pPr>
        <w:pStyle w:val="BodyText"/>
        <w:spacing w:before="11"/>
        <w:rPr>
          <w:sz w:val="23"/>
        </w:rPr>
      </w:pPr>
    </w:p>
    <w:p>
      <w:pPr>
        <w:pStyle w:val="BodyText"/>
        <w:ind w:left="120" w:right="228"/>
        <w:jc w:val="both"/>
      </w:pPr>
      <w:r>
        <w:rPr/>
        <w:t>This allows the consideration of art 12 of the CRPD, which requires that states ensure that ‘persons with disabilities enjoy legal capacity on an equal basis with others in all aspects of life’ and to 'take appropriate measures to provide access by persons with disabilities</w:t>
      </w:r>
      <w:r>
        <w:rPr>
          <w:spacing w:val="-22"/>
        </w:rPr>
        <w:t> </w:t>
      </w:r>
      <w:r>
        <w:rPr/>
        <w:t>to</w:t>
      </w:r>
      <w:r>
        <w:rPr>
          <w:spacing w:val="-20"/>
        </w:rPr>
        <w:t> </w:t>
      </w:r>
      <w:r>
        <w:rPr/>
        <w:t>the</w:t>
      </w:r>
      <w:r>
        <w:rPr>
          <w:spacing w:val="-22"/>
        </w:rPr>
        <w:t> </w:t>
      </w:r>
      <w:r>
        <w:rPr/>
        <w:t>support</w:t>
      </w:r>
      <w:r>
        <w:rPr>
          <w:spacing w:val="-21"/>
        </w:rPr>
        <w:t> </w:t>
      </w:r>
      <w:r>
        <w:rPr/>
        <w:t>they</w:t>
      </w:r>
      <w:r>
        <w:rPr>
          <w:spacing w:val="-22"/>
        </w:rPr>
        <w:t> </w:t>
      </w:r>
      <w:r>
        <w:rPr/>
        <w:t>may</w:t>
      </w:r>
      <w:r>
        <w:rPr>
          <w:spacing w:val="-22"/>
        </w:rPr>
        <w:t> </w:t>
      </w:r>
      <w:r>
        <w:rPr/>
        <w:t>require</w:t>
      </w:r>
      <w:r>
        <w:rPr>
          <w:spacing w:val="-22"/>
        </w:rPr>
        <w:t> </w:t>
      </w:r>
      <w:r>
        <w:rPr/>
        <w:t>in</w:t>
      </w:r>
      <w:r>
        <w:rPr>
          <w:spacing w:val="-23"/>
        </w:rPr>
        <w:t> </w:t>
      </w:r>
      <w:r>
        <w:rPr/>
        <w:t>exercising</w:t>
      </w:r>
      <w:r>
        <w:rPr>
          <w:spacing w:val="-20"/>
        </w:rPr>
        <w:t> </w:t>
      </w:r>
      <w:r>
        <w:rPr/>
        <w:t>their</w:t>
      </w:r>
      <w:r>
        <w:rPr>
          <w:spacing w:val="-22"/>
        </w:rPr>
        <w:t> </w:t>
      </w:r>
      <w:r>
        <w:rPr/>
        <w:t>legal</w:t>
      </w:r>
      <w:r>
        <w:rPr>
          <w:spacing w:val="-22"/>
        </w:rPr>
        <w:t> </w:t>
      </w:r>
      <w:r>
        <w:rPr/>
        <w:t>capacity’.</w:t>
      </w:r>
      <w:r>
        <w:rPr>
          <w:spacing w:val="-22"/>
        </w:rPr>
        <w:t> </w:t>
      </w:r>
      <w:r>
        <w:rPr/>
        <w:t>An</w:t>
      </w:r>
      <w:r>
        <w:rPr>
          <w:spacing w:val="-22"/>
        </w:rPr>
        <w:t> </w:t>
      </w:r>
      <w:r>
        <w:rPr/>
        <w:t>analysis of the compliance of the Act with the CRPD has been undertaken elsewhere,</w:t>
      </w:r>
      <w:hyperlink w:history="true" w:anchor="_bookmark18">
        <w:r>
          <w:rPr>
            <w:position w:val="8"/>
            <w:sz w:val="16"/>
          </w:rPr>
          <w:t>19 </w:t>
        </w:r>
      </w:hyperlink>
      <w:r>
        <w:rPr/>
        <w:t>but any analysis</w:t>
      </w:r>
      <w:r>
        <w:rPr>
          <w:spacing w:val="-7"/>
        </w:rPr>
        <w:t> </w:t>
      </w:r>
      <w:r>
        <w:rPr/>
        <w:t>would</w:t>
      </w:r>
      <w:r>
        <w:rPr>
          <w:spacing w:val="-7"/>
        </w:rPr>
        <w:t> </w:t>
      </w:r>
      <w:r>
        <w:rPr/>
        <w:t>indicate</w:t>
      </w:r>
      <w:r>
        <w:rPr>
          <w:spacing w:val="-7"/>
        </w:rPr>
        <w:t> </w:t>
      </w:r>
      <w:r>
        <w:rPr/>
        <w:t>that</w:t>
      </w:r>
      <w:r>
        <w:rPr>
          <w:spacing w:val="-6"/>
        </w:rPr>
        <w:t> </w:t>
      </w:r>
      <w:r>
        <w:rPr/>
        <w:t>it</w:t>
      </w:r>
      <w:r>
        <w:rPr>
          <w:spacing w:val="-8"/>
        </w:rPr>
        <w:t> </w:t>
      </w:r>
      <w:r>
        <w:rPr/>
        <w:t>requires</w:t>
      </w:r>
      <w:r>
        <w:rPr>
          <w:spacing w:val="-7"/>
        </w:rPr>
        <w:t> </w:t>
      </w:r>
      <w:r>
        <w:rPr/>
        <w:t>States</w:t>
      </w:r>
      <w:r>
        <w:rPr>
          <w:spacing w:val="-7"/>
        </w:rPr>
        <w:t> </w:t>
      </w:r>
      <w:r>
        <w:rPr/>
        <w:t>Parties</w:t>
      </w:r>
      <w:r>
        <w:rPr>
          <w:spacing w:val="-7"/>
        </w:rPr>
        <w:t> </w:t>
      </w:r>
      <w:r>
        <w:rPr/>
        <w:t>to</w:t>
      </w:r>
      <w:r>
        <w:rPr>
          <w:spacing w:val="-6"/>
        </w:rPr>
        <w:t> </w:t>
      </w:r>
      <w:r>
        <w:rPr/>
        <w:t>ensure</w:t>
      </w:r>
      <w:r>
        <w:rPr>
          <w:spacing w:val="-7"/>
        </w:rPr>
        <w:t> </w:t>
      </w:r>
      <w:r>
        <w:rPr/>
        <w:t>that</w:t>
      </w:r>
      <w:r>
        <w:rPr>
          <w:spacing w:val="-6"/>
        </w:rPr>
        <w:t> </w:t>
      </w:r>
      <w:r>
        <w:rPr/>
        <w:t>a</w:t>
      </w:r>
      <w:r>
        <w:rPr>
          <w:spacing w:val="-7"/>
        </w:rPr>
        <w:t> </w:t>
      </w:r>
      <w:r>
        <w:rPr/>
        <w:t>person</w:t>
      </w:r>
      <w:r>
        <w:rPr>
          <w:spacing w:val="-7"/>
        </w:rPr>
        <w:t> </w:t>
      </w:r>
      <w:r>
        <w:rPr/>
        <w:t>is</w:t>
      </w:r>
      <w:r>
        <w:rPr>
          <w:spacing w:val="-7"/>
        </w:rPr>
        <w:t> </w:t>
      </w:r>
      <w:r>
        <w:rPr/>
        <w:t>as</w:t>
      </w:r>
      <w:r>
        <w:rPr>
          <w:spacing w:val="-7"/>
        </w:rPr>
        <w:t> </w:t>
      </w:r>
      <w:r>
        <w:rPr/>
        <w:t>able as possible to participate in their own decision making. This must include some consideration of a person’s decision-making</w:t>
      </w:r>
      <w:r>
        <w:rPr>
          <w:spacing w:val="-21"/>
        </w:rPr>
        <w:t> </w:t>
      </w:r>
      <w:r>
        <w:rPr/>
        <w:t>capacity.</w:t>
      </w:r>
    </w:p>
    <w:p>
      <w:pPr>
        <w:pStyle w:val="BodyText"/>
        <w:spacing w:before="11"/>
        <w:rPr>
          <w:sz w:val="23"/>
        </w:rPr>
      </w:pPr>
    </w:p>
    <w:p>
      <w:pPr>
        <w:pStyle w:val="BodyText"/>
        <w:ind w:left="120" w:right="230"/>
        <w:jc w:val="both"/>
      </w:pPr>
      <w:r>
        <w:rPr/>
        <w:t>The Act, read as a whole, restricts the cases where a competent decision can be overridden to options of last resort – quite literally the least restrictive option. Even if a</w:t>
      </w:r>
      <w:r>
        <w:rPr>
          <w:spacing w:val="-10"/>
        </w:rPr>
        <w:t> </w:t>
      </w:r>
      <w:r>
        <w:rPr/>
        <w:t>person</w:t>
      </w:r>
      <w:r>
        <w:rPr>
          <w:spacing w:val="-11"/>
        </w:rPr>
        <w:t> </w:t>
      </w:r>
      <w:r>
        <w:rPr/>
        <w:t>is</w:t>
      </w:r>
      <w:r>
        <w:rPr>
          <w:spacing w:val="-12"/>
        </w:rPr>
        <w:t> </w:t>
      </w:r>
      <w:r>
        <w:rPr/>
        <w:t>assessed</w:t>
      </w:r>
      <w:r>
        <w:rPr>
          <w:spacing w:val="-10"/>
        </w:rPr>
        <w:t> </w:t>
      </w:r>
      <w:r>
        <w:rPr/>
        <w:t>as</w:t>
      </w:r>
      <w:r>
        <w:rPr>
          <w:spacing w:val="-10"/>
        </w:rPr>
        <w:t> </w:t>
      </w:r>
      <w:r>
        <w:rPr/>
        <w:t>requiring</w:t>
      </w:r>
      <w:r>
        <w:rPr>
          <w:spacing w:val="-12"/>
        </w:rPr>
        <w:t> </w:t>
      </w:r>
      <w:r>
        <w:rPr/>
        <w:t>support</w:t>
      </w:r>
      <w:r>
        <w:rPr>
          <w:spacing w:val="-11"/>
        </w:rPr>
        <w:t> </w:t>
      </w:r>
      <w:r>
        <w:rPr/>
        <w:t>to</w:t>
      </w:r>
      <w:r>
        <w:rPr>
          <w:spacing w:val="-12"/>
        </w:rPr>
        <w:t> </w:t>
      </w:r>
      <w:r>
        <w:rPr/>
        <w:t>exercise</w:t>
      </w:r>
      <w:r>
        <w:rPr>
          <w:spacing w:val="-10"/>
        </w:rPr>
        <w:t> </w:t>
      </w:r>
      <w:r>
        <w:rPr/>
        <w:t>their</w:t>
      </w:r>
      <w:r>
        <w:rPr>
          <w:spacing w:val="-10"/>
        </w:rPr>
        <w:t> </w:t>
      </w:r>
      <w:r>
        <w:rPr/>
        <w:t>decision-making</w:t>
      </w:r>
      <w:r>
        <w:rPr>
          <w:spacing w:val="-11"/>
        </w:rPr>
        <w:t> </w:t>
      </w:r>
      <w:r>
        <w:rPr/>
        <w:t>capacity,</w:t>
      </w:r>
      <w:r>
        <w:rPr>
          <w:spacing w:val="-12"/>
        </w:rPr>
        <w:t> </w:t>
      </w:r>
      <w:r>
        <w:rPr/>
        <w:t>or is</w:t>
      </w:r>
      <w:r>
        <w:rPr>
          <w:spacing w:val="-18"/>
        </w:rPr>
        <w:t> </w:t>
      </w:r>
      <w:r>
        <w:rPr/>
        <w:t>assessed</w:t>
      </w:r>
      <w:r>
        <w:rPr>
          <w:spacing w:val="-17"/>
        </w:rPr>
        <w:t> </w:t>
      </w:r>
      <w:r>
        <w:rPr/>
        <w:t>as</w:t>
      </w:r>
      <w:r>
        <w:rPr>
          <w:spacing w:val="-18"/>
        </w:rPr>
        <w:t> </w:t>
      </w:r>
      <w:r>
        <w:rPr/>
        <w:t>needing</w:t>
      </w:r>
      <w:r>
        <w:rPr>
          <w:spacing w:val="-18"/>
        </w:rPr>
        <w:t> </w:t>
      </w:r>
      <w:r>
        <w:rPr/>
        <w:t>to</w:t>
      </w:r>
      <w:r>
        <w:rPr>
          <w:spacing w:val="-17"/>
        </w:rPr>
        <w:t> </w:t>
      </w:r>
      <w:r>
        <w:rPr/>
        <w:t>have</w:t>
      </w:r>
      <w:r>
        <w:rPr>
          <w:spacing w:val="-18"/>
        </w:rPr>
        <w:t> </w:t>
      </w:r>
      <w:r>
        <w:rPr/>
        <w:t>a</w:t>
      </w:r>
      <w:r>
        <w:rPr>
          <w:spacing w:val="-17"/>
        </w:rPr>
        <w:t> </w:t>
      </w:r>
      <w:r>
        <w:rPr/>
        <w:t>substituted</w:t>
      </w:r>
      <w:r>
        <w:rPr>
          <w:spacing w:val="-18"/>
        </w:rPr>
        <w:t> </w:t>
      </w:r>
      <w:r>
        <w:rPr/>
        <w:t>decision-maker,</w:t>
      </w:r>
      <w:r>
        <w:rPr>
          <w:spacing w:val="-17"/>
        </w:rPr>
        <w:t> </w:t>
      </w:r>
      <w:r>
        <w:rPr/>
        <w:t>an</w:t>
      </w:r>
      <w:r>
        <w:rPr>
          <w:spacing w:val="-18"/>
        </w:rPr>
        <w:t> </w:t>
      </w:r>
      <w:r>
        <w:rPr/>
        <w:t>assessment</w:t>
      </w:r>
      <w:r>
        <w:rPr>
          <w:spacing w:val="-17"/>
        </w:rPr>
        <w:t> </w:t>
      </w:r>
      <w:r>
        <w:rPr/>
        <w:t>of</w:t>
      </w:r>
      <w:r>
        <w:rPr>
          <w:spacing w:val="-17"/>
        </w:rPr>
        <w:t> </w:t>
      </w:r>
      <w:r>
        <w:rPr/>
        <w:t>capacity must take place at some</w:t>
      </w:r>
      <w:r>
        <w:rPr>
          <w:spacing w:val="-10"/>
        </w:rPr>
        <w:t> </w:t>
      </w:r>
      <w:r>
        <w:rPr/>
        <w:t>point.</w:t>
      </w:r>
    </w:p>
    <w:p>
      <w:pPr>
        <w:pStyle w:val="BodyText"/>
        <w:spacing w:before="11"/>
        <w:rPr>
          <w:sz w:val="23"/>
        </w:rPr>
      </w:pPr>
    </w:p>
    <w:p>
      <w:pPr>
        <w:pStyle w:val="BodyText"/>
        <w:ind w:left="120"/>
        <w:jc w:val="both"/>
      </w:pPr>
      <w:r>
        <w:rPr/>
        <w:t>What little case law exists supports this analysis.</w:t>
      </w:r>
      <w:hyperlink w:history="true" w:anchor="_bookmark19">
        <w:r>
          <w:rPr>
            <w:position w:val="8"/>
            <w:sz w:val="16"/>
          </w:rPr>
          <w:t>20 </w:t>
        </w:r>
      </w:hyperlink>
      <w:r>
        <w:rPr/>
        <w:t>To date no court of record has ruled</w:t>
      </w:r>
    </w:p>
    <w:p>
      <w:pPr>
        <w:pStyle w:val="BodyText"/>
        <w:spacing w:before="4"/>
        <w:rPr>
          <w:sz w:val="28"/>
        </w:rPr>
      </w:pPr>
      <w:r>
        <w:rPr/>
        <w:pict>
          <v:line style="position:absolute;mso-position-horizontal-relative:page;mso-position-vertical-relative:paragraph;z-index:1144;mso-wrap-distance-left:0;mso-wrap-distance-right:0" from="67.019997pt,19.363676pt" to="211.019997pt,19.363676pt" stroked="true" strokeweight=".54pt" strokecolor="#000000">
            <v:stroke dashstyle="solid"/>
            <w10:wrap type="topAndBottom"/>
          </v:line>
        </w:pict>
      </w:r>
    </w:p>
    <w:p>
      <w:pPr>
        <w:spacing w:line="253" w:lineRule="exact" w:before="54"/>
        <w:ind w:left="120" w:right="0" w:firstLine="0"/>
        <w:jc w:val="left"/>
        <w:rPr>
          <w:sz w:val="20"/>
        </w:rPr>
      </w:pPr>
      <w:bookmarkStart w:name="_bookmark16" w:id="18"/>
      <w:bookmarkEnd w:id="18"/>
      <w:r>
        <w:rPr/>
      </w:r>
      <w:r>
        <w:rPr>
          <w:position w:val="7"/>
          <w:sz w:val="13"/>
        </w:rPr>
        <w:t>17 </w:t>
      </w:r>
      <w:r>
        <w:rPr>
          <w:sz w:val="20"/>
        </w:rPr>
        <w:t>Victoria, </w:t>
      </w:r>
      <w:r>
        <w:rPr>
          <w:i/>
          <w:sz w:val="21"/>
        </w:rPr>
        <w:t>Parliamentary Debates, </w:t>
      </w:r>
      <w:r>
        <w:rPr>
          <w:sz w:val="20"/>
        </w:rPr>
        <w:t>Legislative Assembly, 20 February 2014, 475 (Mary Wooldridge).</w:t>
      </w:r>
    </w:p>
    <w:p>
      <w:pPr>
        <w:spacing w:line="240" w:lineRule="exact" w:before="0"/>
        <w:ind w:left="120" w:right="0" w:firstLine="0"/>
        <w:jc w:val="left"/>
        <w:rPr>
          <w:sz w:val="20"/>
        </w:rPr>
      </w:pPr>
      <w:bookmarkStart w:name="_bookmark17" w:id="19"/>
      <w:bookmarkEnd w:id="19"/>
      <w:r>
        <w:rPr/>
      </w:r>
      <w:r>
        <w:rPr>
          <w:sz w:val="13"/>
        </w:rPr>
        <w:t>18 </w:t>
      </w:r>
      <w:r>
        <w:rPr>
          <w:position w:val="-6"/>
          <w:sz w:val="20"/>
        </w:rPr>
        <w:t>Ibid.</w:t>
      </w:r>
    </w:p>
    <w:p>
      <w:pPr>
        <w:spacing w:line="230" w:lineRule="auto" w:before="10"/>
        <w:ind w:left="346" w:right="120" w:hanging="227"/>
        <w:jc w:val="both"/>
        <w:rPr>
          <w:sz w:val="20"/>
        </w:rPr>
      </w:pPr>
      <w:bookmarkStart w:name="_bookmark18" w:id="20"/>
      <w:bookmarkEnd w:id="20"/>
      <w:r>
        <w:rPr/>
      </w:r>
      <w:r>
        <w:rPr>
          <w:position w:val="7"/>
          <w:sz w:val="13"/>
        </w:rPr>
        <w:t>19 </w:t>
      </w:r>
      <w:r>
        <w:rPr>
          <w:sz w:val="20"/>
        </w:rPr>
        <w:t>Chris Maylea and Asher Hirsch, 'The right to refuse: The Victorian Mental Health Act 2014 and the Convention on the Rights of Persons with Disabilities’ (2017) 42(2) </w:t>
      </w:r>
      <w:r>
        <w:rPr>
          <w:i/>
          <w:sz w:val="21"/>
        </w:rPr>
        <w:t>Alternative Law Journal</w:t>
      </w:r>
      <w:r>
        <w:rPr>
          <w:sz w:val="20"/>
        </w:rPr>
        <w:t>.</w:t>
      </w:r>
    </w:p>
    <w:p>
      <w:pPr>
        <w:spacing w:line="235" w:lineRule="auto" w:before="2"/>
        <w:ind w:left="345" w:right="116" w:hanging="225"/>
        <w:jc w:val="both"/>
        <w:rPr>
          <w:sz w:val="20"/>
        </w:rPr>
      </w:pPr>
      <w:bookmarkStart w:name="_bookmark19" w:id="21"/>
      <w:bookmarkEnd w:id="21"/>
      <w:r>
        <w:rPr/>
      </w:r>
      <w:r>
        <w:rPr>
          <w:position w:val="7"/>
          <w:sz w:val="13"/>
        </w:rPr>
        <w:t>20 </w:t>
      </w:r>
      <w:r>
        <w:rPr>
          <w:sz w:val="20"/>
        </w:rPr>
        <w:t>There is an automatic right to have decisions of the Tribunal reviewed by the Victorian Civil and Administrative Tribunal (VCAT) under s 201 of the Act. This review is not an appeal, but a </w:t>
      </w:r>
      <w:r>
        <w:rPr>
          <w:i/>
          <w:sz w:val="21"/>
        </w:rPr>
        <w:t>de novo </w:t>
      </w:r>
      <w:r>
        <w:rPr>
          <w:sz w:val="20"/>
        </w:rPr>
        <w:t>hearing,</w:t>
      </w:r>
      <w:r>
        <w:rPr>
          <w:spacing w:val="-10"/>
          <w:sz w:val="20"/>
        </w:rPr>
        <w:t> </w:t>
      </w:r>
      <w:r>
        <w:rPr>
          <w:sz w:val="20"/>
        </w:rPr>
        <w:t>which</w:t>
      </w:r>
      <w:r>
        <w:rPr>
          <w:spacing w:val="-11"/>
          <w:sz w:val="20"/>
        </w:rPr>
        <w:t> </w:t>
      </w:r>
      <w:r>
        <w:rPr>
          <w:sz w:val="20"/>
        </w:rPr>
        <w:t>is</w:t>
      </w:r>
      <w:r>
        <w:rPr>
          <w:spacing w:val="-10"/>
          <w:sz w:val="20"/>
        </w:rPr>
        <w:t> </w:t>
      </w:r>
      <w:r>
        <w:rPr>
          <w:sz w:val="20"/>
        </w:rPr>
        <w:t>in</w:t>
      </w:r>
      <w:r>
        <w:rPr>
          <w:spacing w:val="-11"/>
          <w:sz w:val="20"/>
        </w:rPr>
        <w:t> </w:t>
      </w:r>
      <w:r>
        <w:rPr>
          <w:sz w:val="20"/>
        </w:rPr>
        <w:t>turn</w:t>
      </w:r>
      <w:r>
        <w:rPr>
          <w:spacing w:val="-11"/>
          <w:sz w:val="20"/>
        </w:rPr>
        <w:t> </w:t>
      </w:r>
      <w:r>
        <w:rPr>
          <w:sz w:val="20"/>
        </w:rPr>
        <w:t>appealable,</w:t>
      </w:r>
      <w:r>
        <w:rPr>
          <w:spacing w:val="-10"/>
          <w:sz w:val="20"/>
        </w:rPr>
        <w:t> </w:t>
      </w:r>
      <w:r>
        <w:rPr>
          <w:sz w:val="20"/>
        </w:rPr>
        <w:t>by</w:t>
      </w:r>
      <w:r>
        <w:rPr>
          <w:spacing w:val="-11"/>
          <w:sz w:val="20"/>
        </w:rPr>
        <w:t> </w:t>
      </w:r>
      <w:r>
        <w:rPr>
          <w:sz w:val="20"/>
        </w:rPr>
        <w:t>leave,</w:t>
      </w:r>
      <w:r>
        <w:rPr>
          <w:spacing w:val="-10"/>
          <w:sz w:val="20"/>
        </w:rPr>
        <w:t> </w:t>
      </w:r>
      <w:r>
        <w:rPr>
          <w:sz w:val="20"/>
        </w:rPr>
        <w:t>to</w:t>
      </w:r>
      <w:r>
        <w:rPr>
          <w:spacing w:val="-11"/>
          <w:sz w:val="20"/>
        </w:rPr>
        <w:t> </w:t>
      </w:r>
      <w:r>
        <w:rPr>
          <w:sz w:val="20"/>
        </w:rPr>
        <w:t>the</w:t>
      </w:r>
      <w:r>
        <w:rPr>
          <w:spacing w:val="-11"/>
          <w:sz w:val="20"/>
        </w:rPr>
        <w:t> </w:t>
      </w:r>
      <w:r>
        <w:rPr>
          <w:sz w:val="20"/>
        </w:rPr>
        <w:t>Victorian</w:t>
      </w:r>
      <w:r>
        <w:rPr>
          <w:spacing w:val="-11"/>
          <w:sz w:val="20"/>
        </w:rPr>
        <w:t> </w:t>
      </w:r>
      <w:r>
        <w:rPr>
          <w:sz w:val="20"/>
        </w:rPr>
        <w:t>Supreme</w:t>
      </w:r>
      <w:r>
        <w:rPr>
          <w:spacing w:val="-11"/>
          <w:sz w:val="20"/>
        </w:rPr>
        <w:t> </w:t>
      </w:r>
      <w:r>
        <w:rPr>
          <w:sz w:val="20"/>
        </w:rPr>
        <w:t>Court</w:t>
      </w:r>
      <w:r>
        <w:rPr>
          <w:spacing w:val="-11"/>
          <w:sz w:val="20"/>
        </w:rPr>
        <w:t> </w:t>
      </w:r>
      <w:r>
        <w:rPr>
          <w:sz w:val="20"/>
        </w:rPr>
        <w:t>or</w:t>
      </w:r>
      <w:r>
        <w:rPr>
          <w:spacing w:val="-11"/>
          <w:sz w:val="20"/>
        </w:rPr>
        <w:t> </w:t>
      </w:r>
      <w:r>
        <w:rPr>
          <w:sz w:val="20"/>
        </w:rPr>
        <w:t>Court</w:t>
      </w:r>
      <w:r>
        <w:rPr>
          <w:spacing w:val="-11"/>
          <w:sz w:val="20"/>
        </w:rPr>
        <w:t> </w:t>
      </w:r>
      <w:r>
        <w:rPr>
          <w:sz w:val="20"/>
        </w:rPr>
        <w:t>of</w:t>
      </w:r>
      <w:r>
        <w:rPr>
          <w:spacing w:val="-11"/>
          <w:sz w:val="20"/>
        </w:rPr>
        <w:t> </w:t>
      </w:r>
      <w:r>
        <w:rPr>
          <w:sz w:val="20"/>
        </w:rPr>
        <w:t>Appeal.</w:t>
      </w:r>
      <w:r>
        <w:rPr>
          <w:spacing w:val="-10"/>
          <w:sz w:val="20"/>
        </w:rPr>
        <w:t> </w:t>
      </w:r>
      <w:r>
        <w:rPr>
          <w:sz w:val="20"/>
        </w:rPr>
        <w:t>While a theoretical avenue for review of a Tribunal decision may rest in the inherent jurisdiction of the Supreme</w:t>
      </w:r>
      <w:r>
        <w:rPr>
          <w:spacing w:val="-2"/>
          <w:sz w:val="20"/>
        </w:rPr>
        <w:t> </w:t>
      </w:r>
      <w:r>
        <w:rPr>
          <w:sz w:val="20"/>
        </w:rPr>
        <w:t>Court,</w:t>
      </w:r>
      <w:r>
        <w:rPr>
          <w:spacing w:val="-2"/>
          <w:sz w:val="20"/>
        </w:rPr>
        <w:t> </w:t>
      </w:r>
      <w:r>
        <w:rPr>
          <w:sz w:val="20"/>
        </w:rPr>
        <w:t>under</w:t>
      </w:r>
      <w:r>
        <w:rPr>
          <w:spacing w:val="-3"/>
          <w:sz w:val="20"/>
        </w:rPr>
        <w:t> </w:t>
      </w:r>
      <w:r>
        <w:rPr>
          <w:sz w:val="20"/>
        </w:rPr>
        <w:t>order</w:t>
      </w:r>
      <w:r>
        <w:rPr>
          <w:spacing w:val="-2"/>
          <w:sz w:val="20"/>
        </w:rPr>
        <w:t> </w:t>
      </w:r>
      <w:r>
        <w:rPr>
          <w:sz w:val="20"/>
        </w:rPr>
        <w:t>56</w:t>
      </w:r>
      <w:r>
        <w:rPr>
          <w:spacing w:val="-2"/>
          <w:sz w:val="20"/>
        </w:rPr>
        <w:t> </w:t>
      </w:r>
      <w:r>
        <w:rPr>
          <w:sz w:val="20"/>
        </w:rPr>
        <w:t>of</w:t>
      </w:r>
      <w:r>
        <w:rPr>
          <w:spacing w:val="-3"/>
          <w:sz w:val="20"/>
        </w:rPr>
        <w:t> </w:t>
      </w:r>
      <w:r>
        <w:rPr>
          <w:sz w:val="20"/>
        </w:rPr>
        <w:t>the</w:t>
      </w:r>
      <w:r>
        <w:rPr>
          <w:spacing w:val="-2"/>
          <w:sz w:val="20"/>
        </w:rPr>
        <w:t> </w:t>
      </w:r>
      <w:r>
        <w:rPr>
          <w:i/>
          <w:sz w:val="21"/>
        </w:rPr>
        <w:t>Supreme</w:t>
      </w:r>
      <w:r>
        <w:rPr>
          <w:i/>
          <w:spacing w:val="-5"/>
          <w:sz w:val="21"/>
        </w:rPr>
        <w:t> </w:t>
      </w:r>
      <w:r>
        <w:rPr>
          <w:i/>
          <w:sz w:val="21"/>
        </w:rPr>
        <w:t>Court</w:t>
      </w:r>
      <w:r>
        <w:rPr>
          <w:i/>
          <w:spacing w:val="-5"/>
          <w:sz w:val="21"/>
        </w:rPr>
        <w:t> </w:t>
      </w:r>
      <w:r>
        <w:rPr>
          <w:i/>
          <w:sz w:val="21"/>
        </w:rPr>
        <w:t>(General</w:t>
      </w:r>
      <w:r>
        <w:rPr>
          <w:i/>
          <w:spacing w:val="-5"/>
          <w:sz w:val="21"/>
        </w:rPr>
        <w:t> </w:t>
      </w:r>
      <w:r>
        <w:rPr>
          <w:i/>
          <w:sz w:val="21"/>
        </w:rPr>
        <w:t>Civil</w:t>
      </w:r>
      <w:r>
        <w:rPr>
          <w:i/>
          <w:spacing w:val="-5"/>
          <w:sz w:val="21"/>
        </w:rPr>
        <w:t> </w:t>
      </w:r>
      <w:r>
        <w:rPr>
          <w:i/>
          <w:sz w:val="21"/>
        </w:rPr>
        <w:t>Procedure)</w:t>
      </w:r>
      <w:r>
        <w:rPr>
          <w:i/>
          <w:spacing w:val="-5"/>
          <w:sz w:val="21"/>
        </w:rPr>
        <w:t> </w:t>
      </w:r>
      <w:r>
        <w:rPr>
          <w:i/>
          <w:sz w:val="21"/>
        </w:rPr>
        <w:t>Rules</w:t>
      </w:r>
      <w:r>
        <w:rPr>
          <w:i/>
          <w:spacing w:val="-5"/>
          <w:sz w:val="21"/>
        </w:rPr>
        <w:t> </w:t>
      </w:r>
      <w:r>
        <w:rPr>
          <w:i/>
          <w:sz w:val="21"/>
        </w:rPr>
        <w:t>2005</w:t>
      </w:r>
      <w:r>
        <w:rPr>
          <w:i/>
          <w:spacing w:val="-7"/>
          <w:sz w:val="21"/>
        </w:rPr>
        <w:t> </w:t>
      </w:r>
      <w:r>
        <w:rPr>
          <w:sz w:val="20"/>
        </w:rPr>
        <w:t>(Vic),</w:t>
      </w:r>
      <w:r>
        <w:rPr>
          <w:spacing w:val="-2"/>
          <w:sz w:val="20"/>
        </w:rPr>
        <w:t> </w:t>
      </w:r>
      <w:r>
        <w:rPr>
          <w:sz w:val="20"/>
        </w:rPr>
        <w:t>in</w:t>
      </w:r>
    </w:p>
    <w:p>
      <w:pPr>
        <w:spacing w:after="0" w:line="235" w:lineRule="auto"/>
        <w:jc w:val="both"/>
        <w:rPr>
          <w:sz w:val="20"/>
        </w:rPr>
        <w:sectPr>
          <w:pgSz w:w="11910" w:h="16840"/>
          <w:pgMar w:header="763" w:footer="1025" w:top="980" w:bottom="1220" w:left="1220" w:right="1200"/>
        </w:sectPr>
      </w:pPr>
    </w:p>
    <w:p>
      <w:pPr>
        <w:pStyle w:val="BodyText"/>
        <w:spacing w:before="4"/>
        <w:rPr>
          <w:sz w:val="21"/>
        </w:rPr>
      </w:pPr>
    </w:p>
    <w:p>
      <w:pPr>
        <w:pStyle w:val="BodyText"/>
        <w:spacing w:line="232" w:lineRule="auto" w:before="109"/>
        <w:ind w:left="120" w:right="229"/>
        <w:jc w:val="both"/>
      </w:pPr>
      <w:r>
        <w:rPr/>
        <w:t>on the way the treatment criteria are applied, and only one has been decided by the Victorian Civil and Administrative Tribunal (VCAT). This case, </w:t>
      </w:r>
      <w:r>
        <w:rPr>
          <w:i/>
          <w:sz w:val="25"/>
        </w:rPr>
        <w:t>WCH v Mental Health Tribunal</w:t>
      </w:r>
      <w:r>
        <w:rPr>
          <w:i/>
          <w:spacing w:val="-9"/>
          <w:sz w:val="25"/>
        </w:rPr>
        <w:t> </w:t>
      </w:r>
      <w:r>
        <w:rPr>
          <w:i/>
          <w:sz w:val="25"/>
        </w:rPr>
        <w:t>(Human</w:t>
      </w:r>
      <w:r>
        <w:rPr>
          <w:i/>
          <w:spacing w:val="-9"/>
          <w:sz w:val="25"/>
        </w:rPr>
        <w:t> </w:t>
      </w:r>
      <w:r>
        <w:rPr>
          <w:i/>
          <w:sz w:val="25"/>
        </w:rPr>
        <w:t>Rights)</w:t>
      </w:r>
      <w:r>
        <w:rPr/>
        <w:t>,</w:t>
      </w:r>
      <w:hyperlink w:history="true" w:anchor="_bookmark20">
        <w:r>
          <w:rPr>
            <w:i/>
            <w:position w:val="8"/>
            <w:sz w:val="17"/>
          </w:rPr>
          <w:t>21</w:t>
        </w:r>
        <w:r>
          <w:rPr>
            <w:i/>
            <w:spacing w:val="-7"/>
            <w:position w:val="8"/>
            <w:sz w:val="17"/>
          </w:rPr>
          <w:t> </w:t>
        </w:r>
      </w:hyperlink>
      <w:r>
        <w:rPr/>
        <w:t>is</w:t>
      </w:r>
      <w:r>
        <w:rPr>
          <w:spacing w:val="-6"/>
        </w:rPr>
        <w:t> </w:t>
      </w:r>
      <w:r>
        <w:rPr/>
        <w:t>entirely</w:t>
      </w:r>
      <w:r>
        <w:rPr>
          <w:spacing w:val="-4"/>
        </w:rPr>
        <w:t> </w:t>
      </w:r>
      <w:r>
        <w:rPr/>
        <w:t>consistent</w:t>
      </w:r>
      <w:r>
        <w:rPr>
          <w:spacing w:val="-5"/>
        </w:rPr>
        <w:t> </w:t>
      </w:r>
      <w:r>
        <w:rPr/>
        <w:t>with</w:t>
      </w:r>
      <w:r>
        <w:rPr>
          <w:spacing w:val="-6"/>
        </w:rPr>
        <w:t> </w:t>
      </w:r>
      <w:r>
        <w:rPr/>
        <w:t>the</w:t>
      </w:r>
      <w:r>
        <w:rPr>
          <w:spacing w:val="-6"/>
        </w:rPr>
        <w:t> </w:t>
      </w:r>
      <w:r>
        <w:rPr/>
        <w:t>reading</w:t>
      </w:r>
      <w:r>
        <w:rPr>
          <w:spacing w:val="-6"/>
        </w:rPr>
        <w:t> </w:t>
      </w:r>
      <w:r>
        <w:rPr/>
        <w:t>of</w:t>
      </w:r>
      <w:r>
        <w:rPr>
          <w:spacing w:val="-6"/>
        </w:rPr>
        <w:t> </w:t>
      </w:r>
      <w:r>
        <w:rPr/>
        <w:t>the</w:t>
      </w:r>
      <w:r>
        <w:rPr>
          <w:spacing w:val="-6"/>
        </w:rPr>
        <w:t> </w:t>
      </w:r>
      <w:r>
        <w:rPr/>
        <w:t>Act</w:t>
      </w:r>
      <w:r>
        <w:rPr>
          <w:spacing w:val="-6"/>
        </w:rPr>
        <w:t> </w:t>
      </w:r>
      <w:r>
        <w:rPr/>
        <w:t>proposed here.</w:t>
      </w:r>
    </w:p>
    <w:p>
      <w:pPr>
        <w:pStyle w:val="BodyText"/>
      </w:pPr>
    </w:p>
    <w:p>
      <w:pPr>
        <w:pStyle w:val="BodyText"/>
        <w:ind w:left="120" w:right="229"/>
        <w:jc w:val="both"/>
        <w:rPr>
          <w:sz w:val="16"/>
        </w:rPr>
      </w:pPr>
      <w:r>
        <w:rPr/>
        <w:t>WCH was a gentleman diagnosed with schizophrenia who had been subject to Community Treatment Orders (CTOs) made by the Tribunal and its predecessor (the Mental Health Review Board), for 16 years. WCH did not believe himself to have schizophrenia but agreed he had been depressed from time to time and was willing to take treatment for this. WCH felt the CTO infringed “his freedom of thought and rights”</w:t>
      </w:r>
      <w:hyperlink w:history="true" w:anchor="_bookmark21">
        <w:r>
          <w:rPr>
            <w:position w:val="8"/>
            <w:sz w:val="16"/>
          </w:rPr>
          <w:t>22 </w:t>
        </w:r>
      </w:hyperlink>
      <w:r>
        <w:rPr/>
        <w:t>pursuant to the 2006 Charter and wanted it set aside. He proposed that he would slowly decrease his current antipsychotic medication and voluntarily undergo supervision by his current treating team for a year to allow monitoring for relapse. In revoking the order, the presiding Member emphasised being “satisfied that, having regard to WCH’s intention to undertake a managed and supervised medication reduction under the care of the service – a course of action which has been described as </w:t>
      </w:r>
      <w:r>
        <w:rPr>
          <w:i/>
          <w:sz w:val="25"/>
        </w:rPr>
        <w:t>‘a reasonable therapeutic strategy’ </w:t>
      </w:r>
      <w:r>
        <w:rPr/>
        <w:t>– there is a less restrictive means of treatment available to WCH and so that criterion is not met”.</w:t>
      </w:r>
      <w:hyperlink w:history="true" w:anchor="_bookmark22">
        <w:r>
          <w:rPr>
            <w:position w:val="8"/>
            <w:sz w:val="16"/>
          </w:rPr>
          <w:t>23</w:t>
        </w:r>
      </w:hyperlink>
    </w:p>
    <w:p>
      <w:pPr>
        <w:pStyle w:val="BodyText"/>
        <w:spacing w:before="10"/>
        <w:rPr>
          <w:sz w:val="23"/>
        </w:rPr>
      </w:pPr>
    </w:p>
    <w:p>
      <w:pPr>
        <w:pStyle w:val="BodyText"/>
        <w:spacing w:before="1"/>
        <w:ind w:left="120" w:right="230"/>
        <w:jc w:val="both"/>
      </w:pPr>
      <w:r>
        <w:rPr/>
        <w:t>In addressing the least restrictive criterion specifically, and having noted that the independent expert psychiatrist had consider WCH’s plan “a reasonable option”, the Member opined:</w:t>
      </w:r>
    </w:p>
    <w:p>
      <w:pPr>
        <w:pStyle w:val="BodyText"/>
      </w:pPr>
    </w:p>
    <w:p>
      <w:pPr>
        <w:spacing w:before="0"/>
        <w:ind w:left="687" w:right="229" w:firstLine="0"/>
        <w:jc w:val="both"/>
        <w:rPr>
          <w:sz w:val="13"/>
        </w:rPr>
      </w:pPr>
      <w:r>
        <w:rPr>
          <w:sz w:val="20"/>
        </w:rPr>
        <w:t>Allowing WCH to become a voluntary patient engaging in treatment in order to reduce and potentially eliminate the medication he has been receiving for 16 years is consistent with his dignity</w:t>
      </w:r>
      <w:r>
        <w:rPr>
          <w:spacing w:val="-9"/>
          <w:sz w:val="20"/>
        </w:rPr>
        <w:t> </w:t>
      </w:r>
      <w:r>
        <w:rPr>
          <w:sz w:val="20"/>
        </w:rPr>
        <w:t>as</w:t>
      </w:r>
      <w:r>
        <w:rPr>
          <w:spacing w:val="-9"/>
          <w:sz w:val="20"/>
        </w:rPr>
        <w:t> </w:t>
      </w:r>
      <w:r>
        <w:rPr>
          <w:sz w:val="20"/>
        </w:rPr>
        <w:t>a</w:t>
      </w:r>
      <w:r>
        <w:rPr>
          <w:spacing w:val="-8"/>
          <w:sz w:val="20"/>
        </w:rPr>
        <w:t> </w:t>
      </w:r>
      <w:r>
        <w:rPr>
          <w:sz w:val="20"/>
        </w:rPr>
        <w:t>person</w:t>
      </w:r>
      <w:r>
        <w:rPr>
          <w:spacing w:val="-10"/>
          <w:sz w:val="20"/>
        </w:rPr>
        <w:t> </w:t>
      </w:r>
      <w:r>
        <w:rPr>
          <w:sz w:val="20"/>
        </w:rPr>
        <w:t>and</w:t>
      </w:r>
      <w:r>
        <w:rPr>
          <w:spacing w:val="-9"/>
          <w:sz w:val="20"/>
        </w:rPr>
        <w:t> </w:t>
      </w:r>
      <w:r>
        <w:rPr>
          <w:sz w:val="20"/>
        </w:rPr>
        <w:t>principle</w:t>
      </w:r>
      <w:r>
        <w:rPr>
          <w:spacing w:val="-8"/>
          <w:sz w:val="20"/>
        </w:rPr>
        <w:t> </w:t>
      </w:r>
      <w:r>
        <w:rPr>
          <w:sz w:val="20"/>
        </w:rPr>
        <w:t>1(d).</w:t>
      </w:r>
      <w:r>
        <w:rPr>
          <w:spacing w:val="-9"/>
          <w:sz w:val="20"/>
        </w:rPr>
        <w:t> </w:t>
      </w:r>
      <w:r>
        <w:rPr>
          <w:sz w:val="20"/>
        </w:rPr>
        <w:t>That</w:t>
      </w:r>
      <w:r>
        <w:rPr>
          <w:spacing w:val="-8"/>
          <w:sz w:val="20"/>
        </w:rPr>
        <w:t> </w:t>
      </w:r>
      <w:r>
        <w:rPr>
          <w:sz w:val="20"/>
        </w:rPr>
        <w:t>is</w:t>
      </w:r>
      <w:r>
        <w:rPr>
          <w:spacing w:val="-8"/>
          <w:sz w:val="20"/>
        </w:rPr>
        <w:t> </w:t>
      </w:r>
      <w:r>
        <w:rPr>
          <w:sz w:val="20"/>
        </w:rPr>
        <w:t>because</w:t>
      </w:r>
      <w:r>
        <w:rPr>
          <w:spacing w:val="-8"/>
          <w:sz w:val="20"/>
        </w:rPr>
        <w:t> </w:t>
      </w:r>
      <w:r>
        <w:rPr>
          <w:sz w:val="20"/>
        </w:rPr>
        <w:t>it</w:t>
      </w:r>
      <w:r>
        <w:rPr>
          <w:spacing w:val="-8"/>
          <w:sz w:val="20"/>
        </w:rPr>
        <w:t> </w:t>
      </w:r>
      <w:r>
        <w:rPr>
          <w:sz w:val="20"/>
        </w:rPr>
        <w:t>would</w:t>
      </w:r>
      <w:r>
        <w:rPr>
          <w:spacing w:val="-10"/>
          <w:sz w:val="20"/>
        </w:rPr>
        <w:t> </w:t>
      </w:r>
      <w:r>
        <w:rPr>
          <w:sz w:val="20"/>
        </w:rPr>
        <w:t>allow</w:t>
      </w:r>
      <w:r>
        <w:rPr>
          <w:spacing w:val="-8"/>
          <w:sz w:val="20"/>
        </w:rPr>
        <w:t> </w:t>
      </w:r>
      <w:r>
        <w:rPr>
          <w:sz w:val="20"/>
        </w:rPr>
        <w:t>him</w:t>
      </w:r>
      <w:r>
        <w:rPr>
          <w:spacing w:val="-9"/>
          <w:sz w:val="20"/>
        </w:rPr>
        <w:t> </w:t>
      </w:r>
      <w:r>
        <w:rPr>
          <w:sz w:val="20"/>
        </w:rPr>
        <w:t>to</w:t>
      </w:r>
      <w:r>
        <w:rPr>
          <w:spacing w:val="-8"/>
          <w:sz w:val="20"/>
        </w:rPr>
        <w:t> </w:t>
      </w:r>
      <w:r>
        <w:rPr>
          <w:sz w:val="20"/>
        </w:rPr>
        <w:t>make</w:t>
      </w:r>
      <w:r>
        <w:rPr>
          <w:spacing w:val="-8"/>
          <w:sz w:val="20"/>
        </w:rPr>
        <w:t> </w:t>
      </w:r>
      <w:r>
        <w:rPr>
          <w:sz w:val="20"/>
        </w:rPr>
        <w:t>decisions</w:t>
      </w:r>
      <w:r>
        <w:rPr>
          <w:spacing w:val="-9"/>
          <w:sz w:val="20"/>
        </w:rPr>
        <w:t> </w:t>
      </w:r>
      <w:r>
        <w:rPr>
          <w:sz w:val="20"/>
        </w:rPr>
        <w:t>about his</w:t>
      </w:r>
      <w:r>
        <w:rPr>
          <w:spacing w:val="-7"/>
          <w:sz w:val="20"/>
        </w:rPr>
        <w:t> </w:t>
      </w:r>
      <w:r>
        <w:rPr>
          <w:sz w:val="20"/>
        </w:rPr>
        <w:t>own</w:t>
      </w:r>
      <w:r>
        <w:rPr>
          <w:spacing w:val="-8"/>
          <w:sz w:val="20"/>
        </w:rPr>
        <w:t> </w:t>
      </w:r>
      <w:r>
        <w:rPr>
          <w:sz w:val="20"/>
        </w:rPr>
        <w:t>treatment</w:t>
      </w:r>
      <w:r>
        <w:rPr>
          <w:spacing w:val="-7"/>
          <w:sz w:val="20"/>
        </w:rPr>
        <w:t> </w:t>
      </w:r>
      <w:r>
        <w:rPr>
          <w:sz w:val="20"/>
        </w:rPr>
        <w:t>and</w:t>
      </w:r>
      <w:r>
        <w:rPr>
          <w:spacing w:val="-8"/>
          <w:sz w:val="20"/>
        </w:rPr>
        <w:t> </w:t>
      </w:r>
      <w:r>
        <w:rPr>
          <w:sz w:val="20"/>
        </w:rPr>
        <w:t>recovery</w:t>
      </w:r>
      <w:r>
        <w:rPr>
          <w:spacing w:val="-8"/>
          <w:sz w:val="20"/>
        </w:rPr>
        <w:t> </w:t>
      </w:r>
      <w:r>
        <w:rPr>
          <w:sz w:val="20"/>
        </w:rPr>
        <w:t>having</w:t>
      </w:r>
      <w:r>
        <w:rPr>
          <w:spacing w:val="-8"/>
          <w:sz w:val="20"/>
        </w:rPr>
        <w:t> </w:t>
      </w:r>
      <w:r>
        <w:rPr>
          <w:sz w:val="20"/>
        </w:rPr>
        <w:t>assessed</w:t>
      </w:r>
      <w:r>
        <w:rPr>
          <w:spacing w:val="-8"/>
          <w:sz w:val="20"/>
        </w:rPr>
        <w:t> </w:t>
      </w:r>
      <w:r>
        <w:rPr>
          <w:sz w:val="20"/>
        </w:rPr>
        <w:t>the</w:t>
      </w:r>
      <w:r>
        <w:rPr>
          <w:spacing w:val="-7"/>
          <w:sz w:val="20"/>
        </w:rPr>
        <w:t> </w:t>
      </w:r>
      <w:r>
        <w:rPr>
          <w:sz w:val="20"/>
        </w:rPr>
        <w:t>risk</w:t>
      </w:r>
      <w:r>
        <w:rPr>
          <w:spacing w:val="-8"/>
          <w:sz w:val="20"/>
        </w:rPr>
        <w:t> </w:t>
      </w:r>
      <w:r>
        <w:rPr>
          <w:sz w:val="20"/>
        </w:rPr>
        <w:t>associated</w:t>
      </w:r>
      <w:r>
        <w:rPr>
          <w:spacing w:val="-7"/>
          <w:sz w:val="20"/>
        </w:rPr>
        <w:t> </w:t>
      </w:r>
      <w:r>
        <w:rPr>
          <w:sz w:val="20"/>
        </w:rPr>
        <w:t>with</w:t>
      </w:r>
      <w:r>
        <w:rPr>
          <w:spacing w:val="-8"/>
          <w:sz w:val="20"/>
        </w:rPr>
        <w:t> </w:t>
      </w:r>
      <w:r>
        <w:rPr>
          <w:sz w:val="20"/>
        </w:rPr>
        <w:t>that</w:t>
      </w:r>
      <w:r>
        <w:rPr>
          <w:spacing w:val="-7"/>
          <w:sz w:val="20"/>
        </w:rPr>
        <w:t> </w:t>
      </w:r>
      <w:r>
        <w:rPr>
          <w:sz w:val="20"/>
        </w:rPr>
        <w:t>treatment.</w:t>
      </w:r>
      <w:r>
        <w:rPr>
          <w:spacing w:val="-7"/>
          <w:sz w:val="20"/>
        </w:rPr>
        <w:t> </w:t>
      </w:r>
      <w:r>
        <w:rPr>
          <w:sz w:val="20"/>
        </w:rPr>
        <w:t>It</w:t>
      </w:r>
      <w:r>
        <w:rPr>
          <w:spacing w:val="-7"/>
          <w:sz w:val="20"/>
        </w:rPr>
        <w:t> </w:t>
      </w:r>
      <w:r>
        <w:rPr>
          <w:sz w:val="20"/>
        </w:rPr>
        <w:t>would also be consistent with VCAT’s section 55(2) obligation to take into account WCH’s views and preferences and WCH’s Charter</w:t>
      </w:r>
      <w:r>
        <w:rPr>
          <w:spacing w:val="-8"/>
          <w:sz w:val="20"/>
        </w:rPr>
        <w:t> </w:t>
      </w:r>
      <w:r>
        <w:rPr>
          <w:sz w:val="20"/>
        </w:rPr>
        <w:t>rights</w:t>
      </w:r>
      <w:hyperlink w:history="true" w:anchor="_bookmark23">
        <w:r>
          <w:rPr>
            <w:position w:val="7"/>
            <w:sz w:val="13"/>
          </w:rPr>
          <w:t>24</w:t>
        </w:r>
      </w:hyperlink>
    </w:p>
    <w:p>
      <w:pPr>
        <w:pStyle w:val="BodyText"/>
        <w:spacing w:before="9"/>
        <w:rPr>
          <w:sz w:val="23"/>
        </w:rPr>
      </w:pPr>
    </w:p>
    <w:p>
      <w:pPr>
        <w:pStyle w:val="BodyText"/>
        <w:ind w:left="120" w:right="228"/>
        <w:jc w:val="both"/>
      </w:pPr>
      <w:r>
        <w:rPr/>
        <w:t>The</w:t>
      </w:r>
      <w:r>
        <w:rPr>
          <w:spacing w:val="-19"/>
        </w:rPr>
        <w:t> </w:t>
      </w:r>
      <w:r>
        <w:rPr/>
        <w:t>Member</w:t>
      </w:r>
      <w:r>
        <w:rPr>
          <w:spacing w:val="-18"/>
        </w:rPr>
        <w:t> </w:t>
      </w:r>
      <w:r>
        <w:rPr/>
        <w:t>also</w:t>
      </w:r>
      <w:r>
        <w:rPr>
          <w:spacing w:val="-19"/>
        </w:rPr>
        <w:t> </w:t>
      </w:r>
      <w:r>
        <w:rPr/>
        <w:t>declared</w:t>
      </w:r>
      <w:r>
        <w:rPr>
          <w:spacing w:val="-18"/>
        </w:rPr>
        <w:t> </w:t>
      </w:r>
      <w:r>
        <w:rPr/>
        <w:t>herself</w:t>
      </w:r>
      <w:r>
        <w:rPr>
          <w:spacing w:val="-18"/>
        </w:rPr>
        <w:t> </w:t>
      </w:r>
      <w:r>
        <w:rPr/>
        <w:t>satisfied</w:t>
      </w:r>
      <w:r>
        <w:rPr>
          <w:spacing w:val="-19"/>
        </w:rPr>
        <w:t> </w:t>
      </w:r>
      <w:r>
        <w:rPr/>
        <w:t>that</w:t>
      </w:r>
      <w:r>
        <w:rPr>
          <w:spacing w:val="-18"/>
        </w:rPr>
        <w:t> </w:t>
      </w:r>
      <w:r>
        <w:rPr/>
        <w:t>WCH</w:t>
      </w:r>
      <w:r>
        <w:rPr>
          <w:spacing w:val="-20"/>
        </w:rPr>
        <w:t> </w:t>
      </w:r>
      <w:r>
        <w:rPr/>
        <w:t>had</w:t>
      </w:r>
      <w:r>
        <w:rPr>
          <w:spacing w:val="-18"/>
        </w:rPr>
        <w:t> </w:t>
      </w:r>
      <w:r>
        <w:rPr/>
        <w:t>“the</w:t>
      </w:r>
      <w:r>
        <w:rPr>
          <w:spacing w:val="-19"/>
        </w:rPr>
        <w:t> </w:t>
      </w:r>
      <w:r>
        <w:rPr/>
        <w:t>capacity</w:t>
      </w:r>
      <w:r>
        <w:rPr>
          <w:spacing w:val="-18"/>
        </w:rPr>
        <w:t> </w:t>
      </w:r>
      <w:r>
        <w:rPr/>
        <w:t>to</w:t>
      </w:r>
      <w:r>
        <w:rPr>
          <w:spacing w:val="-19"/>
        </w:rPr>
        <w:t> </w:t>
      </w:r>
      <w:r>
        <w:rPr/>
        <w:t>give</w:t>
      </w:r>
      <w:r>
        <w:rPr>
          <w:spacing w:val="-19"/>
        </w:rPr>
        <w:t> </w:t>
      </w:r>
      <w:r>
        <w:rPr/>
        <w:t>informed consent to this course of action in the way discussed in sections 68 and 69” </w:t>
      </w:r>
      <w:hyperlink w:history="true" w:anchor="_bookmark24">
        <w:r>
          <w:rPr>
            <w:position w:val="8"/>
            <w:sz w:val="16"/>
          </w:rPr>
          <w:t>25 </w:t>
        </w:r>
      </w:hyperlink>
      <w:r>
        <w:rPr/>
        <w:t>of the Act [107], and noted that “[i]n that light, WHC falls squarely within the MH Act’s objective of being treated in the least restrictive way possible with the least possible restrictions on his Charter rights and human dignity”.</w:t>
      </w:r>
      <w:hyperlink w:history="true" w:anchor="_bookmark25">
        <w:r>
          <w:rPr>
            <w:position w:val="8"/>
            <w:sz w:val="16"/>
          </w:rPr>
          <w:t>26</w:t>
        </w:r>
      </w:hyperlink>
      <w:r>
        <w:rPr>
          <w:position w:val="8"/>
          <w:sz w:val="16"/>
        </w:rPr>
        <w:t> </w:t>
      </w:r>
      <w:r>
        <w:rPr/>
        <w:t>She continued, “It is also consistent with the MH Act’s objectives to enable people to make and participate in decisions about treatment and recovery and to promote</w:t>
      </w:r>
      <w:r>
        <w:rPr>
          <w:spacing w:val="-25"/>
        </w:rPr>
        <w:t> </w:t>
      </w:r>
      <w:r>
        <w:rPr/>
        <w:t>recovery”.</w:t>
      </w:r>
    </w:p>
    <w:p>
      <w:pPr>
        <w:pStyle w:val="BodyText"/>
        <w:spacing w:before="1"/>
        <w:rPr>
          <w:sz w:val="15"/>
        </w:rPr>
      </w:pPr>
      <w:r>
        <w:rPr/>
        <w:pict>
          <v:line style="position:absolute;mso-position-horizontal-relative:page;mso-position-vertical-relative:paragraph;z-index:1168;mso-wrap-distance-left:0;mso-wrap-distance-right:0" from="67.019997pt,11.373077pt" to="211.019997pt,11.373077pt" stroked="true" strokeweight=".54pt" strokecolor="#000000">
            <v:stroke dashstyle="solid"/>
            <w10:wrap type="topAndBottom"/>
          </v:line>
        </w:pict>
      </w:r>
    </w:p>
    <w:p>
      <w:pPr>
        <w:spacing w:line="235" w:lineRule="auto" w:before="69"/>
        <w:ind w:left="342" w:right="117" w:firstLine="4"/>
        <w:jc w:val="both"/>
        <w:rPr>
          <w:sz w:val="20"/>
        </w:rPr>
      </w:pPr>
      <w:r>
        <w:rPr>
          <w:sz w:val="20"/>
        </w:rPr>
        <w:t>practice it is extremely difficult to have a decision of the Tribunal subject to judicial review – only decisions of VCAT. For an example of this occurring in practice in Western Australia, see: </w:t>
      </w:r>
      <w:r>
        <w:rPr>
          <w:i/>
          <w:sz w:val="21"/>
        </w:rPr>
        <w:t>LS-v-Mental Health Review Board </w:t>
      </w:r>
      <w:r>
        <w:rPr>
          <w:sz w:val="20"/>
        </w:rPr>
        <w:t>[2013] WASCA 128. Decisions made by VCAT may be persuasive, and strongly influence decisions of the Tribunal, but the Tribunal is not bound by these decisions. Questions of law may be referred by the Tribunal itself to the Supreme Court under s 197 of the Act, however this has not</w:t>
      </w:r>
      <w:r>
        <w:rPr>
          <w:spacing w:val="-13"/>
          <w:sz w:val="20"/>
        </w:rPr>
        <w:t> </w:t>
      </w:r>
      <w:r>
        <w:rPr>
          <w:sz w:val="20"/>
        </w:rPr>
        <w:t>yet</w:t>
      </w:r>
      <w:r>
        <w:rPr>
          <w:spacing w:val="-14"/>
          <w:sz w:val="20"/>
        </w:rPr>
        <w:t> </w:t>
      </w:r>
      <w:r>
        <w:rPr>
          <w:sz w:val="20"/>
        </w:rPr>
        <w:t>occurred.</w:t>
      </w:r>
      <w:r>
        <w:rPr>
          <w:spacing w:val="-13"/>
          <w:sz w:val="20"/>
        </w:rPr>
        <w:t> </w:t>
      </w:r>
      <w:r>
        <w:rPr>
          <w:sz w:val="20"/>
        </w:rPr>
        <w:t>This</w:t>
      </w:r>
      <w:r>
        <w:rPr>
          <w:spacing w:val="-13"/>
          <w:sz w:val="20"/>
        </w:rPr>
        <w:t> </w:t>
      </w:r>
      <w:r>
        <w:rPr>
          <w:sz w:val="20"/>
        </w:rPr>
        <w:t>means</w:t>
      </w:r>
      <w:r>
        <w:rPr>
          <w:spacing w:val="-13"/>
          <w:sz w:val="20"/>
        </w:rPr>
        <w:t> </w:t>
      </w:r>
      <w:r>
        <w:rPr>
          <w:sz w:val="20"/>
        </w:rPr>
        <w:t>that</w:t>
      </w:r>
      <w:r>
        <w:rPr>
          <w:spacing w:val="-13"/>
          <w:sz w:val="20"/>
        </w:rPr>
        <w:t> </w:t>
      </w:r>
      <w:r>
        <w:rPr>
          <w:sz w:val="20"/>
        </w:rPr>
        <w:t>unlike,</w:t>
      </w:r>
      <w:r>
        <w:rPr>
          <w:spacing w:val="-13"/>
          <w:sz w:val="20"/>
        </w:rPr>
        <w:t> </w:t>
      </w:r>
      <w:r>
        <w:rPr>
          <w:sz w:val="20"/>
        </w:rPr>
        <w:t>for</w:t>
      </w:r>
      <w:r>
        <w:rPr>
          <w:spacing w:val="-13"/>
          <w:sz w:val="20"/>
        </w:rPr>
        <w:t> </w:t>
      </w:r>
      <w:r>
        <w:rPr>
          <w:sz w:val="20"/>
        </w:rPr>
        <w:t>example,</w:t>
      </w:r>
      <w:r>
        <w:rPr>
          <w:spacing w:val="-14"/>
          <w:sz w:val="20"/>
        </w:rPr>
        <w:t> </w:t>
      </w:r>
      <w:r>
        <w:rPr>
          <w:sz w:val="20"/>
        </w:rPr>
        <w:t>the</w:t>
      </w:r>
      <w:r>
        <w:rPr>
          <w:spacing w:val="-13"/>
          <w:sz w:val="20"/>
        </w:rPr>
        <w:t> </w:t>
      </w:r>
      <w:r>
        <w:rPr>
          <w:sz w:val="20"/>
        </w:rPr>
        <w:t>English</w:t>
      </w:r>
      <w:r>
        <w:rPr>
          <w:spacing w:val="-13"/>
          <w:sz w:val="20"/>
        </w:rPr>
        <w:t> </w:t>
      </w:r>
      <w:r>
        <w:rPr>
          <w:sz w:val="20"/>
        </w:rPr>
        <w:t>and</w:t>
      </w:r>
      <w:r>
        <w:rPr>
          <w:spacing w:val="-14"/>
          <w:sz w:val="20"/>
        </w:rPr>
        <w:t> </w:t>
      </w:r>
      <w:r>
        <w:rPr>
          <w:sz w:val="20"/>
        </w:rPr>
        <w:t>Welsh</w:t>
      </w:r>
      <w:r>
        <w:rPr>
          <w:spacing w:val="-13"/>
          <w:sz w:val="20"/>
        </w:rPr>
        <w:t> </w:t>
      </w:r>
      <w:r>
        <w:rPr>
          <w:sz w:val="20"/>
        </w:rPr>
        <w:t>Mental</w:t>
      </w:r>
      <w:r>
        <w:rPr>
          <w:spacing w:val="-13"/>
          <w:sz w:val="20"/>
        </w:rPr>
        <w:t> </w:t>
      </w:r>
      <w:r>
        <w:rPr>
          <w:sz w:val="20"/>
        </w:rPr>
        <w:t>Capacity</w:t>
      </w:r>
      <w:r>
        <w:rPr>
          <w:spacing w:val="-14"/>
          <w:sz w:val="20"/>
        </w:rPr>
        <w:t> </w:t>
      </w:r>
      <w:r>
        <w:rPr>
          <w:sz w:val="20"/>
        </w:rPr>
        <w:t>Act</w:t>
      </w:r>
      <w:r>
        <w:rPr>
          <w:spacing w:val="-13"/>
          <w:sz w:val="20"/>
        </w:rPr>
        <w:t> </w:t>
      </w:r>
      <w:r>
        <w:rPr>
          <w:sz w:val="20"/>
        </w:rPr>
        <w:t>2005, a body of case law for interpreting the Act has not been</w:t>
      </w:r>
      <w:r>
        <w:rPr>
          <w:spacing w:val="-30"/>
          <w:sz w:val="20"/>
        </w:rPr>
        <w:t> </w:t>
      </w:r>
      <w:r>
        <w:rPr>
          <w:sz w:val="20"/>
        </w:rPr>
        <w:t>generated.</w:t>
      </w:r>
    </w:p>
    <w:p>
      <w:pPr>
        <w:spacing w:line="237" w:lineRule="exact" w:before="0"/>
        <w:ind w:left="120" w:right="0" w:firstLine="0"/>
        <w:jc w:val="left"/>
        <w:rPr>
          <w:sz w:val="20"/>
        </w:rPr>
      </w:pPr>
      <w:bookmarkStart w:name="_bookmark20" w:id="22"/>
      <w:bookmarkEnd w:id="22"/>
      <w:r>
        <w:rPr/>
      </w:r>
      <w:r>
        <w:rPr>
          <w:position w:val="7"/>
          <w:sz w:val="13"/>
        </w:rPr>
        <w:t>21 </w:t>
      </w:r>
      <w:r>
        <w:rPr>
          <w:i/>
          <w:sz w:val="21"/>
        </w:rPr>
        <w:t>WCH v Mental Health Tribunal (Human Rights) </w:t>
      </w:r>
      <w:r>
        <w:rPr>
          <w:sz w:val="20"/>
        </w:rPr>
        <w:t>[2016] VCAT 199.</w:t>
      </w:r>
    </w:p>
    <w:p>
      <w:pPr>
        <w:spacing w:line="247" w:lineRule="exact" w:before="0"/>
        <w:ind w:left="120" w:right="0" w:firstLine="0"/>
        <w:jc w:val="left"/>
        <w:rPr>
          <w:sz w:val="20"/>
        </w:rPr>
      </w:pPr>
      <w:bookmarkStart w:name="_bookmark21" w:id="23"/>
      <w:bookmarkEnd w:id="23"/>
      <w:r>
        <w:rPr/>
      </w:r>
      <w:r>
        <w:rPr>
          <w:rFonts w:ascii="Calibri"/>
          <w:position w:val="7"/>
          <w:sz w:val="13"/>
        </w:rPr>
        <w:t>22 </w:t>
      </w:r>
      <w:r>
        <w:rPr>
          <w:i/>
          <w:sz w:val="21"/>
        </w:rPr>
        <w:t>WCH v Mental Health Tribunal (Human Rights) </w:t>
      </w:r>
      <w:r>
        <w:rPr>
          <w:sz w:val="20"/>
        </w:rPr>
        <w:t>[2016] VCAT 199, para 2.</w:t>
      </w:r>
    </w:p>
    <w:p>
      <w:pPr>
        <w:spacing w:line="253" w:lineRule="exact" w:before="0"/>
        <w:ind w:left="120" w:right="0" w:firstLine="0"/>
        <w:jc w:val="left"/>
        <w:rPr>
          <w:sz w:val="20"/>
        </w:rPr>
      </w:pPr>
      <w:bookmarkStart w:name="_bookmark22" w:id="24"/>
      <w:bookmarkEnd w:id="24"/>
      <w:r>
        <w:rPr/>
      </w:r>
      <w:r>
        <w:rPr>
          <w:rFonts w:ascii="Calibri"/>
          <w:position w:val="7"/>
          <w:sz w:val="13"/>
        </w:rPr>
        <w:t>23 </w:t>
      </w:r>
      <w:r>
        <w:rPr>
          <w:i/>
          <w:sz w:val="21"/>
        </w:rPr>
        <w:t>WCH v Mental Health Tribunal (Human Rights) </w:t>
      </w:r>
      <w:r>
        <w:rPr>
          <w:sz w:val="20"/>
        </w:rPr>
        <w:t>[2016] VCAT 199, para 6.</w:t>
      </w:r>
    </w:p>
    <w:p>
      <w:pPr>
        <w:spacing w:before="0"/>
        <w:ind w:left="120" w:right="0" w:firstLine="0"/>
        <w:jc w:val="left"/>
        <w:rPr>
          <w:sz w:val="20"/>
        </w:rPr>
      </w:pPr>
      <w:bookmarkStart w:name="_bookmark23" w:id="25"/>
      <w:bookmarkEnd w:id="25"/>
      <w:r>
        <w:rPr/>
      </w:r>
      <w:r>
        <w:rPr>
          <w:rFonts w:ascii="Calibri"/>
          <w:position w:val="7"/>
          <w:sz w:val="13"/>
        </w:rPr>
        <w:t>24 </w:t>
      </w:r>
      <w:r>
        <w:rPr>
          <w:i/>
          <w:sz w:val="21"/>
        </w:rPr>
        <w:t>WCH v Mental Health Tribunal (Human Rights) </w:t>
      </w:r>
      <w:r>
        <w:rPr>
          <w:sz w:val="20"/>
        </w:rPr>
        <w:t>[2016] VCAT 199, para 106.</w:t>
      </w:r>
    </w:p>
    <w:p>
      <w:pPr>
        <w:spacing w:line="253" w:lineRule="exact" w:before="1"/>
        <w:ind w:left="120" w:right="0" w:firstLine="0"/>
        <w:jc w:val="left"/>
        <w:rPr>
          <w:sz w:val="20"/>
        </w:rPr>
      </w:pPr>
      <w:bookmarkStart w:name="_bookmark24" w:id="26"/>
      <w:bookmarkEnd w:id="26"/>
      <w:r>
        <w:rPr/>
      </w:r>
      <w:r>
        <w:rPr>
          <w:rFonts w:ascii="Calibri"/>
          <w:position w:val="7"/>
          <w:sz w:val="13"/>
        </w:rPr>
        <w:t>25 </w:t>
      </w:r>
      <w:r>
        <w:rPr>
          <w:i/>
          <w:sz w:val="21"/>
        </w:rPr>
        <w:t>WCH v Mental Health Tribunal (Human Rights) </w:t>
      </w:r>
      <w:r>
        <w:rPr>
          <w:sz w:val="20"/>
        </w:rPr>
        <w:t>[2016] VCAT 199, para 107.</w:t>
      </w:r>
    </w:p>
    <w:p>
      <w:pPr>
        <w:spacing w:before="0"/>
        <w:ind w:left="120" w:right="0" w:firstLine="0"/>
        <w:jc w:val="left"/>
        <w:rPr>
          <w:sz w:val="20"/>
        </w:rPr>
      </w:pPr>
      <w:bookmarkStart w:name="_bookmark25" w:id="27"/>
      <w:bookmarkEnd w:id="27"/>
      <w:r>
        <w:rPr/>
      </w:r>
      <w:r>
        <w:rPr>
          <w:rFonts w:ascii="Calibri"/>
          <w:position w:val="7"/>
          <w:sz w:val="13"/>
        </w:rPr>
        <w:t>26 </w:t>
      </w:r>
      <w:r>
        <w:rPr>
          <w:i/>
          <w:sz w:val="21"/>
        </w:rPr>
        <w:t>WCH v Mental Health Tribunal (Human Rights) </w:t>
      </w:r>
      <w:r>
        <w:rPr>
          <w:sz w:val="20"/>
        </w:rPr>
        <w:t>[2016] VCAT 199, para 108.</w:t>
      </w:r>
    </w:p>
    <w:p>
      <w:pPr>
        <w:spacing w:after="0"/>
        <w:jc w:val="left"/>
        <w:rPr>
          <w:sz w:val="20"/>
        </w:rPr>
        <w:sectPr>
          <w:pgSz w:w="11910" w:h="16840"/>
          <w:pgMar w:header="763" w:footer="1025" w:top="980" w:bottom="1220" w:left="1220" w:right="1200"/>
        </w:sectPr>
      </w:pPr>
    </w:p>
    <w:p>
      <w:pPr>
        <w:pStyle w:val="BodyText"/>
        <w:rPr>
          <w:sz w:val="20"/>
        </w:rPr>
      </w:pPr>
    </w:p>
    <w:p>
      <w:pPr>
        <w:pStyle w:val="BodyText"/>
        <w:spacing w:before="3"/>
        <w:rPr>
          <w:sz w:val="25"/>
        </w:rPr>
      </w:pPr>
    </w:p>
    <w:p>
      <w:pPr>
        <w:pStyle w:val="BodyText"/>
        <w:spacing w:before="101"/>
        <w:ind w:left="120" w:right="229"/>
        <w:jc w:val="both"/>
      </w:pPr>
      <w:r>
        <w:rPr/>
        <w:t>This clearly supports the argument that an assessment of a person’s decision-making capacity should be undertaken when considering which option is the least restrictive. There</w:t>
      </w:r>
      <w:r>
        <w:rPr>
          <w:spacing w:val="-8"/>
        </w:rPr>
        <w:t> </w:t>
      </w:r>
      <w:r>
        <w:rPr/>
        <w:t>is</w:t>
      </w:r>
      <w:r>
        <w:rPr>
          <w:spacing w:val="-11"/>
        </w:rPr>
        <w:t> </w:t>
      </w:r>
      <w:r>
        <w:rPr/>
        <w:t>nothing</w:t>
      </w:r>
      <w:r>
        <w:rPr>
          <w:spacing w:val="-9"/>
        </w:rPr>
        <w:t> </w:t>
      </w:r>
      <w:r>
        <w:rPr/>
        <w:t>in</w:t>
      </w:r>
      <w:r>
        <w:rPr>
          <w:spacing w:val="-9"/>
        </w:rPr>
        <w:t> </w:t>
      </w:r>
      <w:r>
        <w:rPr/>
        <w:t>the</w:t>
      </w:r>
      <w:r>
        <w:rPr>
          <w:spacing w:val="-9"/>
        </w:rPr>
        <w:t> </w:t>
      </w:r>
      <w:r>
        <w:rPr/>
        <w:t>Act</w:t>
      </w:r>
      <w:r>
        <w:rPr>
          <w:spacing w:val="-9"/>
        </w:rPr>
        <w:t> </w:t>
      </w:r>
      <w:r>
        <w:rPr/>
        <w:t>that</w:t>
      </w:r>
      <w:r>
        <w:rPr>
          <w:spacing w:val="-9"/>
        </w:rPr>
        <w:t> </w:t>
      </w:r>
      <w:r>
        <w:rPr/>
        <w:t>would</w:t>
      </w:r>
      <w:r>
        <w:rPr>
          <w:spacing w:val="-9"/>
        </w:rPr>
        <w:t> </w:t>
      </w:r>
      <w:r>
        <w:rPr/>
        <w:t>prevent</w:t>
      </w:r>
      <w:r>
        <w:rPr>
          <w:spacing w:val="-9"/>
        </w:rPr>
        <w:t> </w:t>
      </w:r>
      <w:r>
        <w:rPr/>
        <w:t>the</w:t>
      </w:r>
      <w:r>
        <w:rPr>
          <w:spacing w:val="-9"/>
        </w:rPr>
        <w:t> </w:t>
      </w:r>
      <w:r>
        <w:rPr/>
        <w:t>Tribunal</w:t>
      </w:r>
      <w:r>
        <w:rPr>
          <w:spacing w:val="-10"/>
        </w:rPr>
        <w:t> </w:t>
      </w:r>
      <w:r>
        <w:rPr/>
        <w:t>from</w:t>
      </w:r>
      <w:r>
        <w:rPr>
          <w:spacing w:val="-9"/>
        </w:rPr>
        <w:t> </w:t>
      </w:r>
      <w:r>
        <w:rPr/>
        <w:t>legitimately</w:t>
      </w:r>
      <w:r>
        <w:rPr>
          <w:spacing w:val="-10"/>
        </w:rPr>
        <w:t> </w:t>
      </w:r>
      <w:r>
        <w:rPr/>
        <w:t>coming</w:t>
      </w:r>
      <w:r>
        <w:rPr>
          <w:spacing w:val="-9"/>
        </w:rPr>
        <w:t> </w:t>
      </w:r>
      <w:r>
        <w:rPr/>
        <w:t>to the view that treatment should be given and override the patient’s competent refusal, but</w:t>
      </w:r>
      <w:r>
        <w:rPr>
          <w:spacing w:val="-7"/>
        </w:rPr>
        <w:t> </w:t>
      </w:r>
      <w:r>
        <w:rPr/>
        <w:t>the</w:t>
      </w:r>
      <w:r>
        <w:rPr>
          <w:spacing w:val="-8"/>
        </w:rPr>
        <w:t> </w:t>
      </w:r>
      <w:r>
        <w:rPr/>
        <w:t>construction</w:t>
      </w:r>
      <w:r>
        <w:rPr>
          <w:spacing w:val="-7"/>
        </w:rPr>
        <w:t> </w:t>
      </w:r>
      <w:r>
        <w:rPr/>
        <w:t>of</w:t>
      </w:r>
      <w:r>
        <w:rPr>
          <w:spacing w:val="-7"/>
        </w:rPr>
        <w:t> </w:t>
      </w:r>
      <w:r>
        <w:rPr/>
        <w:t>the</w:t>
      </w:r>
      <w:r>
        <w:rPr>
          <w:spacing w:val="-8"/>
        </w:rPr>
        <w:t> </w:t>
      </w:r>
      <w:r>
        <w:rPr/>
        <w:t>Act</w:t>
      </w:r>
      <w:r>
        <w:rPr>
          <w:spacing w:val="-6"/>
        </w:rPr>
        <w:t> </w:t>
      </w:r>
      <w:r>
        <w:rPr/>
        <w:t>places</w:t>
      </w:r>
      <w:r>
        <w:rPr>
          <w:spacing w:val="-7"/>
        </w:rPr>
        <w:t> </w:t>
      </w:r>
      <w:r>
        <w:rPr/>
        <w:t>very</w:t>
      </w:r>
      <w:r>
        <w:rPr>
          <w:spacing w:val="-6"/>
        </w:rPr>
        <w:t> </w:t>
      </w:r>
      <w:r>
        <w:rPr/>
        <w:t>significant</w:t>
      </w:r>
      <w:r>
        <w:rPr>
          <w:spacing w:val="-7"/>
        </w:rPr>
        <w:t> </w:t>
      </w:r>
      <w:r>
        <w:rPr/>
        <w:t>constraints</w:t>
      </w:r>
      <w:r>
        <w:rPr>
          <w:spacing w:val="-8"/>
        </w:rPr>
        <w:t> </w:t>
      </w:r>
      <w:r>
        <w:rPr/>
        <w:t>on</w:t>
      </w:r>
      <w:r>
        <w:rPr>
          <w:spacing w:val="-6"/>
        </w:rPr>
        <w:t> </w:t>
      </w:r>
      <w:r>
        <w:rPr/>
        <w:t>the</w:t>
      </w:r>
      <w:r>
        <w:rPr>
          <w:spacing w:val="-7"/>
        </w:rPr>
        <w:t> </w:t>
      </w:r>
      <w:r>
        <w:rPr/>
        <w:t>circumstances where this would be a reasonable conclusion to</w:t>
      </w:r>
      <w:r>
        <w:rPr>
          <w:spacing w:val="-19"/>
        </w:rPr>
        <w:t> </w:t>
      </w:r>
      <w:r>
        <w:rPr/>
        <w:t>draw.</w:t>
      </w:r>
    </w:p>
    <w:p>
      <w:pPr>
        <w:pStyle w:val="BodyText"/>
      </w:pPr>
    </w:p>
    <w:p>
      <w:pPr>
        <w:pStyle w:val="ListParagraph"/>
        <w:numPr>
          <w:ilvl w:val="0"/>
          <w:numId w:val="1"/>
        </w:numPr>
        <w:tabs>
          <w:tab w:pos="3675" w:val="left" w:leader="none"/>
        </w:tabs>
        <w:spacing w:line="240" w:lineRule="auto" w:before="0" w:after="0"/>
        <w:ind w:left="3674" w:right="0" w:hanging="381"/>
        <w:jc w:val="left"/>
        <w:rPr>
          <w:sz w:val="24"/>
        </w:rPr>
      </w:pPr>
      <w:r>
        <w:rPr>
          <w:sz w:val="24"/>
        </w:rPr>
        <w:t>ARGUMENTS</w:t>
      </w:r>
      <w:r>
        <w:rPr>
          <w:spacing w:val="-11"/>
          <w:sz w:val="24"/>
        </w:rPr>
        <w:t> </w:t>
      </w:r>
      <w:r>
        <w:rPr>
          <w:sz w:val="24"/>
        </w:rPr>
        <w:t>AGAINST</w:t>
      </w:r>
    </w:p>
    <w:p>
      <w:pPr>
        <w:pStyle w:val="BodyText"/>
        <w:spacing w:before="2"/>
      </w:pPr>
    </w:p>
    <w:p>
      <w:pPr>
        <w:pStyle w:val="BodyText"/>
        <w:spacing w:line="237" w:lineRule="auto"/>
        <w:ind w:left="120" w:right="229"/>
        <w:jc w:val="both"/>
      </w:pPr>
      <w:r>
        <w:rPr/>
        <w:t>This analysis of the Act which has been put forward is not universally accepted. The main argument against reading a requirement to consider a person’s capacity into the least restrictive criterion is that the previous Act, the now repealed </w:t>
      </w:r>
      <w:r>
        <w:rPr>
          <w:i/>
          <w:sz w:val="25"/>
        </w:rPr>
        <w:t>Mental Health Act 1986 </w:t>
      </w:r>
      <w:r>
        <w:rPr/>
        <w:t>(Vic) (Austl.), included a distinct capacity criterion, which is no longer present.</w:t>
      </w:r>
      <w:hyperlink w:history="true" w:anchor="_bookmark26">
        <w:r>
          <w:rPr>
            <w:position w:val="8"/>
            <w:sz w:val="16"/>
          </w:rPr>
          <w:t>27</w:t>
        </w:r>
      </w:hyperlink>
      <w:r>
        <w:rPr>
          <w:position w:val="8"/>
          <w:sz w:val="16"/>
        </w:rPr>
        <w:t> </w:t>
      </w:r>
      <w:r>
        <w:rPr/>
        <w:t>Had Parliament intended to require the Tribunal to consider a person’s capacity, it would have explicitly said. This is a generally accepted tenant of statutory interpretation, however the ‘strongest statutory presumption is that legislation</w:t>
      </w:r>
      <w:r>
        <w:rPr>
          <w:spacing w:val="-43"/>
        </w:rPr>
        <w:t> </w:t>
      </w:r>
      <w:r>
        <w:rPr/>
        <w:t>cannot, in the absence of clear words, abrogate fundamental rights.’</w:t>
      </w:r>
      <w:hyperlink w:history="true" w:anchor="_bookmark27">
        <w:r>
          <w:rPr>
            <w:position w:val="8"/>
            <w:sz w:val="16"/>
          </w:rPr>
          <w:t>28 </w:t>
        </w:r>
      </w:hyperlink>
      <w:r>
        <w:rPr/>
        <w:t>As the rights of bodily integrity, freedom of movement and competent refusal of medical treatment are fundamental rights, the legislation should be read so as to be compatible with those rights, so far as is</w:t>
      </w:r>
      <w:r>
        <w:rPr>
          <w:spacing w:val="-11"/>
        </w:rPr>
        <w:t> </w:t>
      </w:r>
      <w:r>
        <w:rPr/>
        <w:t>possible.</w:t>
      </w:r>
    </w:p>
    <w:p>
      <w:pPr>
        <w:pStyle w:val="BodyText"/>
        <w:spacing w:before="11"/>
        <w:rPr>
          <w:sz w:val="23"/>
        </w:rPr>
      </w:pPr>
    </w:p>
    <w:p>
      <w:pPr>
        <w:pStyle w:val="BodyText"/>
        <w:ind w:left="120" w:right="228"/>
        <w:jc w:val="both"/>
        <w:rPr>
          <w:sz w:val="16"/>
        </w:rPr>
      </w:pPr>
      <w:r>
        <w:rPr/>
        <w:t>Additionally, the CRPD arguably requires preservation of the legal right to refuse treatment,</w:t>
      </w:r>
      <w:r>
        <w:rPr>
          <w:spacing w:val="-14"/>
        </w:rPr>
        <w:t> </w:t>
      </w:r>
      <w:r>
        <w:rPr/>
        <w:t>even</w:t>
      </w:r>
      <w:r>
        <w:rPr>
          <w:spacing w:val="-12"/>
        </w:rPr>
        <w:t> </w:t>
      </w:r>
      <w:r>
        <w:rPr/>
        <w:t>when</w:t>
      </w:r>
      <w:r>
        <w:rPr>
          <w:spacing w:val="-13"/>
        </w:rPr>
        <w:t> </w:t>
      </w:r>
      <w:r>
        <w:rPr/>
        <w:t>a</w:t>
      </w:r>
      <w:r>
        <w:rPr>
          <w:spacing w:val="-12"/>
        </w:rPr>
        <w:t> </w:t>
      </w:r>
      <w:r>
        <w:rPr/>
        <w:t>person</w:t>
      </w:r>
      <w:r>
        <w:rPr>
          <w:spacing w:val="-13"/>
        </w:rPr>
        <w:t> </w:t>
      </w:r>
      <w:r>
        <w:rPr/>
        <w:t>lacks</w:t>
      </w:r>
      <w:r>
        <w:rPr>
          <w:spacing w:val="-13"/>
        </w:rPr>
        <w:t> </w:t>
      </w:r>
      <w:r>
        <w:rPr/>
        <w:t>decision-making</w:t>
      </w:r>
      <w:r>
        <w:rPr>
          <w:spacing w:val="-12"/>
        </w:rPr>
        <w:t> </w:t>
      </w:r>
      <w:r>
        <w:rPr/>
        <w:t>capacity.</w:t>
      </w:r>
      <w:hyperlink w:history="true" w:anchor="_bookmark28">
        <w:r>
          <w:rPr>
            <w:position w:val="8"/>
            <w:sz w:val="16"/>
          </w:rPr>
          <w:t>29</w:t>
        </w:r>
        <w:r>
          <w:rPr>
            <w:spacing w:val="-8"/>
            <w:position w:val="8"/>
            <w:sz w:val="16"/>
          </w:rPr>
          <w:t> </w:t>
        </w:r>
      </w:hyperlink>
      <w:r>
        <w:rPr/>
        <w:t>Despite</w:t>
      </w:r>
      <w:r>
        <w:rPr>
          <w:spacing w:val="-13"/>
        </w:rPr>
        <w:t> </w:t>
      </w:r>
      <w:r>
        <w:rPr/>
        <w:t>this</w:t>
      </w:r>
      <w:r>
        <w:rPr>
          <w:spacing w:val="-14"/>
        </w:rPr>
        <w:t> </w:t>
      </w:r>
      <w:r>
        <w:rPr/>
        <w:t>apparent inconsistency, the presumption that legislation should be read so as to conform with international</w:t>
      </w:r>
      <w:r>
        <w:rPr>
          <w:spacing w:val="-5"/>
        </w:rPr>
        <w:t> </w:t>
      </w:r>
      <w:r>
        <w:rPr/>
        <w:t>law</w:t>
      </w:r>
      <w:r>
        <w:rPr>
          <w:spacing w:val="-6"/>
        </w:rPr>
        <w:t> </w:t>
      </w:r>
      <w:r>
        <w:rPr/>
        <w:t>requires</w:t>
      </w:r>
      <w:r>
        <w:rPr>
          <w:spacing w:val="-6"/>
        </w:rPr>
        <w:t> </w:t>
      </w:r>
      <w:r>
        <w:rPr/>
        <w:t>that</w:t>
      </w:r>
      <w:r>
        <w:rPr>
          <w:spacing w:val="-5"/>
        </w:rPr>
        <w:t> </w:t>
      </w:r>
      <w:r>
        <w:rPr/>
        <w:t>it</w:t>
      </w:r>
      <w:r>
        <w:rPr>
          <w:spacing w:val="-5"/>
        </w:rPr>
        <w:t> </w:t>
      </w:r>
      <w:r>
        <w:rPr/>
        <w:t>should</w:t>
      </w:r>
      <w:r>
        <w:rPr>
          <w:spacing w:val="-6"/>
        </w:rPr>
        <w:t> </w:t>
      </w:r>
      <w:r>
        <w:rPr/>
        <w:t>be</w:t>
      </w:r>
      <w:r>
        <w:rPr>
          <w:spacing w:val="-6"/>
        </w:rPr>
        <w:t> </w:t>
      </w:r>
      <w:r>
        <w:rPr/>
        <w:t>read</w:t>
      </w:r>
      <w:r>
        <w:rPr>
          <w:spacing w:val="-5"/>
        </w:rPr>
        <w:t> </w:t>
      </w:r>
      <w:r>
        <w:rPr/>
        <w:t>to</w:t>
      </w:r>
      <w:r>
        <w:rPr>
          <w:spacing w:val="-6"/>
        </w:rPr>
        <w:t> </w:t>
      </w:r>
      <w:r>
        <w:rPr/>
        <w:t>be</w:t>
      </w:r>
      <w:r>
        <w:rPr>
          <w:spacing w:val="-6"/>
        </w:rPr>
        <w:t> </w:t>
      </w:r>
      <w:r>
        <w:rPr/>
        <w:t>consistent</w:t>
      </w:r>
      <w:r>
        <w:rPr>
          <w:spacing w:val="-5"/>
        </w:rPr>
        <w:t> </w:t>
      </w:r>
      <w:r>
        <w:rPr/>
        <w:t>‘as</w:t>
      </w:r>
      <w:r>
        <w:rPr>
          <w:spacing w:val="-7"/>
        </w:rPr>
        <w:t> </w:t>
      </w:r>
      <w:r>
        <w:rPr/>
        <w:t>far</w:t>
      </w:r>
      <w:r>
        <w:rPr>
          <w:spacing w:val="-5"/>
        </w:rPr>
        <w:t> </w:t>
      </w:r>
      <w:r>
        <w:rPr/>
        <w:t>as</w:t>
      </w:r>
      <w:r>
        <w:rPr>
          <w:spacing w:val="-6"/>
        </w:rPr>
        <w:t> </w:t>
      </w:r>
      <w:r>
        <w:rPr/>
        <w:t>its</w:t>
      </w:r>
      <w:r>
        <w:rPr>
          <w:spacing w:val="-6"/>
        </w:rPr>
        <w:t> </w:t>
      </w:r>
      <w:r>
        <w:rPr/>
        <w:t>language admits’,</w:t>
      </w:r>
      <w:hyperlink w:history="true" w:anchor="_bookmark29">
        <w:r>
          <w:rPr>
            <w:position w:val="8"/>
            <w:sz w:val="16"/>
          </w:rPr>
          <w:t>30</w:t>
        </w:r>
        <w:r>
          <w:rPr>
            <w:spacing w:val="-10"/>
            <w:position w:val="8"/>
            <w:sz w:val="16"/>
          </w:rPr>
          <w:t> </w:t>
        </w:r>
      </w:hyperlink>
      <w:r>
        <w:rPr/>
        <w:t>and</w:t>
      </w:r>
      <w:r>
        <w:rPr>
          <w:spacing w:val="-16"/>
        </w:rPr>
        <w:t> </w:t>
      </w:r>
      <w:r>
        <w:rPr/>
        <w:t>an</w:t>
      </w:r>
      <w:r>
        <w:rPr>
          <w:spacing w:val="-16"/>
        </w:rPr>
        <w:t> </w:t>
      </w:r>
      <w:r>
        <w:rPr/>
        <w:t>approach</w:t>
      </w:r>
      <w:r>
        <w:rPr>
          <w:spacing w:val="-16"/>
        </w:rPr>
        <w:t> </w:t>
      </w:r>
      <w:r>
        <w:rPr/>
        <w:t>which</w:t>
      </w:r>
      <w:r>
        <w:rPr>
          <w:spacing w:val="-16"/>
        </w:rPr>
        <w:t> </w:t>
      </w:r>
      <w:r>
        <w:rPr/>
        <w:t>supports</w:t>
      </w:r>
      <w:r>
        <w:rPr>
          <w:spacing w:val="-17"/>
        </w:rPr>
        <w:t> </w:t>
      </w:r>
      <w:r>
        <w:rPr/>
        <w:t>competent</w:t>
      </w:r>
      <w:r>
        <w:rPr>
          <w:spacing w:val="-16"/>
        </w:rPr>
        <w:t> </w:t>
      </w:r>
      <w:r>
        <w:rPr/>
        <w:t>refusal</w:t>
      </w:r>
      <w:r>
        <w:rPr>
          <w:spacing w:val="-16"/>
        </w:rPr>
        <w:t> </w:t>
      </w:r>
      <w:r>
        <w:rPr/>
        <w:t>protects</w:t>
      </w:r>
      <w:r>
        <w:rPr>
          <w:spacing w:val="-17"/>
        </w:rPr>
        <w:t> </w:t>
      </w:r>
      <w:r>
        <w:rPr/>
        <w:t>more</w:t>
      </w:r>
      <w:r>
        <w:rPr>
          <w:spacing w:val="-17"/>
        </w:rPr>
        <w:t> </w:t>
      </w:r>
      <w:r>
        <w:rPr/>
        <w:t>rights</w:t>
      </w:r>
      <w:r>
        <w:rPr>
          <w:spacing w:val="-17"/>
        </w:rPr>
        <w:t> </w:t>
      </w:r>
      <w:r>
        <w:rPr/>
        <w:t>than an approach which ignores</w:t>
      </w:r>
      <w:r>
        <w:rPr>
          <w:spacing w:val="0"/>
        </w:rPr>
        <w:t> </w:t>
      </w:r>
      <w:r>
        <w:rPr/>
        <w:t>it.</w:t>
      </w:r>
      <w:hyperlink w:history="true" w:anchor="_bookmark30">
        <w:r>
          <w:rPr>
            <w:position w:val="8"/>
            <w:sz w:val="16"/>
          </w:rPr>
          <w:t>31</w:t>
        </w:r>
      </w:hyperlink>
    </w:p>
    <w:p>
      <w:pPr>
        <w:pStyle w:val="BodyText"/>
        <w:spacing w:before="10"/>
        <w:rPr>
          <w:sz w:val="23"/>
        </w:rPr>
      </w:pPr>
    </w:p>
    <w:p>
      <w:pPr>
        <w:pStyle w:val="BodyText"/>
        <w:ind w:left="120" w:right="230"/>
        <w:jc w:val="both"/>
      </w:pPr>
      <w:r>
        <w:rPr/>
        <w:t>As</w:t>
      </w:r>
      <w:r>
        <w:rPr>
          <w:spacing w:val="-13"/>
        </w:rPr>
        <w:t> </w:t>
      </w:r>
      <w:r>
        <w:rPr/>
        <w:t>with</w:t>
      </w:r>
      <w:r>
        <w:rPr>
          <w:spacing w:val="-12"/>
        </w:rPr>
        <w:t> </w:t>
      </w:r>
      <w:r>
        <w:rPr/>
        <w:t>any</w:t>
      </w:r>
      <w:r>
        <w:rPr>
          <w:spacing w:val="-13"/>
        </w:rPr>
        <w:t> </w:t>
      </w:r>
      <w:r>
        <w:rPr/>
        <w:t>process</w:t>
      </w:r>
      <w:r>
        <w:rPr>
          <w:spacing w:val="-13"/>
        </w:rPr>
        <w:t> </w:t>
      </w:r>
      <w:r>
        <w:rPr/>
        <w:t>of</w:t>
      </w:r>
      <w:r>
        <w:rPr>
          <w:spacing w:val="-13"/>
        </w:rPr>
        <w:t> </w:t>
      </w:r>
      <w:r>
        <w:rPr/>
        <w:t>statutory</w:t>
      </w:r>
      <w:r>
        <w:rPr>
          <w:spacing w:val="-13"/>
        </w:rPr>
        <w:t> </w:t>
      </w:r>
      <w:r>
        <w:rPr/>
        <w:t>interpretation,</w:t>
      </w:r>
      <w:r>
        <w:rPr>
          <w:spacing w:val="-12"/>
        </w:rPr>
        <w:t> </w:t>
      </w:r>
      <w:r>
        <w:rPr/>
        <w:t>in</w:t>
      </w:r>
      <w:r>
        <w:rPr>
          <w:spacing w:val="-12"/>
        </w:rPr>
        <w:t> </w:t>
      </w:r>
      <w:r>
        <w:rPr/>
        <w:t>the</w:t>
      </w:r>
      <w:r>
        <w:rPr>
          <w:spacing w:val="-13"/>
        </w:rPr>
        <w:t> </w:t>
      </w:r>
      <w:r>
        <w:rPr/>
        <w:t>absence</w:t>
      </w:r>
      <w:r>
        <w:rPr>
          <w:spacing w:val="-13"/>
        </w:rPr>
        <w:t> </w:t>
      </w:r>
      <w:r>
        <w:rPr/>
        <w:t>of</w:t>
      </w:r>
      <w:r>
        <w:rPr>
          <w:spacing w:val="-12"/>
        </w:rPr>
        <w:t> </w:t>
      </w:r>
      <w:r>
        <w:rPr/>
        <w:t>judicial</w:t>
      </w:r>
      <w:r>
        <w:rPr>
          <w:spacing w:val="-12"/>
        </w:rPr>
        <w:t> </w:t>
      </w:r>
      <w:r>
        <w:rPr/>
        <w:t>consideration, the lower Tribunal is required to interpret the Act as best it can. The remainder of this paper examines how this has played out in</w:t>
      </w:r>
      <w:r>
        <w:rPr>
          <w:spacing w:val="-21"/>
        </w:rPr>
        <w:t> </w:t>
      </w:r>
      <w:r>
        <w:rPr/>
        <w:t>practice.</w:t>
      </w:r>
    </w:p>
    <w:p>
      <w:pPr>
        <w:pStyle w:val="BodyText"/>
        <w:spacing w:before="11"/>
        <w:rPr>
          <w:sz w:val="23"/>
        </w:rPr>
      </w:pPr>
    </w:p>
    <w:p>
      <w:pPr>
        <w:pStyle w:val="ListParagraph"/>
        <w:numPr>
          <w:ilvl w:val="0"/>
          <w:numId w:val="1"/>
        </w:numPr>
        <w:tabs>
          <w:tab w:pos="3273" w:val="left" w:leader="none"/>
        </w:tabs>
        <w:spacing w:line="240" w:lineRule="auto" w:before="0" w:after="0"/>
        <w:ind w:left="3272" w:right="0" w:hanging="471"/>
        <w:jc w:val="left"/>
        <w:rPr>
          <w:sz w:val="24"/>
        </w:rPr>
      </w:pPr>
      <w:r>
        <w:rPr>
          <w:sz w:val="24"/>
        </w:rPr>
        <w:t>CAPACITY AND THE</w:t>
      </w:r>
      <w:r>
        <w:rPr>
          <w:spacing w:val="-11"/>
          <w:sz w:val="24"/>
        </w:rPr>
        <w:t> </w:t>
      </w:r>
      <w:r>
        <w:rPr>
          <w:sz w:val="24"/>
        </w:rPr>
        <w:t>TRIBUNAL</w:t>
      </w:r>
    </w:p>
    <w:p>
      <w:pPr>
        <w:pStyle w:val="BodyText"/>
        <w:spacing w:before="11"/>
        <w:rPr>
          <w:sz w:val="23"/>
        </w:rPr>
      </w:pPr>
    </w:p>
    <w:p>
      <w:pPr>
        <w:pStyle w:val="BodyText"/>
        <w:ind w:left="120" w:right="230"/>
        <w:jc w:val="both"/>
      </w:pPr>
      <w:r>
        <w:rPr/>
        <w:t>The</w:t>
      </w:r>
      <w:r>
        <w:rPr>
          <w:spacing w:val="-21"/>
        </w:rPr>
        <w:t> </w:t>
      </w:r>
      <w:r>
        <w:rPr/>
        <w:t>Tribunal</w:t>
      </w:r>
      <w:r>
        <w:rPr>
          <w:spacing w:val="-21"/>
        </w:rPr>
        <w:t> </w:t>
      </w:r>
      <w:r>
        <w:rPr/>
        <w:t>publishes</w:t>
      </w:r>
      <w:r>
        <w:rPr>
          <w:spacing w:val="-22"/>
        </w:rPr>
        <w:t> </w:t>
      </w:r>
      <w:r>
        <w:rPr/>
        <w:t>many</w:t>
      </w:r>
      <w:r>
        <w:rPr>
          <w:spacing w:val="-22"/>
        </w:rPr>
        <w:t> </w:t>
      </w:r>
      <w:r>
        <w:rPr/>
        <w:t>of</w:t>
      </w:r>
      <w:r>
        <w:rPr>
          <w:spacing w:val="-22"/>
        </w:rPr>
        <w:t> </w:t>
      </w:r>
      <w:r>
        <w:rPr/>
        <w:t>its</w:t>
      </w:r>
      <w:r>
        <w:rPr>
          <w:spacing w:val="-22"/>
        </w:rPr>
        <w:t> </w:t>
      </w:r>
      <w:r>
        <w:rPr/>
        <w:t>statements</w:t>
      </w:r>
      <w:r>
        <w:rPr>
          <w:spacing w:val="-21"/>
        </w:rPr>
        <w:t> </w:t>
      </w:r>
      <w:r>
        <w:rPr/>
        <w:t>of</w:t>
      </w:r>
      <w:r>
        <w:rPr>
          <w:spacing w:val="-22"/>
        </w:rPr>
        <w:t> </w:t>
      </w:r>
      <w:r>
        <w:rPr/>
        <w:t>reasons</w:t>
      </w:r>
      <w:r>
        <w:rPr>
          <w:spacing w:val="-24"/>
        </w:rPr>
        <w:t> </w:t>
      </w:r>
      <w:r>
        <w:rPr/>
        <w:t>concerning</w:t>
      </w:r>
      <w:r>
        <w:rPr>
          <w:spacing w:val="-22"/>
        </w:rPr>
        <w:t> </w:t>
      </w:r>
      <w:r>
        <w:rPr/>
        <w:t>its</w:t>
      </w:r>
      <w:r>
        <w:rPr>
          <w:spacing w:val="-21"/>
        </w:rPr>
        <w:t> </w:t>
      </w:r>
      <w:r>
        <w:rPr/>
        <w:t>determinations. Statements are usually only generated if a party requests one under s 198 of the</w:t>
      </w:r>
      <w:r>
        <w:rPr>
          <w:spacing w:val="48"/>
        </w:rPr>
        <w:t> </w:t>
      </w:r>
      <w:r>
        <w:rPr/>
        <w:t>Act.</w:t>
      </w:r>
    </w:p>
    <w:p>
      <w:pPr>
        <w:pStyle w:val="BodyText"/>
        <w:spacing w:before="4"/>
        <w:rPr>
          <w:sz w:val="16"/>
        </w:rPr>
      </w:pPr>
      <w:r>
        <w:rPr/>
        <w:pict>
          <v:line style="position:absolute;mso-position-horizontal-relative:page;mso-position-vertical-relative:paragraph;z-index:1192;mso-wrap-distance-left:0;mso-wrap-distance-right:0" from="67.019997pt,12.10576pt" to="211.019997pt,12.10576pt" stroked="true" strokeweight=".54pt" strokecolor="#000000">
            <v:stroke dashstyle="solid"/>
            <w10:wrap type="topAndBottom"/>
          </v:line>
        </w:pict>
      </w:r>
    </w:p>
    <w:p>
      <w:pPr>
        <w:spacing w:line="232" w:lineRule="auto" w:before="62"/>
        <w:ind w:left="290" w:right="116" w:hanging="171"/>
        <w:jc w:val="both"/>
        <w:rPr>
          <w:sz w:val="20"/>
        </w:rPr>
      </w:pPr>
      <w:bookmarkStart w:name="_bookmark26" w:id="28"/>
      <w:bookmarkEnd w:id="28"/>
      <w:r>
        <w:rPr/>
      </w:r>
      <w:r>
        <w:rPr>
          <w:position w:val="7"/>
          <w:sz w:val="13"/>
        </w:rPr>
        <w:t>27</w:t>
      </w:r>
      <w:r>
        <w:rPr>
          <w:spacing w:val="-13"/>
          <w:position w:val="7"/>
          <w:sz w:val="13"/>
        </w:rPr>
        <w:t> </w:t>
      </w:r>
      <w:r>
        <w:rPr>
          <w:i/>
          <w:sz w:val="21"/>
        </w:rPr>
        <w:t>Mental</w:t>
      </w:r>
      <w:r>
        <w:rPr>
          <w:i/>
          <w:spacing w:val="-23"/>
          <w:sz w:val="21"/>
        </w:rPr>
        <w:t> </w:t>
      </w:r>
      <w:r>
        <w:rPr>
          <w:i/>
          <w:sz w:val="21"/>
        </w:rPr>
        <w:t>Health</w:t>
      </w:r>
      <w:r>
        <w:rPr>
          <w:i/>
          <w:spacing w:val="-23"/>
          <w:sz w:val="21"/>
        </w:rPr>
        <w:t> </w:t>
      </w:r>
      <w:r>
        <w:rPr>
          <w:i/>
          <w:sz w:val="21"/>
        </w:rPr>
        <w:t>Act</w:t>
      </w:r>
      <w:r>
        <w:rPr>
          <w:i/>
          <w:spacing w:val="-22"/>
          <w:sz w:val="21"/>
        </w:rPr>
        <w:t> </w:t>
      </w:r>
      <w:r>
        <w:rPr>
          <w:i/>
          <w:sz w:val="21"/>
        </w:rPr>
        <w:t>1986</w:t>
      </w:r>
      <w:r>
        <w:rPr>
          <w:i/>
          <w:spacing w:val="-23"/>
          <w:sz w:val="21"/>
        </w:rPr>
        <w:t> </w:t>
      </w:r>
      <w:r>
        <w:rPr>
          <w:sz w:val="20"/>
        </w:rPr>
        <w:t>(Vic)</w:t>
      </w:r>
      <w:r>
        <w:rPr>
          <w:spacing w:val="-19"/>
          <w:sz w:val="20"/>
        </w:rPr>
        <w:t> </w:t>
      </w:r>
      <w:r>
        <w:rPr>
          <w:sz w:val="20"/>
        </w:rPr>
        <w:t>s</w:t>
      </w:r>
      <w:r>
        <w:rPr>
          <w:spacing w:val="-19"/>
          <w:sz w:val="20"/>
        </w:rPr>
        <w:t> </w:t>
      </w:r>
      <w:r>
        <w:rPr>
          <w:sz w:val="20"/>
        </w:rPr>
        <w:t>8(1)(d).</w:t>
      </w:r>
      <w:r>
        <w:rPr>
          <w:spacing w:val="-20"/>
          <w:sz w:val="20"/>
        </w:rPr>
        <w:t> </w:t>
      </w:r>
      <w:r>
        <w:rPr>
          <w:sz w:val="20"/>
        </w:rPr>
        <w:t>Notably</w:t>
      </w:r>
      <w:r>
        <w:rPr>
          <w:spacing w:val="-20"/>
          <w:sz w:val="20"/>
        </w:rPr>
        <w:t> </w:t>
      </w:r>
      <w:r>
        <w:rPr>
          <w:sz w:val="20"/>
        </w:rPr>
        <w:t>this</w:t>
      </w:r>
      <w:r>
        <w:rPr>
          <w:spacing w:val="-19"/>
          <w:sz w:val="20"/>
        </w:rPr>
        <w:t> </w:t>
      </w:r>
      <w:r>
        <w:rPr>
          <w:sz w:val="20"/>
        </w:rPr>
        <w:t>treatment</w:t>
      </w:r>
      <w:r>
        <w:rPr>
          <w:spacing w:val="-19"/>
          <w:sz w:val="20"/>
        </w:rPr>
        <w:t> </w:t>
      </w:r>
      <w:r>
        <w:rPr>
          <w:sz w:val="20"/>
        </w:rPr>
        <w:t>criterion</w:t>
      </w:r>
      <w:r>
        <w:rPr>
          <w:spacing w:val="-20"/>
          <w:sz w:val="20"/>
        </w:rPr>
        <w:t> </w:t>
      </w:r>
      <w:r>
        <w:rPr>
          <w:sz w:val="20"/>
        </w:rPr>
        <w:t>was</w:t>
      </w:r>
      <w:r>
        <w:rPr>
          <w:spacing w:val="-19"/>
          <w:sz w:val="20"/>
        </w:rPr>
        <w:t> </w:t>
      </w:r>
      <w:r>
        <w:rPr>
          <w:sz w:val="20"/>
        </w:rPr>
        <w:t>not</w:t>
      </w:r>
      <w:r>
        <w:rPr>
          <w:spacing w:val="-21"/>
          <w:sz w:val="20"/>
        </w:rPr>
        <w:t> </w:t>
      </w:r>
      <w:r>
        <w:rPr>
          <w:sz w:val="20"/>
        </w:rPr>
        <w:t>of</w:t>
      </w:r>
      <w:r>
        <w:rPr>
          <w:spacing w:val="-20"/>
          <w:sz w:val="20"/>
        </w:rPr>
        <w:t> </w:t>
      </w:r>
      <w:r>
        <w:rPr>
          <w:sz w:val="20"/>
        </w:rPr>
        <w:t>the</w:t>
      </w:r>
      <w:r>
        <w:rPr>
          <w:spacing w:val="-19"/>
          <w:sz w:val="20"/>
        </w:rPr>
        <w:t> </w:t>
      </w:r>
      <w:r>
        <w:rPr>
          <w:sz w:val="20"/>
        </w:rPr>
        <w:t>sort</w:t>
      </w:r>
      <w:r>
        <w:rPr>
          <w:spacing w:val="-19"/>
          <w:sz w:val="20"/>
        </w:rPr>
        <w:t> </w:t>
      </w:r>
      <w:r>
        <w:rPr>
          <w:sz w:val="20"/>
        </w:rPr>
        <w:t>that</w:t>
      </w:r>
      <w:r>
        <w:rPr>
          <w:spacing w:val="-19"/>
          <w:sz w:val="20"/>
        </w:rPr>
        <w:t> </w:t>
      </w:r>
      <w:r>
        <w:rPr>
          <w:sz w:val="20"/>
        </w:rPr>
        <w:t>excluded people who retained decision-making capacity from being subject to involuntary treatment as the reformed</w:t>
      </w:r>
      <w:r>
        <w:rPr>
          <w:spacing w:val="-10"/>
          <w:sz w:val="20"/>
        </w:rPr>
        <w:t> </w:t>
      </w:r>
      <w:r>
        <w:rPr>
          <w:sz w:val="20"/>
        </w:rPr>
        <w:t>treatment</w:t>
      </w:r>
      <w:r>
        <w:rPr>
          <w:spacing w:val="-9"/>
          <w:sz w:val="20"/>
        </w:rPr>
        <w:t> </w:t>
      </w:r>
      <w:r>
        <w:rPr>
          <w:sz w:val="20"/>
        </w:rPr>
        <w:t>criteria</w:t>
      </w:r>
      <w:r>
        <w:rPr>
          <w:spacing w:val="-10"/>
          <w:sz w:val="20"/>
        </w:rPr>
        <w:t> </w:t>
      </w:r>
      <w:r>
        <w:rPr>
          <w:sz w:val="20"/>
        </w:rPr>
        <w:t>in</w:t>
      </w:r>
      <w:r>
        <w:rPr>
          <w:spacing w:val="-10"/>
          <w:sz w:val="20"/>
        </w:rPr>
        <w:t> </w:t>
      </w:r>
      <w:r>
        <w:rPr>
          <w:sz w:val="20"/>
        </w:rPr>
        <w:t>Queensland,</w:t>
      </w:r>
      <w:r>
        <w:rPr>
          <w:spacing w:val="-9"/>
          <w:sz w:val="20"/>
        </w:rPr>
        <w:t> </w:t>
      </w:r>
      <w:r>
        <w:rPr>
          <w:sz w:val="20"/>
        </w:rPr>
        <w:t>South</w:t>
      </w:r>
      <w:r>
        <w:rPr>
          <w:spacing w:val="-10"/>
          <w:sz w:val="20"/>
        </w:rPr>
        <w:t> </w:t>
      </w:r>
      <w:r>
        <w:rPr>
          <w:sz w:val="20"/>
        </w:rPr>
        <w:t>Australia,</w:t>
      </w:r>
      <w:r>
        <w:rPr>
          <w:spacing w:val="-10"/>
          <w:sz w:val="20"/>
        </w:rPr>
        <w:t> </w:t>
      </w:r>
      <w:r>
        <w:rPr>
          <w:sz w:val="20"/>
        </w:rPr>
        <w:t>Tasmania</w:t>
      </w:r>
      <w:r>
        <w:rPr>
          <w:spacing w:val="-9"/>
          <w:sz w:val="20"/>
        </w:rPr>
        <w:t> </w:t>
      </w:r>
      <w:r>
        <w:rPr>
          <w:sz w:val="20"/>
        </w:rPr>
        <w:t>and</w:t>
      </w:r>
      <w:r>
        <w:rPr>
          <w:spacing w:val="-11"/>
          <w:sz w:val="20"/>
        </w:rPr>
        <w:t> </w:t>
      </w:r>
      <w:r>
        <w:rPr>
          <w:sz w:val="20"/>
        </w:rPr>
        <w:t>Western</w:t>
      </w:r>
      <w:r>
        <w:rPr>
          <w:spacing w:val="-10"/>
          <w:sz w:val="20"/>
        </w:rPr>
        <w:t> </w:t>
      </w:r>
      <w:r>
        <w:rPr>
          <w:sz w:val="20"/>
        </w:rPr>
        <w:t>Australia</w:t>
      </w:r>
      <w:r>
        <w:rPr>
          <w:spacing w:val="-10"/>
          <w:sz w:val="20"/>
        </w:rPr>
        <w:t> </w:t>
      </w:r>
      <w:r>
        <w:rPr>
          <w:sz w:val="20"/>
        </w:rPr>
        <w:t>do.</w:t>
      </w:r>
      <w:r>
        <w:rPr>
          <w:spacing w:val="-9"/>
          <w:sz w:val="20"/>
        </w:rPr>
        <w:t> </w:t>
      </w:r>
      <w:r>
        <w:rPr>
          <w:sz w:val="20"/>
        </w:rPr>
        <w:t>Rather it</w:t>
      </w:r>
      <w:r>
        <w:rPr>
          <w:spacing w:val="-18"/>
          <w:sz w:val="20"/>
        </w:rPr>
        <w:t> </w:t>
      </w:r>
      <w:r>
        <w:rPr>
          <w:sz w:val="20"/>
        </w:rPr>
        <w:t>stipulated</w:t>
      </w:r>
      <w:r>
        <w:rPr>
          <w:spacing w:val="-18"/>
          <w:sz w:val="20"/>
        </w:rPr>
        <w:t> </w:t>
      </w:r>
      <w:r>
        <w:rPr>
          <w:sz w:val="20"/>
        </w:rPr>
        <w:t>that</w:t>
      </w:r>
      <w:r>
        <w:rPr>
          <w:spacing w:val="-18"/>
          <w:sz w:val="20"/>
        </w:rPr>
        <w:t> </w:t>
      </w:r>
      <w:r>
        <w:rPr>
          <w:sz w:val="20"/>
        </w:rPr>
        <w:t>for</w:t>
      </w:r>
      <w:r>
        <w:rPr>
          <w:spacing w:val="-18"/>
          <w:sz w:val="20"/>
        </w:rPr>
        <w:t> </w:t>
      </w:r>
      <w:r>
        <w:rPr>
          <w:sz w:val="20"/>
        </w:rPr>
        <w:t>involuntary</w:t>
      </w:r>
      <w:r>
        <w:rPr>
          <w:spacing w:val="-18"/>
          <w:sz w:val="20"/>
        </w:rPr>
        <w:t> </w:t>
      </w:r>
      <w:r>
        <w:rPr>
          <w:sz w:val="20"/>
        </w:rPr>
        <w:t>treatment</w:t>
      </w:r>
      <w:r>
        <w:rPr>
          <w:spacing w:val="-18"/>
          <w:sz w:val="20"/>
        </w:rPr>
        <w:t> </w:t>
      </w:r>
      <w:r>
        <w:rPr>
          <w:sz w:val="20"/>
        </w:rPr>
        <w:t>to</w:t>
      </w:r>
      <w:r>
        <w:rPr>
          <w:spacing w:val="-18"/>
          <w:sz w:val="20"/>
        </w:rPr>
        <w:t> </w:t>
      </w:r>
      <w:r>
        <w:rPr>
          <w:sz w:val="20"/>
        </w:rPr>
        <w:t>be</w:t>
      </w:r>
      <w:r>
        <w:rPr>
          <w:spacing w:val="-18"/>
          <w:sz w:val="20"/>
        </w:rPr>
        <w:t> </w:t>
      </w:r>
      <w:r>
        <w:rPr>
          <w:sz w:val="20"/>
        </w:rPr>
        <w:t>applied</w:t>
      </w:r>
      <w:r>
        <w:rPr>
          <w:spacing w:val="-18"/>
          <w:sz w:val="20"/>
        </w:rPr>
        <w:t> </w:t>
      </w:r>
      <w:r>
        <w:rPr>
          <w:sz w:val="20"/>
        </w:rPr>
        <w:t>it</w:t>
      </w:r>
      <w:r>
        <w:rPr>
          <w:spacing w:val="-18"/>
          <w:sz w:val="20"/>
        </w:rPr>
        <w:t> </w:t>
      </w:r>
      <w:r>
        <w:rPr>
          <w:sz w:val="20"/>
        </w:rPr>
        <w:t>must</w:t>
      </w:r>
      <w:r>
        <w:rPr>
          <w:spacing w:val="-18"/>
          <w:sz w:val="20"/>
        </w:rPr>
        <w:t> </w:t>
      </w:r>
      <w:r>
        <w:rPr>
          <w:sz w:val="20"/>
        </w:rPr>
        <w:t>be</w:t>
      </w:r>
      <w:r>
        <w:rPr>
          <w:spacing w:val="-18"/>
          <w:sz w:val="20"/>
        </w:rPr>
        <w:t> </w:t>
      </w:r>
      <w:r>
        <w:rPr>
          <w:sz w:val="20"/>
        </w:rPr>
        <w:t>the</w:t>
      </w:r>
      <w:r>
        <w:rPr>
          <w:spacing w:val="-18"/>
          <w:sz w:val="20"/>
        </w:rPr>
        <w:t> </w:t>
      </w:r>
      <w:r>
        <w:rPr>
          <w:sz w:val="20"/>
        </w:rPr>
        <w:t>case</w:t>
      </w:r>
      <w:r>
        <w:rPr>
          <w:spacing w:val="-18"/>
          <w:sz w:val="20"/>
        </w:rPr>
        <w:t> </w:t>
      </w:r>
      <w:r>
        <w:rPr>
          <w:sz w:val="20"/>
        </w:rPr>
        <w:t>that</w:t>
      </w:r>
      <w:r>
        <w:rPr>
          <w:spacing w:val="-18"/>
          <w:sz w:val="20"/>
        </w:rPr>
        <w:t> </w:t>
      </w:r>
      <w:r>
        <w:rPr>
          <w:sz w:val="20"/>
        </w:rPr>
        <w:t>“the</w:t>
      </w:r>
      <w:r>
        <w:rPr>
          <w:spacing w:val="-18"/>
          <w:sz w:val="20"/>
        </w:rPr>
        <w:t> </w:t>
      </w:r>
      <w:r>
        <w:rPr>
          <w:i/>
          <w:sz w:val="21"/>
        </w:rPr>
        <w:t>person</w:t>
      </w:r>
      <w:r>
        <w:rPr>
          <w:i/>
          <w:spacing w:val="-21"/>
          <w:sz w:val="21"/>
        </w:rPr>
        <w:t> </w:t>
      </w:r>
      <w:r>
        <w:rPr>
          <w:i/>
          <w:sz w:val="21"/>
        </w:rPr>
        <w:t>has</w:t>
      </w:r>
      <w:r>
        <w:rPr>
          <w:i/>
          <w:spacing w:val="-21"/>
          <w:sz w:val="21"/>
        </w:rPr>
        <w:t> </w:t>
      </w:r>
      <w:r>
        <w:rPr>
          <w:i/>
          <w:sz w:val="21"/>
        </w:rPr>
        <w:t>refused </w:t>
      </w:r>
      <w:r>
        <w:rPr>
          <w:sz w:val="20"/>
        </w:rPr>
        <w:t>or</w:t>
      </w:r>
      <w:r>
        <w:rPr>
          <w:spacing w:val="-18"/>
          <w:sz w:val="20"/>
        </w:rPr>
        <w:t> </w:t>
      </w:r>
      <w:r>
        <w:rPr>
          <w:sz w:val="20"/>
        </w:rPr>
        <w:t>is</w:t>
      </w:r>
      <w:r>
        <w:rPr>
          <w:spacing w:val="-17"/>
          <w:sz w:val="20"/>
        </w:rPr>
        <w:t> </w:t>
      </w:r>
      <w:r>
        <w:rPr>
          <w:sz w:val="20"/>
        </w:rPr>
        <w:t>unable</w:t>
      </w:r>
      <w:r>
        <w:rPr>
          <w:spacing w:val="-17"/>
          <w:sz w:val="20"/>
        </w:rPr>
        <w:t> </w:t>
      </w:r>
      <w:r>
        <w:rPr>
          <w:i/>
          <w:sz w:val="21"/>
        </w:rPr>
        <w:t>to</w:t>
      </w:r>
      <w:r>
        <w:rPr>
          <w:i/>
          <w:spacing w:val="-20"/>
          <w:sz w:val="21"/>
        </w:rPr>
        <w:t> </w:t>
      </w:r>
      <w:r>
        <w:rPr>
          <w:i/>
          <w:sz w:val="21"/>
        </w:rPr>
        <w:t>consent</w:t>
      </w:r>
      <w:r>
        <w:rPr>
          <w:i/>
          <w:spacing w:val="-20"/>
          <w:sz w:val="21"/>
        </w:rPr>
        <w:t> </w:t>
      </w:r>
      <w:r>
        <w:rPr>
          <w:i/>
          <w:sz w:val="21"/>
        </w:rPr>
        <w:t>to</w:t>
      </w:r>
      <w:r>
        <w:rPr>
          <w:i/>
          <w:spacing w:val="-20"/>
          <w:sz w:val="21"/>
        </w:rPr>
        <w:t> </w:t>
      </w:r>
      <w:r>
        <w:rPr>
          <w:i/>
          <w:sz w:val="21"/>
        </w:rPr>
        <w:t>the</w:t>
      </w:r>
      <w:r>
        <w:rPr>
          <w:i/>
          <w:spacing w:val="-20"/>
          <w:sz w:val="21"/>
        </w:rPr>
        <w:t> </w:t>
      </w:r>
      <w:r>
        <w:rPr>
          <w:i/>
          <w:sz w:val="21"/>
        </w:rPr>
        <w:t>necessary</w:t>
      </w:r>
      <w:r>
        <w:rPr>
          <w:i/>
          <w:spacing w:val="-22"/>
          <w:sz w:val="21"/>
        </w:rPr>
        <w:t> </w:t>
      </w:r>
      <w:r>
        <w:rPr>
          <w:i/>
          <w:sz w:val="21"/>
        </w:rPr>
        <w:t>treatment</w:t>
      </w:r>
      <w:r>
        <w:rPr>
          <w:i/>
          <w:spacing w:val="-20"/>
          <w:sz w:val="21"/>
        </w:rPr>
        <w:t> </w:t>
      </w:r>
      <w:r>
        <w:rPr>
          <w:sz w:val="20"/>
        </w:rPr>
        <w:t>for</w:t>
      </w:r>
      <w:r>
        <w:rPr>
          <w:spacing w:val="-19"/>
          <w:sz w:val="20"/>
        </w:rPr>
        <w:t> </w:t>
      </w:r>
      <w:r>
        <w:rPr>
          <w:sz w:val="20"/>
        </w:rPr>
        <w:t>the</w:t>
      </w:r>
      <w:r>
        <w:rPr>
          <w:spacing w:val="-17"/>
          <w:sz w:val="20"/>
        </w:rPr>
        <w:t> </w:t>
      </w:r>
      <w:r>
        <w:rPr>
          <w:sz w:val="20"/>
        </w:rPr>
        <w:t>mental</w:t>
      </w:r>
      <w:r>
        <w:rPr>
          <w:spacing w:val="-18"/>
          <w:sz w:val="20"/>
        </w:rPr>
        <w:t> </w:t>
      </w:r>
      <w:r>
        <w:rPr>
          <w:sz w:val="20"/>
        </w:rPr>
        <w:t>illness”</w:t>
      </w:r>
      <w:r>
        <w:rPr>
          <w:spacing w:val="-17"/>
          <w:sz w:val="20"/>
        </w:rPr>
        <w:t> </w:t>
      </w:r>
      <w:r>
        <w:rPr>
          <w:sz w:val="20"/>
        </w:rPr>
        <w:t>[emphasis</w:t>
      </w:r>
      <w:r>
        <w:rPr>
          <w:spacing w:val="-17"/>
          <w:sz w:val="20"/>
        </w:rPr>
        <w:t> </w:t>
      </w:r>
      <w:r>
        <w:rPr>
          <w:sz w:val="20"/>
        </w:rPr>
        <w:t>added].</w:t>
      </w:r>
      <w:r>
        <w:rPr>
          <w:spacing w:val="-17"/>
          <w:sz w:val="20"/>
        </w:rPr>
        <w:t> </w:t>
      </w:r>
      <w:r>
        <w:rPr>
          <w:sz w:val="20"/>
        </w:rPr>
        <w:t>Therefore, it</w:t>
      </w:r>
      <w:r>
        <w:rPr>
          <w:spacing w:val="-6"/>
          <w:sz w:val="20"/>
        </w:rPr>
        <w:t> </w:t>
      </w:r>
      <w:r>
        <w:rPr>
          <w:sz w:val="20"/>
        </w:rPr>
        <w:t>was</w:t>
      </w:r>
      <w:r>
        <w:rPr>
          <w:spacing w:val="-5"/>
          <w:sz w:val="20"/>
        </w:rPr>
        <w:t> </w:t>
      </w:r>
      <w:r>
        <w:rPr>
          <w:sz w:val="20"/>
        </w:rPr>
        <w:t>not</w:t>
      </w:r>
      <w:r>
        <w:rPr>
          <w:spacing w:val="-7"/>
          <w:sz w:val="20"/>
        </w:rPr>
        <w:t> </w:t>
      </w:r>
      <w:r>
        <w:rPr>
          <w:sz w:val="20"/>
        </w:rPr>
        <w:t>a</w:t>
      </w:r>
      <w:r>
        <w:rPr>
          <w:spacing w:val="-6"/>
          <w:sz w:val="20"/>
        </w:rPr>
        <w:t> </w:t>
      </w:r>
      <w:r>
        <w:rPr>
          <w:sz w:val="20"/>
        </w:rPr>
        <w:t>“capacity</w:t>
      </w:r>
      <w:r>
        <w:rPr>
          <w:spacing w:val="-6"/>
          <w:sz w:val="20"/>
        </w:rPr>
        <w:t> </w:t>
      </w:r>
      <w:r>
        <w:rPr>
          <w:sz w:val="20"/>
        </w:rPr>
        <w:t>criterion”</w:t>
      </w:r>
      <w:r>
        <w:rPr>
          <w:spacing w:val="-6"/>
          <w:sz w:val="20"/>
        </w:rPr>
        <w:t> </w:t>
      </w:r>
      <w:r>
        <w:rPr>
          <w:sz w:val="20"/>
        </w:rPr>
        <w:t>in</w:t>
      </w:r>
      <w:r>
        <w:rPr>
          <w:spacing w:val="-6"/>
          <w:sz w:val="20"/>
        </w:rPr>
        <w:t> </w:t>
      </w:r>
      <w:r>
        <w:rPr>
          <w:sz w:val="20"/>
        </w:rPr>
        <w:t>the</w:t>
      </w:r>
      <w:r>
        <w:rPr>
          <w:spacing w:val="-6"/>
          <w:sz w:val="20"/>
        </w:rPr>
        <w:t> </w:t>
      </w:r>
      <w:r>
        <w:rPr>
          <w:sz w:val="20"/>
        </w:rPr>
        <w:t>more</w:t>
      </w:r>
      <w:r>
        <w:rPr>
          <w:spacing w:val="-6"/>
          <w:sz w:val="20"/>
        </w:rPr>
        <w:t> </w:t>
      </w:r>
      <w:r>
        <w:rPr>
          <w:sz w:val="20"/>
        </w:rPr>
        <w:t>contemporary</w:t>
      </w:r>
      <w:r>
        <w:rPr>
          <w:spacing w:val="-6"/>
          <w:sz w:val="20"/>
        </w:rPr>
        <w:t> </w:t>
      </w:r>
      <w:r>
        <w:rPr>
          <w:sz w:val="20"/>
        </w:rPr>
        <w:t>sense:</w:t>
      </w:r>
      <w:r>
        <w:rPr>
          <w:spacing w:val="-6"/>
          <w:sz w:val="20"/>
        </w:rPr>
        <w:t> </w:t>
      </w:r>
      <w:r>
        <w:rPr>
          <w:sz w:val="20"/>
        </w:rPr>
        <w:t>Christopher</w:t>
      </w:r>
      <w:r>
        <w:rPr>
          <w:spacing w:val="-6"/>
          <w:sz w:val="20"/>
        </w:rPr>
        <w:t> </w:t>
      </w:r>
      <w:r>
        <w:rPr>
          <w:sz w:val="20"/>
        </w:rPr>
        <w:t>James</w:t>
      </w:r>
      <w:r>
        <w:rPr>
          <w:spacing w:val="-5"/>
          <w:sz w:val="20"/>
        </w:rPr>
        <w:t> </w:t>
      </w:r>
      <w:r>
        <w:rPr>
          <w:sz w:val="20"/>
        </w:rPr>
        <w:t>Ryan,</w:t>
      </w:r>
      <w:r>
        <w:rPr>
          <w:spacing w:val="-6"/>
          <w:sz w:val="20"/>
        </w:rPr>
        <w:t> </w:t>
      </w:r>
      <w:r>
        <w:rPr>
          <w:sz w:val="20"/>
        </w:rPr>
        <w:t>'Capacity</w:t>
      </w:r>
      <w:r>
        <w:rPr>
          <w:spacing w:val="-7"/>
          <w:sz w:val="20"/>
        </w:rPr>
        <w:t> </w:t>
      </w:r>
      <w:r>
        <w:rPr>
          <w:sz w:val="20"/>
        </w:rPr>
        <w:t>as a Determinant of Non-Consensual Treatment of the Mentally Ill in Australia' (2011) 18 </w:t>
      </w:r>
      <w:r>
        <w:rPr>
          <w:i/>
          <w:sz w:val="21"/>
        </w:rPr>
        <w:t>Psychiatry, Psychology</w:t>
      </w:r>
      <w:r>
        <w:rPr>
          <w:i/>
          <w:spacing w:val="-35"/>
          <w:sz w:val="21"/>
        </w:rPr>
        <w:t> </w:t>
      </w:r>
      <w:r>
        <w:rPr>
          <w:i/>
          <w:sz w:val="21"/>
        </w:rPr>
        <w:t>and</w:t>
      </w:r>
      <w:r>
        <w:rPr>
          <w:i/>
          <w:spacing w:val="-35"/>
          <w:sz w:val="21"/>
        </w:rPr>
        <w:t> </w:t>
      </w:r>
      <w:r>
        <w:rPr>
          <w:i/>
          <w:sz w:val="21"/>
        </w:rPr>
        <w:t>Law</w:t>
      </w:r>
      <w:r>
        <w:rPr>
          <w:i/>
          <w:spacing w:val="-34"/>
          <w:sz w:val="21"/>
        </w:rPr>
        <w:t> </w:t>
      </w:r>
      <w:r>
        <w:rPr>
          <w:sz w:val="20"/>
        </w:rPr>
        <w:t>248.</w:t>
      </w:r>
    </w:p>
    <w:p>
      <w:pPr>
        <w:spacing w:line="240" w:lineRule="exact" w:before="0"/>
        <w:ind w:left="120" w:right="0" w:firstLine="0"/>
        <w:jc w:val="left"/>
        <w:rPr>
          <w:sz w:val="20"/>
        </w:rPr>
      </w:pPr>
      <w:bookmarkStart w:name="_bookmark27" w:id="29"/>
      <w:bookmarkEnd w:id="29"/>
      <w:r>
        <w:rPr/>
      </w:r>
      <w:r>
        <w:rPr>
          <w:position w:val="7"/>
          <w:sz w:val="13"/>
        </w:rPr>
        <w:t>28 </w:t>
      </w:r>
      <w:r>
        <w:rPr>
          <w:sz w:val="20"/>
        </w:rPr>
        <w:t>Sanson, above n 15, 206.</w:t>
      </w:r>
    </w:p>
    <w:p>
      <w:pPr>
        <w:spacing w:line="236" w:lineRule="exact" w:before="0"/>
        <w:ind w:left="120" w:right="0" w:firstLine="0"/>
        <w:jc w:val="left"/>
        <w:rPr>
          <w:sz w:val="20"/>
        </w:rPr>
      </w:pPr>
      <w:bookmarkStart w:name="_bookmark28" w:id="30"/>
      <w:bookmarkEnd w:id="30"/>
      <w:r>
        <w:rPr/>
      </w:r>
      <w:r>
        <w:rPr>
          <w:position w:val="7"/>
          <w:sz w:val="13"/>
        </w:rPr>
        <w:t>29 </w:t>
      </w:r>
      <w:r>
        <w:rPr>
          <w:sz w:val="20"/>
        </w:rPr>
        <w:t>Maylea and Hirsch, above n 19.</w:t>
      </w:r>
    </w:p>
    <w:p>
      <w:pPr>
        <w:spacing w:line="247" w:lineRule="exact" w:before="0"/>
        <w:ind w:left="120" w:right="0" w:firstLine="0"/>
        <w:jc w:val="left"/>
        <w:rPr>
          <w:sz w:val="20"/>
        </w:rPr>
      </w:pPr>
      <w:bookmarkStart w:name="_bookmark29" w:id="31"/>
      <w:bookmarkEnd w:id="31"/>
      <w:r>
        <w:rPr/>
      </w:r>
      <w:r>
        <w:rPr>
          <w:position w:val="7"/>
          <w:sz w:val="13"/>
        </w:rPr>
        <w:t>30 </w:t>
      </w:r>
      <w:r>
        <w:rPr>
          <w:i/>
          <w:sz w:val="21"/>
        </w:rPr>
        <w:t>Jumbunna Coal Mine NL v Victorian Col Miners Association </w:t>
      </w:r>
      <w:r>
        <w:rPr>
          <w:sz w:val="20"/>
        </w:rPr>
        <w:t>(1908) 6 CLR 309, 363.</w:t>
      </w:r>
    </w:p>
    <w:p>
      <w:pPr>
        <w:spacing w:line="240" w:lineRule="exact" w:before="0"/>
        <w:ind w:left="120" w:right="0" w:firstLine="0"/>
        <w:jc w:val="left"/>
        <w:rPr>
          <w:sz w:val="20"/>
        </w:rPr>
      </w:pPr>
      <w:bookmarkStart w:name="_bookmark30" w:id="32"/>
      <w:bookmarkEnd w:id="32"/>
      <w:r>
        <w:rPr/>
      </w:r>
      <w:r>
        <w:rPr>
          <w:position w:val="7"/>
          <w:sz w:val="13"/>
        </w:rPr>
        <w:t>31 </w:t>
      </w:r>
      <w:r>
        <w:rPr>
          <w:sz w:val="20"/>
        </w:rPr>
        <w:t>Maylea and Hirsch, above n 19.</w:t>
      </w:r>
    </w:p>
    <w:p>
      <w:pPr>
        <w:spacing w:after="0" w:line="240" w:lineRule="exact"/>
        <w:jc w:val="left"/>
        <w:rPr>
          <w:sz w:val="20"/>
        </w:rPr>
        <w:sectPr>
          <w:pgSz w:w="11910" w:h="16840"/>
          <w:pgMar w:header="763" w:footer="1025" w:top="980" w:bottom="1220" w:left="1220" w:right="1200"/>
        </w:sectPr>
      </w:pPr>
    </w:p>
    <w:p>
      <w:pPr>
        <w:pStyle w:val="BodyText"/>
        <w:spacing w:before="4"/>
        <w:rPr>
          <w:sz w:val="21"/>
        </w:rPr>
      </w:pPr>
    </w:p>
    <w:p>
      <w:pPr>
        <w:pStyle w:val="BodyText"/>
        <w:spacing w:before="100"/>
        <w:ind w:left="120" w:right="229"/>
        <w:jc w:val="both"/>
      </w:pPr>
      <w:r>
        <w:rPr/>
        <w:t>Up until October 2015, it was the Tribunal’s practice to publish all such statements of reasons on the Australian Legal Information Institute’s (AustLII) website, unless the case was deemed particularly sensitive or difficult to anonymise. After October 2015, the Tribunal changed this practice so that it only publishes statements which meet certain criteria, such as those which address complex or novel legal questions, are informative examples of decision-making and those which highlight the principles of the</w:t>
      </w:r>
      <w:r>
        <w:rPr>
          <w:spacing w:val="-19"/>
        </w:rPr>
        <w:t> </w:t>
      </w:r>
      <w:r>
        <w:rPr/>
        <w:t>Act.</w:t>
      </w:r>
      <w:hyperlink w:history="true" w:anchor="_bookmark31">
        <w:r>
          <w:rPr>
            <w:position w:val="8"/>
            <w:sz w:val="16"/>
          </w:rPr>
          <w:t>32</w:t>
        </w:r>
        <w:r>
          <w:rPr>
            <w:spacing w:val="-13"/>
            <w:position w:val="8"/>
            <w:sz w:val="16"/>
          </w:rPr>
          <w:t> </w:t>
        </w:r>
      </w:hyperlink>
      <w:r>
        <w:rPr/>
        <w:t>This</w:t>
      </w:r>
      <w:r>
        <w:rPr>
          <w:spacing w:val="-19"/>
        </w:rPr>
        <w:t> </w:t>
      </w:r>
      <w:r>
        <w:rPr/>
        <w:t>means</w:t>
      </w:r>
      <w:r>
        <w:rPr>
          <w:spacing w:val="-19"/>
        </w:rPr>
        <w:t> </w:t>
      </w:r>
      <w:r>
        <w:rPr/>
        <w:t>that</w:t>
      </w:r>
      <w:r>
        <w:rPr>
          <w:spacing w:val="-19"/>
        </w:rPr>
        <w:t> </w:t>
      </w:r>
      <w:r>
        <w:rPr/>
        <w:t>while</w:t>
      </w:r>
      <w:r>
        <w:rPr>
          <w:spacing w:val="-19"/>
        </w:rPr>
        <w:t> </w:t>
      </w:r>
      <w:r>
        <w:rPr/>
        <w:t>they</w:t>
      </w:r>
      <w:r>
        <w:rPr>
          <w:spacing w:val="-18"/>
        </w:rPr>
        <w:t> </w:t>
      </w:r>
      <w:r>
        <w:rPr/>
        <w:t>may</w:t>
      </w:r>
      <w:r>
        <w:rPr>
          <w:spacing w:val="-20"/>
        </w:rPr>
        <w:t> </w:t>
      </w:r>
      <w:r>
        <w:rPr/>
        <w:t>not</w:t>
      </w:r>
      <w:r>
        <w:rPr>
          <w:spacing w:val="-20"/>
        </w:rPr>
        <w:t> </w:t>
      </w:r>
      <w:r>
        <w:rPr/>
        <w:t>be</w:t>
      </w:r>
      <w:r>
        <w:rPr>
          <w:spacing w:val="-19"/>
        </w:rPr>
        <w:t> </w:t>
      </w:r>
      <w:r>
        <w:rPr/>
        <w:t>representative</w:t>
      </w:r>
      <w:r>
        <w:rPr>
          <w:spacing w:val="-19"/>
        </w:rPr>
        <w:t> </w:t>
      </w:r>
      <w:r>
        <w:rPr/>
        <w:t>of</w:t>
      </w:r>
      <w:r>
        <w:rPr>
          <w:spacing w:val="-20"/>
        </w:rPr>
        <w:t> </w:t>
      </w:r>
      <w:r>
        <w:rPr/>
        <w:t>all</w:t>
      </w:r>
      <w:r>
        <w:rPr>
          <w:spacing w:val="-21"/>
        </w:rPr>
        <w:t> </w:t>
      </w:r>
      <w:r>
        <w:rPr/>
        <w:t>Tribunal</w:t>
      </w:r>
      <w:r>
        <w:rPr>
          <w:spacing w:val="-20"/>
        </w:rPr>
        <w:t> </w:t>
      </w:r>
      <w:r>
        <w:rPr/>
        <w:t>hearings, the selection bias should tend towards decisions which the Tribunal would like to be seen as</w:t>
      </w:r>
      <w:r>
        <w:rPr>
          <w:spacing w:val="-11"/>
        </w:rPr>
        <w:t> </w:t>
      </w:r>
      <w:r>
        <w:rPr/>
        <w:t>representative.</w:t>
      </w:r>
    </w:p>
    <w:p>
      <w:pPr>
        <w:pStyle w:val="BodyText"/>
        <w:spacing w:before="11"/>
        <w:rPr>
          <w:sz w:val="23"/>
        </w:rPr>
      </w:pPr>
    </w:p>
    <w:p>
      <w:pPr>
        <w:pStyle w:val="BodyText"/>
        <w:spacing w:before="1"/>
        <w:ind w:left="120" w:right="231"/>
        <w:jc w:val="both"/>
      </w:pPr>
      <w:r>
        <w:rPr/>
        <w:t>This section will now detail the findings of two studies which examined these statements of reasons to determine the way the Tribunal engages with the issue of decision-making capacity.</w:t>
      </w:r>
    </w:p>
    <w:p>
      <w:pPr>
        <w:pStyle w:val="BodyText"/>
        <w:spacing w:before="11"/>
        <w:rPr>
          <w:sz w:val="23"/>
        </w:rPr>
      </w:pPr>
    </w:p>
    <w:p>
      <w:pPr>
        <w:pStyle w:val="BodyText"/>
        <w:ind w:left="120"/>
        <w:jc w:val="both"/>
      </w:pPr>
      <w:r>
        <w:rPr/>
        <w:t>VII. 1 First Study</w:t>
      </w:r>
    </w:p>
    <w:p>
      <w:pPr>
        <w:pStyle w:val="BodyText"/>
      </w:pPr>
    </w:p>
    <w:p>
      <w:pPr>
        <w:pStyle w:val="BodyText"/>
        <w:ind w:left="120" w:right="231"/>
        <w:jc w:val="both"/>
      </w:pPr>
      <w:r>
        <w:rPr/>
        <w:t>The first study aimed to examine the extent to which the presence or absence of decision-making capacity was relevant to the Tribunal’s reasoning in its application of the least restrictive criterion as reflected in its statements of reasons.</w:t>
      </w:r>
    </w:p>
    <w:p>
      <w:pPr>
        <w:pStyle w:val="BodyText"/>
      </w:pPr>
    </w:p>
    <w:p>
      <w:pPr>
        <w:pStyle w:val="BodyText"/>
        <w:ind w:left="120"/>
        <w:jc w:val="both"/>
      </w:pPr>
      <w:r>
        <w:rPr>
          <w:u w:val="single"/>
        </w:rPr>
        <w:t>Method</w:t>
      </w:r>
    </w:p>
    <w:p>
      <w:pPr>
        <w:pStyle w:val="BodyText"/>
        <w:spacing w:before="8"/>
        <w:rPr>
          <w:sz w:val="15"/>
        </w:rPr>
      </w:pPr>
    </w:p>
    <w:p>
      <w:pPr>
        <w:pStyle w:val="BodyText"/>
        <w:spacing w:before="100"/>
        <w:ind w:left="120" w:right="229"/>
        <w:jc w:val="both"/>
      </w:pPr>
      <w:r>
        <w:rPr/>
        <w:t>Consideration</w:t>
      </w:r>
      <w:r>
        <w:rPr>
          <w:spacing w:val="-19"/>
        </w:rPr>
        <w:t> </w:t>
      </w:r>
      <w:r>
        <w:rPr/>
        <w:t>of</w:t>
      </w:r>
      <w:r>
        <w:rPr>
          <w:spacing w:val="-19"/>
        </w:rPr>
        <w:t> </w:t>
      </w:r>
      <w:r>
        <w:rPr/>
        <w:t>all</w:t>
      </w:r>
      <w:r>
        <w:rPr>
          <w:spacing w:val="-21"/>
        </w:rPr>
        <w:t> </w:t>
      </w:r>
      <w:r>
        <w:rPr/>
        <w:t>206</w:t>
      </w:r>
      <w:r>
        <w:rPr>
          <w:spacing w:val="-20"/>
        </w:rPr>
        <w:t> </w:t>
      </w:r>
      <w:r>
        <w:rPr/>
        <w:t>statements</w:t>
      </w:r>
      <w:r>
        <w:rPr>
          <w:spacing w:val="-20"/>
        </w:rPr>
        <w:t> </w:t>
      </w:r>
      <w:r>
        <w:rPr/>
        <w:t>of</w:t>
      </w:r>
      <w:r>
        <w:rPr>
          <w:spacing w:val="-19"/>
        </w:rPr>
        <w:t> </w:t>
      </w:r>
      <w:r>
        <w:rPr/>
        <w:t>reasons</w:t>
      </w:r>
      <w:r>
        <w:rPr>
          <w:spacing w:val="-20"/>
        </w:rPr>
        <w:t> </w:t>
      </w:r>
      <w:r>
        <w:rPr/>
        <w:t>available</w:t>
      </w:r>
      <w:r>
        <w:rPr>
          <w:spacing w:val="-20"/>
        </w:rPr>
        <w:t> </w:t>
      </w:r>
      <w:r>
        <w:rPr/>
        <w:t>as</w:t>
      </w:r>
      <w:r>
        <w:rPr>
          <w:spacing w:val="-20"/>
        </w:rPr>
        <w:t> </w:t>
      </w:r>
      <w:r>
        <w:rPr/>
        <w:t>of</w:t>
      </w:r>
      <w:r>
        <w:rPr>
          <w:spacing w:val="-19"/>
        </w:rPr>
        <w:t> </w:t>
      </w:r>
      <w:r>
        <w:rPr/>
        <w:t>the</w:t>
      </w:r>
      <w:r>
        <w:rPr>
          <w:spacing w:val="-20"/>
        </w:rPr>
        <w:t> </w:t>
      </w:r>
      <w:r>
        <w:rPr/>
        <w:t>31</w:t>
      </w:r>
      <w:r>
        <w:rPr>
          <w:spacing w:val="-21"/>
        </w:rPr>
        <w:t> </w:t>
      </w:r>
      <w:r>
        <w:rPr/>
        <w:t>July</w:t>
      </w:r>
      <w:r>
        <w:rPr>
          <w:spacing w:val="-19"/>
        </w:rPr>
        <w:t> </w:t>
      </w:r>
      <w:r>
        <w:rPr/>
        <w:t>2016,</w:t>
      </w:r>
      <w:r>
        <w:rPr>
          <w:spacing w:val="-21"/>
        </w:rPr>
        <w:t> </w:t>
      </w:r>
      <w:r>
        <w:rPr/>
        <w:t>covering the period from 1 January 2015 to 30 June 2016 which included a determination as to whether the least restrictive criterion had been met. This excluded statements of reasons for electroconvulsive treatment or where the least restrictive criterion was not considered.</w:t>
      </w:r>
    </w:p>
    <w:p>
      <w:pPr>
        <w:pStyle w:val="BodyText"/>
        <w:spacing w:before="11"/>
        <w:rPr>
          <w:sz w:val="23"/>
        </w:rPr>
      </w:pPr>
    </w:p>
    <w:p>
      <w:pPr>
        <w:pStyle w:val="BodyText"/>
        <w:ind w:left="120"/>
        <w:jc w:val="both"/>
      </w:pPr>
      <w:r>
        <w:rPr/>
        <w:t>The statements of reasons were characterised into five groups as outlined below.</w:t>
      </w:r>
    </w:p>
    <w:p>
      <w:pPr>
        <w:pStyle w:val="BodyText"/>
        <w:spacing w:before="11"/>
        <w:rPr>
          <w:sz w:val="23"/>
        </w:rPr>
      </w:pPr>
    </w:p>
    <w:p>
      <w:pPr>
        <w:pStyle w:val="BodyText"/>
        <w:ind w:left="120" w:right="229"/>
        <w:jc w:val="both"/>
      </w:pPr>
      <w:r>
        <w:rPr/>
        <w:t>Group 1 consisted of those statements in which the Tribunal clearly noted that it had considered</w:t>
      </w:r>
      <w:r>
        <w:rPr>
          <w:spacing w:val="-7"/>
        </w:rPr>
        <w:t> </w:t>
      </w:r>
      <w:r>
        <w:rPr/>
        <w:t>the</w:t>
      </w:r>
      <w:r>
        <w:rPr>
          <w:spacing w:val="-7"/>
        </w:rPr>
        <w:t> </w:t>
      </w:r>
      <w:r>
        <w:rPr/>
        <w:t>presence</w:t>
      </w:r>
      <w:r>
        <w:rPr>
          <w:spacing w:val="-6"/>
        </w:rPr>
        <w:t> </w:t>
      </w:r>
      <w:r>
        <w:rPr/>
        <w:t>or</w:t>
      </w:r>
      <w:r>
        <w:rPr>
          <w:spacing w:val="-6"/>
        </w:rPr>
        <w:t> </w:t>
      </w:r>
      <w:r>
        <w:rPr/>
        <w:t>absence</w:t>
      </w:r>
      <w:r>
        <w:rPr>
          <w:spacing w:val="-6"/>
        </w:rPr>
        <w:t> </w:t>
      </w:r>
      <w:r>
        <w:rPr/>
        <w:t>of</w:t>
      </w:r>
      <w:r>
        <w:rPr>
          <w:spacing w:val="-6"/>
        </w:rPr>
        <w:t> </w:t>
      </w:r>
      <w:r>
        <w:rPr/>
        <w:t>a</w:t>
      </w:r>
      <w:r>
        <w:rPr>
          <w:spacing w:val="-6"/>
        </w:rPr>
        <w:t> </w:t>
      </w:r>
      <w:r>
        <w:rPr/>
        <w:t>patient’s</w:t>
      </w:r>
      <w:r>
        <w:rPr>
          <w:spacing w:val="-6"/>
        </w:rPr>
        <w:t> </w:t>
      </w:r>
      <w:r>
        <w:rPr/>
        <w:t>decision-making</w:t>
      </w:r>
      <w:r>
        <w:rPr>
          <w:spacing w:val="-7"/>
        </w:rPr>
        <w:t> </w:t>
      </w:r>
      <w:r>
        <w:rPr/>
        <w:t>capacity</w:t>
      </w:r>
      <w:r>
        <w:rPr>
          <w:spacing w:val="-6"/>
        </w:rPr>
        <w:t> </w:t>
      </w:r>
      <w:r>
        <w:rPr/>
        <w:t>as</w:t>
      </w:r>
      <w:r>
        <w:rPr>
          <w:spacing w:val="-6"/>
        </w:rPr>
        <w:t> </w:t>
      </w:r>
      <w:r>
        <w:rPr/>
        <w:t>a</w:t>
      </w:r>
      <w:r>
        <w:rPr>
          <w:spacing w:val="-6"/>
        </w:rPr>
        <w:t> </w:t>
      </w:r>
      <w:r>
        <w:rPr/>
        <w:t>factor in its determination of whether the least restrictive criterion had been</w:t>
      </w:r>
      <w:r>
        <w:rPr>
          <w:spacing w:val="-30"/>
        </w:rPr>
        <w:t> </w:t>
      </w:r>
      <w:r>
        <w:rPr/>
        <w:t>met.</w:t>
      </w:r>
    </w:p>
    <w:p>
      <w:pPr>
        <w:pStyle w:val="BodyText"/>
        <w:spacing w:before="10"/>
        <w:rPr>
          <w:sz w:val="23"/>
        </w:rPr>
      </w:pPr>
    </w:p>
    <w:p>
      <w:pPr>
        <w:pStyle w:val="BodyText"/>
        <w:ind w:left="120" w:right="230"/>
        <w:jc w:val="both"/>
      </w:pPr>
      <w:r>
        <w:rPr/>
        <w:t>Group 2 consisted of those statements in which the Tribunal did not refer directly to the presence or absence of decision-making capacity, but did refer to the patient’s ability to understand, use and weigh, or recall, information or the ability to communicate a decision, and this appeared to be a factor in the its determination of whether the least restrictive criterion had been met.</w:t>
      </w:r>
    </w:p>
    <w:p>
      <w:pPr>
        <w:pStyle w:val="BodyText"/>
        <w:spacing w:before="11"/>
        <w:rPr>
          <w:sz w:val="23"/>
        </w:rPr>
      </w:pPr>
    </w:p>
    <w:p>
      <w:pPr>
        <w:pStyle w:val="BodyText"/>
        <w:spacing w:before="1"/>
        <w:ind w:left="120" w:right="228"/>
        <w:jc w:val="both"/>
      </w:pPr>
      <w:r>
        <w:rPr/>
        <w:t>Group 3 statements were those in which the Tribunal referred neither to decision- making capacity nor its elements, but made reference to either the patient’s beliefs or insight and this reference appeared to be a factor in its determination of whether the least restrictive criterion had been met.</w:t>
      </w:r>
    </w:p>
    <w:p>
      <w:pPr>
        <w:pStyle w:val="BodyText"/>
        <w:rPr>
          <w:sz w:val="20"/>
        </w:rPr>
      </w:pPr>
    </w:p>
    <w:p>
      <w:pPr>
        <w:pStyle w:val="BodyText"/>
        <w:spacing w:before="5"/>
        <w:rPr>
          <w:sz w:val="28"/>
        </w:rPr>
      </w:pPr>
      <w:r>
        <w:rPr/>
        <w:pict>
          <v:line style="position:absolute;mso-position-horizontal-relative:page;mso-position-vertical-relative:paragraph;z-index:1216;mso-wrap-distance-left:0;mso-wrap-distance-right:0" from="67.019997pt,19.383615pt" to="211.019997pt,19.383615pt" stroked="true" strokeweight=".54pt" strokecolor="#000000">
            <v:stroke dashstyle="solid"/>
            <w10:wrap type="topAndBottom"/>
          </v:line>
        </w:pict>
      </w:r>
    </w:p>
    <w:p>
      <w:pPr>
        <w:spacing w:before="65"/>
        <w:ind w:left="347" w:right="0" w:hanging="227"/>
        <w:jc w:val="left"/>
        <w:rPr>
          <w:sz w:val="20"/>
        </w:rPr>
      </w:pPr>
      <w:bookmarkStart w:name="_bookmark31" w:id="33"/>
      <w:bookmarkEnd w:id="33"/>
      <w:r>
        <w:rPr/>
      </w:r>
      <w:r>
        <w:rPr>
          <w:position w:val="7"/>
          <w:sz w:val="13"/>
        </w:rPr>
        <w:t>32 </w:t>
      </w:r>
      <w:r>
        <w:rPr>
          <w:sz w:val="20"/>
        </w:rPr>
        <w:t>Grace Horzitski, ‘General Enquiry Statements of Reasons on AustLII (Pers. Comms. Mental Health Tribunal)’, 16 June 2016.</w:t>
      </w:r>
    </w:p>
    <w:p>
      <w:pPr>
        <w:spacing w:after="0"/>
        <w:jc w:val="left"/>
        <w:rPr>
          <w:sz w:val="20"/>
        </w:rPr>
        <w:sectPr>
          <w:pgSz w:w="11910" w:h="16840"/>
          <w:pgMar w:header="763" w:footer="1025" w:top="980" w:bottom="1220" w:left="1220" w:right="1200"/>
        </w:sectPr>
      </w:pPr>
    </w:p>
    <w:p>
      <w:pPr>
        <w:pStyle w:val="BodyText"/>
        <w:spacing w:before="4"/>
        <w:rPr>
          <w:sz w:val="21"/>
        </w:rPr>
      </w:pPr>
    </w:p>
    <w:p>
      <w:pPr>
        <w:pStyle w:val="BodyText"/>
        <w:spacing w:before="100"/>
        <w:ind w:left="120" w:right="229"/>
        <w:jc w:val="both"/>
      </w:pPr>
      <w:r>
        <w:rPr/>
        <w:t>Group 4 statements were those in which the Tribunal made no reference to any of</w:t>
      </w:r>
      <w:r>
        <w:rPr>
          <w:spacing w:val="-46"/>
        </w:rPr>
        <w:t> </w:t>
      </w:r>
      <w:r>
        <w:rPr/>
        <w:t>the concepts mentioned above, but made note of the importance of autonomy, or of the right</w:t>
      </w:r>
      <w:r>
        <w:rPr>
          <w:spacing w:val="-15"/>
        </w:rPr>
        <w:t> </w:t>
      </w:r>
      <w:r>
        <w:rPr/>
        <w:t>to</w:t>
      </w:r>
      <w:r>
        <w:rPr>
          <w:spacing w:val="-14"/>
        </w:rPr>
        <w:t> </w:t>
      </w:r>
      <w:r>
        <w:rPr/>
        <w:t>take</w:t>
      </w:r>
      <w:r>
        <w:rPr>
          <w:spacing w:val="-14"/>
        </w:rPr>
        <w:t> </w:t>
      </w:r>
      <w:r>
        <w:rPr/>
        <w:t>risks,</w:t>
      </w:r>
      <w:r>
        <w:rPr>
          <w:spacing w:val="-14"/>
        </w:rPr>
        <w:t> </w:t>
      </w:r>
      <w:r>
        <w:rPr/>
        <w:t>or</w:t>
      </w:r>
      <w:r>
        <w:rPr>
          <w:spacing w:val="-16"/>
        </w:rPr>
        <w:t> </w:t>
      </w:r>
      <w:r>
        <w:rPr/>
        <w:t>of</w:t>
      </w:r>
      <w:r>
        <w:rPr>
          <w:spacing w:val="-13"/>
        </w:rPr>
        <w:t> </w:t>
      </w:r>
      <w:r>
        <w:rPr/>
        <w:t>the</w:t>
      </w:r>
      <w:r>
        <w:rPr>
          <w:spacing w:val="-14"/>
        </w:rPr>
        <w:t> </w:t>
      </w:r>
      <w:r>
        <w:rPr/>
        <w:t>mental</w:t>
      </w:r>
      <w:r>
        <w:rPr>
          <w:spacing w:val="-15"/>
        </w:rPr>
        <w:t> </w:t>
      </w:r>
      <w:r>
        <w:rPr/>
        <w:t>health</w:t>
      </w:r>
      <w:r>
        <w:rPr>
          <w:spacing w:val="-16"/>
        </w:rPr>
        <w:t> </w:t>
      </w:r>
      <w:r>
        <w:rPr/>
        <w:t>principles</w:t>
      </w:r>
      <w:r>
        <w:rPr>
          <w:spacing w:val="-15"/>
        </w:rPr>
        <w:t> </w:t>
      </w:r>
      <w:r>
        <w:rPr/>
        <w:t>in</w:t>
      </w:r>
      <w:r>
        <w:rPr>
          <w:spacing w:val="-14"/>
        </w:rPr>
        <w:t> </w:t>
      </w:r>
      <w:r>
        <w:rPr/>
        <w:t>subsections</w:t>
      </w:r>
      <w:r>
        <w:rPr>
          <w:spacing w:val="-16"/>
        </w:rPr>
        <w:t> </w:t>
      </w:r>
      <w:r>
        <w:rPr/>
        <w:t>11(1)(e)</w:t>
      </w:r>
      <w:r>
        <w:rPr>
          <w:spacing w:val="-14"/>
        </w:rPr>
        <w:t> </w:t>
      </w:r>
      <w:r>
        <w:rPr/>
        <w:t>or</w:t>
      </w:r>
      <w:r>
        <w:rPr>
          <w:spacing w:val="-15"/>
        </w:rPr>
        <w:t> </w:t>
      </w:r>
      <w:r>
        <w:rPr/>
        <w:t>11(1)(d) that</w:t>
      </w:r>
      <w:r>
        <w:rPr>
          <w:spacing w:val="-10"/>
        </w:rPr>
        <w:t> </w:t>
      </w:r>
      <w:r>
        <w:rPr/>
        <w:t>respectively</w:t>
      </w:r>
      <w:r>
        <w:rPr>
          <w:spacing w:val="-10"/>
        </w:rPr>
        <w:t> </w:t>
      </w:r>
      <w:r>
        <w:rPr/>
        <w:t>refer</w:t>
      </w:r>
      <w:r>
        <w:rPr>
          <w:spacing w:val="-11"/>
        </w:rPr>
        <w:t> </w:t>
      </w:r>
      <w:r>
        <w:rPr/>
        <w:t>to</w:t>
      </w:r>
      <w:r>
        <w:rPr>
          <w:spacing w:val="-10"/>
        </w:rPr>
        <w:t> </w:t>
      </w:r>
      <w:r>
        <w:rPr/>
        <w:t>these</w:t>
      </w:r>
      <w:r>
        <w:rPr>
          <w:spacing w:val="-9"/>
        </w:rPr>
        <w:t> </w:t>
      </w:r>
      <w:r>
        <w:rPr/>
        <w:t>rights,</w:t>
      </w:r>
      <w:r>
        <w:rPr>
          <w:spacing w:val="-10"/>
        </w:rPr>
        <w:t> </w:t>
      </w:r>
      <w:r>
        <w:rPr/>
        <w:t>and</w:t>
      </w:r>
      <w:r>
        <w:rPr>
          <w:spacing w:val="-10"/>
        </w:rPr>
        <w:t> </w:t>
      </w:r>
      <w:r>
        <w:rPr/>
        <w:t>this</w:t>
      </w:r>
      <w:r>
        <w:rPr>
          <w:spacing w:val="-9"/>
        </w:rPr>
        <w:t> </w:t>
      </w:r>
      <w:r>
        <w:rPr/>
        <w:t>consideration</w:t>
      </w:r>
      <w:r>
        <w:rPr>
          <w:spacing w:val="-10"/>
        </w:rPr>
        <w:t> </w:t>
      </w:r>
      <w:r>
        <w:rPr/>
        <w:t>appeared</w:t>
      </w:r>
      <w:r>
        <w:rPr>
          <w:spacing w:val="-8"/>
        </w:rPr>
        <w:t> </w:t>
      </w:r>
      <w:r>
        <w:rPr/>
        <w:t>to</w:t>
      </w:r>
      <w:r>
        <w:rPr>
          <w:spacing w:val="-10"/>
        </w:rPr>
        <w:t> </w:t>
      </w:r>
      <w:r>
        <w:rPr/>
        <w:t>be</w:t>
      </w:r>
      <w:r>
        <w:rPr>
          <w:spacing w:val="-10"/>
        </w:rPr>
        <w:t> </w:t>
      </w:r>
      <w:r>
        <w:rPr/>
        <w:t>a</w:t>
      </w:r>
      <w:r>
        <w:rPr>
          <w:spacing w:val="-10"/>
        </w:rPr>
        <w:t> </w:t>
      </w:r>
      <w:r>
        <w:rPr/>
        <w:t>factor</w:t>
      </w:r>
      <w:r>
        <w:rPr>
          <w:spacing w:val="-9"/>
        </w:rPr>
        <w:t> </w:t>
      </w:r>
      <w:r>
        <w:rPr/>
        <w:t>in its determination of whether the least restrictive criterion had been</w:t>
      </w:r>
      <w:r>
        <w:rPr>
          <w:spacing w:val="-29"/>
        </w:rPr>
        <w:t> </w:t>
      </w:r>
      <w:r>
        <w:rPr/>
        <w:t>met.</w:t>
      </w:r>
    </w:p>
    <w:p>
      <w:pPr>
        <w:pStyle w:val="BodyText"/>
        <w:spacing w:before="11"/>
        <w:rPr>
          <w:sz w:val="23"/>
        </w:rPr>
      </w:pPr>
    </w:p>
    <w:p>
      <w:pPr>
        <w:pStyle w:val="BodyText"/>
        <w:spacing w:before="1"/>
        <w:ind w:left="120" w:right="230"/>
        <w:jc w:val="both"/>
      </w:pPr>
      <w:r>
        <w:rPr/>
        <w:t>Finally, a statement was assigned to Group 5 if none of the above applied. That is, decisions where, with respect to its consideration of the least restrictive criterion, nothing</w:t>
      </w:r>
      <w:r>
        <w:rPr>
          <w:spacing w:val="-16"/>
        </w:rPr>
        <w:t> </w:t>
      </w:r>
      <w:r>
        <w:rPr/>
        <w:t>in</w:t>
      </w:r>
      <w:r>
        <w:rPr>
          <w:spacing w:val="-16"/>
        </w:rPr>
        <w:t> </w:t>
      </w:r>
      <w:r>
        <w:rPr/>
        <w:t>the</w:t>
      </w:r>
      <w:r>
        <w:rPr>
          <w:spacing w:val="-15"/>
        </w:rPr>
        <w:t> </w:t>
      </w:r>
      <w:r>
        <w:rPr/>
        <w:t>Tribunal’s</w:t>
      </w:r>
      <w:r>
        <w:rPr>
          <w:spacing w:val="-15"/>
        </w:rPr>
        <w:t> </w:t>
      </w:r>
      <w:r>
        <w:rPr/>
        <w:t>statement</w:t>
      </w:r>
      <w:r>
        <w:rPr>
          <w:spacing w:val="-15"/>
        </w:rPr>
        <w:t> </w:t>
      </w:r>
      <w:r>
        <w:rPr/>
        <w:t>of</w:t>
      </w:r>
      <w:r>
        <w:rPr>
          <w:spacing w:val="-16"/>
        </w:rPr>
        <w:t> </w:t>
      </w:r>
      <w:r>
        <w:rPr/>
        <w:t>reasons</w:t>
      </w:r>
      <w:r>
        <w:rPr>
          <w:spacing w:val="-15"/>
        </w:rPr>
        <w:t> </w:t>
      </w:r>
      <w:r>
        <w:rPr/>
        <w:t>contained</w:t>
      </w:r>
      <w:r>
        <w:rPr>
          <w:spacing w:val="-16"/>
        </w:rPr>
        <w:t> </w:t>
      </w:r>
      <w:r>
        <w:rPr/>
        <w:t>a</w:t>
      </w:r>
      <w:r>
        <w:rPr>
          <w:spacing w:val="-15"/>
        </w:rPr>
        <w:t> </w:t>
      </w:r>
      <w:r>
        <w:rPr/>
        <w:t>suggestion</w:t>
      </w:r>
      <w:r>
        <w:rPr>
          <w:spacing w:val="-16"/>
        </w:rPr>
        <w:t> </w:t>
      </w:r>
      <w:r>
        <w:rPr/>
        <w:t>that</w:t>
      </w:r>
      <w:r>
        <w:rPr>
          <w:spacing w:val="-16"/>
        </w:rPr>
        <w:t> </w:t>
      </w:r>
      <w:r>
        <w:rPr/>
        <w:t>the</w:t>
      </w:r>
      <w:r>
        <w:rPr>
          <w:spacing w:val="-16"/>
        </w:rPr>
        <w:t> </w:t>
      </w:r>
      <w:r>
        <w:rPr/>
        <w:t>patient’s decision-making capacity had been</w:t>
      </w:r>
      <w:r>
        <w:rPr>
          <w:spacing w:val="-21"/>
        </w:rPr>
        <w:t> </w:t>
      </w:r>
      <w:r>
        <w:rPr/>
        <w:t>considered.</w:t>
      </w:r>
    </w:p>
    <w:p>
      <w:pPr>
        <w:pStyle w:val="BodyText"/>
      </w:pPr>
    </w:p>
    <w:p>
      <w:pPr>
        <w:pStyle w:val="BodyText"/>
        <w:ind w:left="120" w:right="229"/>
        <w:jc w:val="both"/>
      </w:pPr>
      <w:r>
        <w:rPr/>
        <w:t>A</w:t>
      </w:r>
      <w:r>
        <w:rPr>
          <w:spacing w:val="-4"/>
        </w:rPr>
        <w:t> </w:t>
      </w:r>
      <w:r>
        <w:rPr/>
        <w:t>statement</w:t>
      </w:r>
      <w:r>
        <w:rPr>
          <w:spacing w:val="-4"/>
        </w:rPr>
        <w:t> </w:t>
      </w:r>
      <w:r>
        <w:rPr/>
        <w:t>of</w:t>
      </w:r>
      <w:r>
        <w:rPr>
          <w:spacing w:val="-4"/>
        </w:rPr>
        <w:t> </w:t>
      </w:r>
      <w:r>
        <w:rPr/>
        <w:t>reasons</w:t>
      </w:r>
      <w:r>
        <w:rPr>
          <w:spacing w:val="-5"/>
        </w:rPr>
        <w:t> </w:t>
      </w:r>
      <w:r>
        <w:rPr/>
        <w:t>was</w:t>
      </w:r>
      <w:r>
        <w:rPr>
          <w:spacing w:val="-5"/>
        </w:rPr>
        <w:t> </w:t>
      </w:r>
      <w:r>
        <w:rPr/>
        <w:t>only</w:t>
      </w:r>
      <w:r>
        <w:rPr>
          <w:spacing w:val="-6"/>
        </w:rPr>
        <w:t> </w:t>
      </w:r>
      <w:r>
        <w:rPr/>
        <w:t>allocated</w:t>
      </w:r>
      <w:r>
        <w:rPr>
          <w:spacing w:val="-5"/>
        </w:rPr>
        <w:t> </w:t>
      </w:r>
      <w:r>
        <w:rPr/>
        <w:t>to</w:t>
      </w:r>
      <w:r>
        <w:rPr>
          <w:spacing w:val="-5"/>
        </w:rPr>
        <w:t> </w:t>
      </w:r>
      <w:r>
        <w:rPr/>
        <w:t>one</w:t>
      </w:r>
      <w:r>
        <w:rPr>
          <w:spacing w:val="-4"/>
        </w:rPr>
        <w:t> </w:t>
      </w:r>
      <w:r>
        <w:rPr/>
        <w:t>of</w:t>
      </w:r>
      <w:r>
        <w:rPr>
          <w:spacing w:val="-5"/>
        </w:rPr>
        <w:t> </w:t>
      </w:r>
      <w:r>
        <w:rPr/>
        <w:t>the</w:t>
      </w:r>
      <w:r>
        <w:rPr>
          <w:spacing w:val="-6"/>
        </w:rPr>
        <w:t> </w:t>
      </w:r>
      <w:r>
        <w:rPr/>
        <w:t>first</w:t>
      </w:r>
      <w:r>
        <w:rPr>
          <w:spacing w:val="-4"/>
        </w:rPr>
        <w:t> </w:t>
      </w:r>
      <w:r>
        <w:rPr/>
        <w:t>four</w:t>
      </w:r>
      <w:r>
        <w:rPr>
          <w:spacing w:val="-5"/>
        </w:rPr>
        <w:t> </w:t>
      </w:r>
      <w:r>
        <w:rPr/>
        <w:t>groups</w:t>
      </w:r>
      <w:r>
        <w:rPr>
          <w:spacing w:val="-6"/>
        </w:rPr>
        <w:t> </w:t>
      </w:r>
      <w:r>
        <w:rPr/>
        <w:t>if</w:t>
      </w:r>
      <w:r>
        <w:rPr>
          <w:spacing w:val="-5"/>
        </w:rPr>
        <w:t> </w:t>
      </w:r>
      <w:r>
        <w:rPr/>
        <w:t>it</w:t>
      </w:r>
      <w:r>
        <w:rPr>
          <w:spacing w:val="-3"/>
        </w:rPr>
        <w:t> </w:t>
      </w:r>
      <w:r>
        <w:rPr/>
        <w:t>was</w:t>
      </w:r>
      <w:r>
        <w:rPr>
          <w:spacing w:val="-5"/>
        </w:rPr>
        <w:t> </w:t>
      </w:r>
      <w:r>
        <w:rPr/>
        <w:t>clear that the concepts relevant to each group formed part of the Tribunal’s rationale for finding the least restrictive criterion either was met or not met. If, for example, the Tribunal reported that the patient’s legal representative had argued that the patient “understood” h/she was ill or needed treatment, but the Tribunal had not appeared to refer to the patient’s understanding as a relevant factor in its determination, then that decision was allocated to Group 5 not Group</w:t>
      </w:r>
      <w:r>
        <w:rPr>
          <w:spacing w:val="-16"/>
        </w:rPr>
        <w:t> </w:t>
      </w:r>
      <w:r>
        <w:rPr/>
        <w:t>2.</w:t>
      </w:r>
    </w:p>
    <w:p>
      <w:pPr>
        <w:pStyle w:val="BodyText"/>
        <w:spacing w:before="10"/>
        <w:rPr>
          <w:sz w:val="23"/>
        </w:rPr>
      </w:pPr>
    </w:p>
    <w:p>
      <w:pPr>
        <w:pStyle w:val="BodyText"/>
        <w:spacing w:before="1"/>
        <w:ind w:left="120" w:right="230"/>
        <w:jc w:val="both"/>
      </w:pPr>
      <w:r>
        <w:rPr/>
        <w:t>If</w:t>
      </w:r>
      <w:r>
        <w:rPr>
          <w:spacing w:val="-9"/>
        </w:rPr>
        <w:t> </w:t>
      </w:r>
      <w:r>
        <w:rPr/>
        <w:t>a</w:t>
      </w:r>
      <w:r>
        <w:rPr>
          <w:spacing w:val="-9"/>
        </w:rPr>
        <w:t> </w:t>
      </w:r>
      <w:r>
        <w:rPr/>
        <w:t>case</w:t>
      </w:r>
      <w:r>
        <w:rPr>
          <w:spacing w:val="-9"/>
        </w:rPr>
        <w:t> </w:t>
      </w:r>
      <w:r>
        <w:rPr/>
        <w:t>had</w:t>
      </w:r>
      <w:r>
        <w:rPr>
          <w:spacing w:val="-9"/>
        </w:rPr>
        <w:t> </w:t>
      </w:r>
      <w:r>
        <w:rPr/>
        <w:t>elements</w:t>
      </w:r>
      <w:r>
        <w:rPr>
          <w:spacing w:val="-9"/>
        </w:rPr>
        <w:t> </w:t>
      </w:r>
      <w:r>
        <w:rPr/>
        <w:t>that</w:t>
      </w:r>
      <w:r>
        <w:rPr>
          <w:spacing w:val="-9"/>
        </w:rPr>
        <w:t> </w:t>
      </w:r>
      <w:r>
        <w:rPr/>
        <w:t>would</w:t>
      </w:r>
      <w:r>
        <w:rPr>
          <w:spacing w:val="-10"/>
        </w:rPr>
        <w:t> </w:t>
      </w:r>
      <w:r>
        <w:rPr/>
        <w:t>allow</w:t>
      </w:r>
      <w:r>
        <w:rPr>
          <w:spacing w:val="-10"/>
        </w:rPr>
        <w:t> </w:t>
      </w:r>
      <w:r>
        <w:rPr/>
        <w:t>classification</w:t>
      </w:r>
      <w:r>
        <w:rPr>
          <w:spacing w:val="-9"/>
        </w:rPr>
        <w:t> </w:t>
      </w:r>
      <w:r>
        <w:rPr/>
        <w:t>into</w:t>
      </w:r>
      <w:r>
        <w:rPr>
          <w:spacing w:val="-9"/>
        </w:rPr>
        <w:t> </w:t>
      </w:r>
      <w:r>
        <w:rPr/>
        <w:t>more</w:t>
      </w:r>
      <w:r>
        <w:rPr>
          <w:spacing w:val="-9"/>
        </w:rPr>
        <w:t> </w:t>
      </w:r>
      <w:r>
        <w:rPr/>
        <w:t>than</w:t>
      </w:r>
      <w:r>
        <w:rPr>
          <w:spacing w:val="-9"/>
        </w:rPr>
        <w:t> </w:t>
      </w:r>
      <w:r>
        <w:rPr/>
        <w:t>one</w:t>
      </w:r>
      <w:r>
        <w:rPr>
          <w:spacing w:val="-11"/>
        </w:rPr>
        <w:t> </w:t>
      </w:r>
      <w:r>
        <w:rPr/>
        <w:t>of</w:t>
      </w:r>
      <w:r>
        <w:rPr>
          <w:spacing w:val="-9"/>
        </w:rPr>
        <w:t> </w:t>
      </w:r>
      <w:r>
        <w:rPr/>
        <w:t>the</w:t>
      </w:r>
      <w:r>
        <w:rPr>
          <w:spacing w:val="-9"/>
        </w:rPr>
        <w:t> </w:t>
      </w:r>
      <w:r>
        <w:rPr/>
        <w:t>groups above, it was allocated to the group of the smallest number. So, for example, if a statement referred to both a patient’s “understanding” and the importance of respecting autonomy, it was assigned to Group 2 rather than</w:t>
      </w:r>
      <w:r>
        <w:rPr>
          <w:spacing w:val="-20"/>
        </w:rPr>
        <w:t> </w:t>
      </w:r>
      <w:r>
        <w:rPr/>
        <w:t>4.</w:t>
      </w:r>
    </w:p>
    <w:p>
      <w:pPr>
        <w:pStyle w:val="BodyText"/>
        <w:spacing w:before="11"/>
        <w:rPr>
          <w:sz w:val="23"/>
        </w:rPr>
      </w:pPr>
    </w:p>
    <w:p>
      <w:pPr>
        <w:pStyle w:val="BodyText"/>
        <w:ind w:left="120" w:right="229"/>
        <w:jc w:val="both"/>
      </w:pPr>
      <w:r>
        <w:rPr/>
        <w:t>When a Tribunal returned a split decision, as it did in eight of the cases,</w:t>
      </w:r>
      <w:hyperlink w:history="true" w:anchor="_bookmark32">
        <w:r>
          <w:rPr>
            <w:position w:val="8"/>
            <w:sz w:val="16"/>
          </w:rPr>
          <w:t>33 </w:t>
        </w:r>
      </w:hyperlink>
      <w:r>
        <w:rPr/>
        <w:t>only the reasoning</w:t>
      </w:r>
      <w:r>
        <w:rPr>
          <w:spacing w:val="-12"/>
        </w:rPr>
        <w:t> </w:t>
      </w:r>
      <w:r>
        <w:rPr/>
        <w:t>of</w:t>
      </w:r>
      <w:r>
        <w:rPr>
          <w:spacing w:val="-12"/>
        </w:rPr>
        <w:t> </w:t>
      </w:r>
      <w:r>
        <w:rPr/>
        <w:t>the</w:t>
      </w:r>
      <w:r>
        <w:rPr>
          <w:spacing w:val="-14"/>
        </w:rPr>
        <w:t> </w:t>
      </w:r>
      <w:r>
        <w:rPr/>
        <w:t>majority</w:t>
      </w:r>
      <w:r>
        <w:rPr>
          <w:spacing w:val="-12"/>
        </w:rPr>
        <w:t> </w:t>
      </w:r>
      <w:r>
        <w:rPr/>
        <w:t>was</w:t>
      </w:r>
      <w:r>
        <w:rPr>
          <w:spacing w:val="-13"/>
        </w:rPr>
        <w:t> </w:t>
      </w:r>
      <w:r>
        <w:rPr/>
        <w:t>taken</w:t>
      </w:r>
      <w:r>
        <w:rPr>
          <w:spacing w:val="-12"/>
        </w:rPr>
        <w:t> </w:t>
      </w:r>
      <w:r>
        <w:rPr/>
        <w:t>into</w:t>
      </w:r>
      <w:r>
        <w:rPr>
          <w:spacing w:val="-13"/>
        </w:rPr>
        <w:t> </w:t>
      </w:r>
      <w:r>
        <w:rPr/>
        <w:t>account.</w:t>
      </w:r>
      <w:r>
        <w:rPr>
          <w:spacing w:val="-12"/>
        </w:rPr>
        <w:t> </w:t>
      </w:r>
      <w:r>
        <w:rPr/>
        <w:t>The</w:t>
      </w:r>
      <w:r>
        <w:rPr>
          <w:spacing w:val="-13"/>
        </w:rPr>
        <w:t> </w:t>
      </w:r>
      <w:r>
        <w:rPr/>
        <w:t>percentage</w:t>
      </w:r>
      <w:r>
        <w:rPr>
          <w:spacing w:val="-13"/>
        </w:rPr>
        <w:t> </w:t>
      </w:r>
      <w:r>
        <w:rPr/>
        <w:t>of</w:t>
      </w:r>
      <w:r>
        <w:rPr>
          <w:spacing w:val="-13"/>
        </w:rPr>
        <w:t> </w:t>
      </w:r>
      <w:r>
        <w:rPr/>
        <w:t>times</w:t>
      </w:r>
      <w:r>
        <w:rPr>
          <w:spacing w:val="-13"/>
        </w:rPr>
        <w:t> </w:t>
      </w:r>
      <w:r>
        <w:rPr/>
        <w:t>the</w:t>
      </w:r>
      <w:r>
        <w:rPr>
          <w:spacing w:val="-15"/>
        </w:rPr>
        <w:t> </w:t>
      </w:r>
      <w:r>
        <w:rPr/>
        <w:t>Tribunal found that the least restrictive criterion was met and not met was reported for each group.</w:t>
      </w:r>
    </w:p>
    <w:p>
      <w:pPr>
        <w:pStyle w:val="BodyText"/>
        <w:spacing w:before="10"/>
        <w:rPr>
          <w:sz w:val="23"/>
        </w:rPr>
      </w:pPr>
    </w:p>
    <w:p>
      <w:pPr>
        <w:pStyle w:val="BodyText"/>
        <w:spacing w:before="1"/>
        <w:ind w:left="120"/>
        <w:jc w:val="both"/>
      </w:pPr>
      <w:r>
        <w:rPr>
          <w:u w:val="single"/>
        </w:rPr>
        <w:t>Results</w:t>
      </w:r>
    </w:p>
    <w:p>
      <w:pPr>
        <w:pStyle w:val="BodyText"/>
        <w:spacing w:before="2"/>
      </w:pPr>
    </w:p>
    <w:p>
      <w:pPr>
        <w:pStyle w:val="Heading1"/>
        <w:spacing w:line="230" w:lineRule="auto"/>
        <w:ind w:right="230"/>
      </w:pPr>
      <w:r>
        <w:rPr/>
        <w:t>Cases</w:t>
      </w:r>
      <w:r>
        <w:rPr>
          <w:spacing w:val="-12"/>
        </w:rPr>
        <w:t> </w:t>
      </w:r>
      <w:r>
        <w:rPr/>
        <w:t>in</w:t>
      </w:r>
      <w:r>
        <w:rPr>
          <w:spacing w:val="-12"/>
        </w:rPr>
        <w:t> </w:t>
      </w:r>
      <w:r>
        <w:rPr/>
        <w:t>Groups</w:t>
      </w:r>
      <w:r>
        <w:rPr>
          <w:spacing w:val="-13"/>
        </w:rPr>
        <w:t> </w:t>
      </w:r>
      <w:r>
        <w:rPr/>
        <w:t>1</w:t>
      </w:r>
      <w:r>
        <w:rPr>
          <w:spacing w:val="-12"/>
        </w:rPr>
        <w:t> </w:t>
      </w:r>
      <w:r>
        <w:rPr/>
        <w:t>and</w:t>
      </w:r>
      <w:r>
        <w:rPr>
          <w:spacing w:val="-12"/>
        </w:rPr>
        <w:t> </w:t>
      </w:r>
      <w:r>
        <w:rPr/>
        <w:t>2</w:t>
      </w:r>
      <w:r>
        <w:rPr>
          <w:spacing w:val="-13"/>
        </w:rPr>
        <w:t> </w:t>
      </w:r>
      <w:r>
        <w:rPr/>
        <w:t>in</w:t>
      </w:r>
      <w:r>
        <w:rPr>
          <w:spacing w:val="-12"/>
        </w:rPr>
        <w:t> </w:t>
      </w:r>
      <w:r>
        <w:rPr/>
        <w:t>which</w:t>
      </w:r>
      <w:r>
        <w:rPr>
          <w:spacing w:val="-12"/>
        </w:rPr>
        <w:t> </w:t>
      </w:r>
      <w:r>
        <w:rPr/>
        <w:t>it</w:t>
      </w:r>
      <w:r>
        <w:rPr>
          <w:spacing w:val="-12"/>
        </w:rPr>
        <w:t> </w:t>
      </w:r>
      <w:r>
        <w:rPr/>
        <w:t>is</w:t>
      </w:r>
      <w:r>
        <w:rPr>
          <w:spacing w:val="-12"/>
        </w:rPr>
        <w:t> </w:t>
      </w:r>
      <w:r>
        <w:rPr/>
        <w:t>clear</w:t>
      </w:r>
      <w:r>
        <w:rPr>
          <w:spacing w:val="-12"/>
        </w:rPr>
        <w:t> </w:t>
      </w:r>
      <w:r>
        <w:rPr/>
        <w:t>the</w:t>
      </w:r>
      <w:r>
        <w:rPr>
          <w:spacing w:val="-13"/>
        </w:rPr>
        <w:t> </w:t>
      </w:r>
      <w:r>
        <w:rPr/>
        <w:t>Tribunal</w:t>
      </w:r>
      <w:r>
        <w:rPr>
          <w:spacing w:val="-12"/>
        </w:rPr>
        <w:t> </w:t>
      </w:r>
      <w:r>
        <w:rPr/>
        <w:t>considered</w:t>
      </w:r>
      <w:r>
        <w:rPr>
          <w:spacing w:val="-12"/>
        </w:rPr>
        <w:t> </w:t>
      </w:r>
      <w:r>
        <w:rPr/>
        <w:t>decision-making capacity</w:t>
      </w:r>
    </w:p>
    <w:p>
      <w:pPr>
        <w:pStyle w:val="BodyText"/>
        <w:spacing w:before="8"/>
        <w:rPr>
          <w:i/>
          <w:sz w:val="23"/>
        </w:rPr>
      </w:pPr>
    </w:p>
    <w:p>
      <w:pPr>
        <w:pStyle w:val="BodyText"/>
        <w:ind w:left="120" w:right="229"/>
        <w:jc w:val="both"/>
      </w:pPr>
      <w:r>
        <w:rPr/>
        <w:t>The presence or absence of the patient’s decision-making capacity was explicitly documented as a factor in the Tribunal’s determination of whether the least restrictive criterion</w:t>
      </w:r>
      <w:r>
        <w:rPr>
          <w:spacing w:val="-9"/>
        </w:rPr>
        <w:t> </w:t>
      </w:r>
      <w:r>
        <w:rPr/>
        <w:t>had</w:t>
      </w:r>
      <w:r>
        <w:rPr>
          <w:spacing w:val="-7"/>
        </w:rPr>
        <w:t> </w:t>
      </w:r>
      <w:r>
        <w:rPr/>
        <w:t>been</w:t>
      </w:r>
      <w:r>
        <w:rPr>
          <w:spacing w:val="-9"/>
        </w:rPr>
        <w:t> </w:t>
      </w:r>
      <w:r>
        <w:rPr/>
        <w:t>met</w:t>
      </w:r>
      <w:r>
        <w:rPr>
          <w:spacing w:val="-8"/>
        </w:rPr>
        <w:t> </w:t>
      </w:r>
      <w:r>
        <w:rPr/>
        <w:t>in</w:t>
      </w:r>
      <w:r>
        <w:rPr>
          <w:spacing w:val="-9"/>
        </w:rPr>
        <w:t> </w:t>
      </w:r>
      <w:r>
        <w:rPr/>
        <w:t>only</w:t>
      </w:r>
      <w:r>
        <w:rPr>
          <w:spacing w:val="-7"/>
        </w:rPr>
        <w:t> </w:t>
      </w:r>
      <w:r>
        <w:rPr/>
        <w:t>3</w:t>
      </w:r>
      <w:r>
        <w:rPr>
          <w:spacing w:val="-9"/>
        </w:rPr>
        <w:t> </w:t>
      </w:r>
      <w:r>
        <w:rPr/>
        <w:t>of</w:t>
      </w:r>
      <w:r>
        <w:rPr>
          <w:spacing w:val="-7"/>
        </w:rPr>
        <w:t> </w:t>
      </w:r>
      <w:r>
        <w:rPr/>
        <w:t>the</w:t>
      </w:r>
      <w:r>
        <w:rPr>
          <w:spacing w:val="-8"/>
        </w:rPr>
        <w:t> </w:t>
      </w:r>
      <w:r>
        <w:rPr/>
        <w:t>206</w:t>
      </w:r>
      <w:r>
        <w:rPr>
          <w:spacing w:val="-8"/>
        </w:rPr>
        <w:t> </w:t>
      </w:r>
      <w:r>
        <w:rPr/>
        <w:t>cases.</w:t>
      </w:r>
      <w:r>
        <w:rPr>
          <w:spacing w:val="-7"/>
        </w:rPr>
        <w:t> </w:t>
      </w:r>
      <w:r>
        <w:rPr/>
        <w:t>In</w:t>
      </w:r>
      <w:r>
        <w:rPr>
          <w:spacing w:val="-7"/>
        </w:rPr>
        <w:t> </w:t>
      </w:r>
      <w:r>
        <w:rPr/>
        <w:t>the</w:t>
      </w:r>
      <w:r>
        <w:rPr>
          <w:spacing w:val="-8"/>
        </w:rPr>
        <w:t> </w:t>
      </w:r>
      <w:r>
        <w:rPr/>
        <w:t>first</w:t>
      </w:r>
      <w:r>
        <w:rPr>
          <w:spacing w:val="-8"/>
        </w:rPr>
        <w:t> </w:t>
      </w:r>
      <w:r>
        <w:rPr/>
        <w:t>of</w:t>
      </w:r>
      <w:r>
        <w:rPr>
          <w:spacing w:val="-7"/>
        </w:rPr>
        <w:t> </w:t>
      </w:r>
      <w:r>
        <w:rPr/>
        <w:t>these</w:t>
      </w:r>
      <w:r>
        <w:rPr>
          <w:spacing w:val="-8"/>
        </w:rPr>
        <w:t> </w:t>
      </w:r>
      <w:r>
        <w:rPr/>
        <w:t>Group</w:t>
      </w:r>
      <w:r>
        <w:rPr>
          <w:spacing w:val="-9"/>
        </w:rPr>
        <w:t> </w:t>
      </w:r>
      <w:r>
        <w:rPr/>
        <w:t>1</w:t>
      </w:r>
      <w:r>
        <w:rPr>
          <w:spacing w:val="-8"/>
        </w:rPr>
        <w:t> </w:t>
      </w:r>
      <w:r>
        <w:rPr/>
        <w:t>cases,</w:t>
      </w:r>
      <w:hyperlink w:history="true" w:anchor="_bookmark33">
        <w:r>
          <w:rPr>
            <w:position w:val="8"/>
            <w:sz w:val="16"/>
          </w:rPr>
          <w:t>34</w:t>
        </w:r>
      </w:hyperlink>
      <w:r>
        <w:rPr>
          <w:position w:val="8"/>
          <w:sz w:val="16"/>
        </w:rPr>
        <w:t> </w:t>
      </w:r>
      <w:r>
        <w:rPr/>
        <w:t>the</w:t>
      </w:r>
      <w:r>
        <w:rPr>
          <w:spacing w:val="-5"/>
        </w:rPr>
        <w:t> </w:t>
      </w:r>
      <w:r>
        <w:rPr/>
        <w:t>Tribunal</w:t>
      </w:r>
      <w:r>
        <w:rPr>
          <w:spacing w:val="-5"/>
        </w:rPr>
        <w:t> </w:t>
      </w:r>
      <w:r>
        <w:rPr/>
        <w:t>found</w:t>
      </w:r>
      <w:r>
        <w:rPr>
          <w:spacing w:val="-5"/>
        </w:rPr>
        <w:t> </w:t>
      </w:r>
      <w:r>
        <w:rPr/>
        <w:t>the</w:t>
      </w:r>
      <w:r>
        <w:rPr>
          <w:spacing w:val="-7"/>
        </w:rPr>
        <w:t> </w:t>
      </w:r>
      <w:r>
        <w:rPr/>
        <w:t>patient’s</w:t>
      </w:r>
      <w:r>
        <w:rPr>
          <w:spacing w:val="-6"/>
        </w:rPr>
        <w:t> </w:t>
      </w:r>
      <w:r>
        <w:rPr/>
        <w:t>“ability</w:t>
      </w:r>
      <w:r>
        <w:rPr>
          <w:spacing w:val="-5"/>
        </w:rPr>
        <w:t> </w:t>
      </w:r>
      <w:r>
        <w:rPr/>
        <w:t>to</w:t>
      </w:r>
      <w:r>
        <w:rPr>
          <w:spacing w:val="-5"/>
        </w:rPr>
        <w:t> </w:t>
      </w:r>
      <w:r>
        <w:rPr/>
        <w:t>make</w:t>
      </w:r>
      <w:r>
        <w:rPr>
          <w:spacing w:val="-6"/>
        </w:rPr>
        <w:t> </w:t>
      </w:r>
      <w:r>
        <w:rPr/>
        <w:t>treatment</w:t>
      </w:r>
      <w:r>
        <w:rPr>
          <w:spacing w:val="-5"/>
        </w:rPr>
        <w:t> </w:t>
      </w:r>
      <w:r>
        <w:rPr/>
        <w:t>decisions</w:t>
      </w:r>
      <w:r>
        <w:rPr>
          <w:spacing w:val="-6"/>
        </w:rPr>
        <w:t> </w:t>
      </w:r>
      <w:r>
        <w:rPr/>
        <w:t>was</w:t>
      </w:r>
      <w:r>
        <w:rPr>
          <w:spacing w:val="-6"/>
        </w:rPr>
        <w:t> </w:t>
      </w:r>
      <w:r>
        <w:rPr/>
        <w:t>impaired</w:t>
      </w:r>
      <w:r>
        <w:rPr>
          <w:spacing w:val="-5"/>
        </w:rPr>
        <w:t> </w:t>
      </w:r>
      <w:r>
        <w:rPr/>
        <w:t>due the</w:t>
      </w:r>
      <w:r>
        <w:rPr>
          <w:spacing w:val="-6"/>
        </w:rPr>
        <w:t> </w:t>
      </w:r>
      <w:r>
        <w:rPr/>
        <w:t>severity</w:t>
      </w:r>
      <w:r>
        <w:rPr>
          <w:spacing w:val="-5"/>
        </w:rPr>
        <w:t> </w:t>
      </w:r>
      <w:r>
        <w:rPr/>
        <w:t>of</w:t>
      </w:r>
      <w:r>
        <w:rPr>
          <w:spacing w:val="-6"/>
        </w:rPr>
        <w:t> </w:t>
      </w:r>
      <w:r>
        <w:rPr/>
        <w:t>her</w:t>
      </w:r>
      <w:r>
        <w:rPr>
          <w:spacing w:val="-5"/>
        </w:rPr>
        <w:t> </w:t>
      </w:r>
      <w:r>
        <w:rPr/>
        <w:t>mental</w:t>
      </w:r>
      <w:r>
        <w:rPr>
          <w:spacing w:val="-6"/>
        </w:rPr>
        <w:t> </w:t>
      </w:r>
      <w:r>
        <w:rPr/>
        <w:t>illness”</w:t>
      </w:r>
      <w:r>
        <w:rPr>
          <w:spacing w:val="-6"/>
        </w:rPr>
        <w:t> </w:t>
      </w:r>
      <w:r>
        <w:rPr/>
        <w:t>and</w:t>
      </w:r>
      <w:r>
        <w:rPr>
          <w:spacing w:val="-6"/>
        </w:rPr>
        <w:t> </w:t>
      </w:r>
      <w:r>
        <w:rPr/>
        <w:t>related</w:t>
      </w:r>
      <w:r>
        <w:rPr>
          <w:spacing w:val="-5"/>
        </w:rPr>
        <w:t> </w:t>
      </w:r>
      <w:r>
        <w:rPr/>
        <w:t>to</w:t>
      </w:r>
      <w:r>
        <w:rPr>
          <w:spacing w:val="-6"/>
        </w:rPr>
        <w:t> </w:t>
      </w:r>
      <w:r>
        <w:rPr/>
        <w:t>this,</w:t>
      </w:r>
      <w:r>
        <w:rPr>
          <w:spacing w:val="-5"/>
        </w:rPr>
        <w:t> </w:t>
      </w:r>
      <w:r>
        <w:rPr/>
        <w:t>reasoned</w:t>
      </w:r>
      <w:r>
        <w:rPr>
          <w:spacing w:val="-5"/>
        </w:rPr>
        <w:t> </w:t>
      </w:r>
      <w:r>
        <w:rPr/>
        <w:t>she</w:t>
      </w:r>
      <w:r>
        <w:rPr>
          <w:spacing w:val="-7"/>
        </w:rPr>
        <w:t> </w:t>
      </w:r>
      <w:r>
        <w:rPr/>
        <w:t>“would</w:t>
      </w:r>
      <w:r>
        <w:rPr>
          <w:spacing w:val="-6"/>
        </w:rPr>
        <w:t> </w:t>
      </w:r>
      <w:r>
        <w:rPr/>
        <w:t>not</w:t>
      </w:r>
      <w:r>
        <w:rPr>
          <w:spacing w:val="-6"/>
        </w:rPr>
        <w:t> </w:t>
      </w:r>
      <w:r>
        <w:rPr/>
        <w:t>be</w:t>
      </w:r>
      <w:r>
        <w:rPr>
          <w:spacing w:val="-6"/>
        </w:rPr>
        <w:t> </w:t>
      </w:r>
      <w:r>
        <w:rPr/>
        <w:t>able to receive immediate treatment in a less restrictive manner and that compulsory treatment was</w:t>
      </w:r>
      <w:r>
        <w:rPr>
          <w:spacing w:val="-12"/>
        </w:rPr>
        <w:t> </w:t>
      </w:r>
      <w:r>
        <w:rPr/>
        <w:t>required”.</w:t>
      </w:r>
    </w:p>
    <w:p>
      <w:pPr>
        <w:pStyle w:val="BodyText"/>
        <w:spacing w:before="11"/>
        <w:rPr>
          <w:sz w:val="23"/>
        </w:rPr>
      </w:pPr>
    </w:p>
    <w:p>
      <w:pPr>
        <w:pStyle w:val="BodyText"/>
        <w:ind w:left="120"/>
        <w:jc w:val="both"/>
      </w:pPr>
      <w:r>
        <w:rPr/>
        <w:t>In the second, the patient’s legal representative submitted that the patient could be</w:t>
      </w:r>
    </w:p>
    <w:p>
      <w:pPr>
        <w:pStyle w:val="BodyText"/>
        <w:rPr>
          <w:sz w:val="20"/>
        </w:rPr>
      </w:pPr>
    </w:p>
    <w:p>
      <w:pPr>
        <w:pStyle w:val="BodyText"/>
        <w:rPr>
          <w:sz w:val="20"/>
        </w:rPr>
      </w:pPr>
    </w:p>
    <w:p>
      <w:pPr>
        <w:pStyle w:val="BodyText"/>
        <w:spacing w:before="9"/>
        <w:rPr>
          <w:sz w:val="10"/>
        </w:rPr>
      </w:pPr>
      <w:r>
        <w:rPr/>
        <w:pict>
          <v:line style="position:absolute;mso-position-horizontal-relative:page;mso-position-vertical-relative:paragraph;z-index:1240;mso-wrap-distance-left:0;mso-wrap-distance-right:0" from="67.019997pt,8.715996pt" to="211.019997pt,8.715996pt" stroked="true" strokeweight=".54pt" strokecolor="#000000">
            <v:stroke dashstyle="solid"/>
            <w10:wrap type="topAndBottom"/>
          </v:line>
        </w:pict>
      </w:r>
    </w:p>
    <w:p>
      <w:pPr>
        <w:spacing w:line="247" w:lineRule="exact" w:before="54"/>
        <w:ind w:left="120" w:right="0" w:firstLine="0"/>
        <w:jc w:val="left"/>
        <w:rPr>
          <w:i/>
          <w:sz w:val="21"/>
        </w:rPr>
      </w:pPr>
      <w:bookmarkStart w:name="_bookmark32" w:id="34"/>
      <w:bookmarkEnd w:id="34"/>
      <w:r>
        <w:rPr/>
      </w:r>
      <w:r>
        <w:rPr>
          <w:position w:val="7"/>
          <w:sz w:val="13"/>
        </w:rPr>
        <w:t>33 </w:t>
      </w:r>
      <w:r>
        <w:rPr>
          <w:i/>
          <w:sz w:val="21"/>
        </w:rPr>
        <w:t>WMJ  </w:t>
      </w:r>
      <w:r>
        <w:rPr>
          <w:sz w:val="20"/>
        </w:rPr>
        <w:t>[2015] VMHT 17; </w:t>
      </w:r>
      <w:r>
        <w:rPr>
          <w:i/>
          <w:sz w:val="21"/>
        </w:rPr>
        <w:t>TMR </w:t>
      </w:r>
      <w:r>
        <w:rPr>
          <w:sz w:val="20"/>
        </w:rPr>
        <w:t>[2015] VMHT 22; </w:t>
      </w:r>
      <w:r>
        <w:rPr>
          <w:i/>
          <w:sz w:val="21"/>
        </w:rPr>
        <w:t>WRH  </w:t>
      </w:r>
      <w:r>
        <w:rPr>
          <w:sz w:val="20"/>
        </w:rPr>
        <w:t>[2015] VMHT 27; </w:t>
      </w:r>
      <w:r>
        <w:rPr>
          <w:i/>
          <w:sz w:val="21"/>
        </w:rPr>
        <w:t>YPQ </w:t>
      </w:r>
      <w:r>
        <w:rPr>
          <w:sz w:val="20"/>
        </w:rPr>
        <w:t>[2015] VMHT 105;  </w:t>
      </w:r>
      <w:r>
        <w:rPr>
          <w:i/>
          <w:sz w:val="21"/>
        </w:rPr>
        <w:t>VTK</w:t>
      </w:r>
    </w:p>
    <w:p>
      <w:pPr>
        <w:spacing w:line="241" w:lineRule="exact" w:before="0"/>
        <w:ind w:left="347" w:right="0" w:firstLine="0"/>
        <w:jc w:val="left"/>
        <w:rPr>
          <w:sz w:val="20"/>
        </w:rPr>
      </w:pPr>
      <w:r>
        <w:rPr>
          <w:sz w:val="20"/>
        </w:rPr>
        <w:t>[2015] VMHT 111; </w:t>
      </w:r>
      <w:r>
        <w:rPr>
          <w:i/>
          <w:sz w:val="21"/>
        </w:rPr>
        <w:t>OED </w:t>
      </w:r>
      <w:r>
        <w:rPr>
          <w:sz w:val="20"/>
        </w:rPr>
        <w:t>[2015] VMHT 121; </w:t>
      </w:r>
      <w:r>
        <w:rPr>
          <w:i/>
          <w:sz w:val="21"/>
        </w:rPr>
        <w:t>STU </w:t>
      </w:r>
      <w:r>
        <w:rPr>
          <w:sz w:val="20"/>
        </w:rPr>
        <w:t>[2015] VMHT 197; </w:t>
      </w:r>
      <w:r>
        <w:rPr>
          <w:i/>
          <w:sz w:val="21"/>
        </w:rPr>
        <w:t>NYN </w:t>
      </w:r>
      <w:r>
        <w:rPr>
          <w:sz w:val="20"/>
        </w:rPr>
        <w:t>[2016] VMHT  45.</w:t>
      </w:r>
    </w:p>
    <w:p>
      <w:pPr>
        <w:spacing w:line="247" w:lineRule="exact" w:before="0"/>
        <w:ind w:left="120" w:right="0" w:firstLine="0"/>
        <w:jc w:val="left"/>
        <w:rPr>
          <w:sz w:val="20"/>
        </w:rPr>
      </w:pPr>
      <w:bookmarkStart w:name="_bookmark33" w:id="35"/>
      <w:bookmarkEnd w:id="35"/>
      <w:r>
        <w:rPr/>
      </w:r>
      <w:r>
        <w:rPr>
          <w:position w:val="7"/>
          <w:sz w:val="13"/>
        </w:rPr>
        <w:t>34 </w:t>
      </w:r>
      <w:r>
        <w:rPr>
          <w:i/>
          <w:sz w:val="21"/>
        </w:rPr>
        <w:t>WRH  </w:t>
      </w:r>
      <w:r>
        <w:rPr>
          <w:sz w:val="20"/>
        </w:rPr>
        <w:t>[2015] VMHT 27.</w:t>
      </w:r>
    </w:p>
    <w:p>
      <w:pPr>
        <w:spacing w:after="0" w:line="247" w:lineRule="exact"/>
        <w:jc w:val="left"/>
        <w:rPr>
          <w:sz w:val="20"/>
        </w:rPr>
        <w:sectPr>
          <w:pgSz w:w="11910" w:h="16840"/>
          <w:pgMar w:header="763" w:footer="1025" w:top="980" w:bottom="1220" w:left="1220" w:right="1200"/>
        </w:sectPr>
      </w:pPr>
    </w:p>
    <w:p>
      <w:pPr>
        <w:pStyle w:val="BodyText"/>
        <w:spacing w:before="4"/>
        <w:rPr>
          <w:sz w:val="21"/>
        </w:rPr>
      </w:pPr>
    </w:p>
    <w:p>
      <w:pPr>
        <w:pStyle w:val="BodyText"/>
        <w:spacing w:before="100"/>
        <w:ind w:left="120" w:right="111"/>
        <w:jc w:val="both"/>
      </w:pPr>
      <w:r>
        <w:rPr/>
        <w:t>treated</w:t>
      </w:r>
      <w:r>
        <w:rPr>
          <w:spacing w:val="-7"/>
        </w:rPr>
        <w:t> </w:t>
      </w:r>
      <w:r>
        <w:rPr/>
        <w:t>voluntarily</w:t>
      </w:r>
      <w:r>
        <w:rPr>
          <w:spacing w:val="-9"/>
        </w:rPr>
        <w:t> </w:t>
      </w:r>
      <w:r>
        <w:rPr/>
        <w:t>because</w:t>
      </w:r>
      <w:r>
        <w:rPr>
          <w:spacing w:val="-8"/>
        </w:rPr>
        <w:t> </w:t>
      </w:r>
      <w:r>
        <w:rPr/>
        <w:t>she</w:t>
      </w:r>
      <w:r>
        <w:rPr>
          <w:spacing w:val="-8"/>
        </w:rPr>
        <w:t> </w:t>
      </w:r>
      <w:r>
        <w:rPr/>
        <w:t>was</w:t>
      </w:r>
      <w:r>
        <w:rPr>
          <w:spacing w:val="-8"/>
        </w:rPr>
        <w:t> </w:t>
      </w:r>
      <w:r>
        <w:rPr/>
        <w:t>consenting</w:t>
      </w:r>
      <w:r>
        <w:rPr>
          <w:spacing w:val="-9"/>
        </w:rPr>
        <w:t> </w:t>
      </w:r>
      <w:r>
        <w:rPr/>
        <w:t>to</w:t>
      </w:r>
      <w:r>
        <w:rPr>
          <w:spacing w:val="-9"/>
        </w:rPr>
        <w:t> </w:t>
      </w:r>
      <w:r>
        <w:rPr/>
        <w:t>treatment.</w:t>
      </w:r>
      <w:hyperlink w:history="true" w:anchor="_bookmark34">
        <w:r>
          <w:rPr>
            <w:position w:val="8"/>
            <w:sz w:val="16"/>
          </w:rPr>
          <w:t>35</w:t>
        </w:r>
        <w:r>
          <w:rPr>
            <w:spacing w:val="-6"/>
            <w:position w:val="8"/>
            <w:sz w:val="16"/>
          </w:rPr>
          <w:t> </w:t>
        </w:r>
      </w:hyperlink>
      <w:r>
        <w:rPr/>
        <w:t>However,</w:t>
      </w:r>
      <w:r>
        <w:rPr>
          <w:spacing w:val="-7"/>
        </w:rPr>
        <w:t> </w:t>
      </w:r>
      <w:r>
        <w:rPr/>
        <w:t>the</w:t>
      </w:r>
      <w:r>
        <w:rPr>
          <w:spacing w:val="-9"/>
        </w:rPr>
        <w:t> </w:t>
      </w:r>
      <w:r>
        <w:rPr/>
        <w:t>“Tribunal was not satisfied that the patient was able to sustain consent” and in its view the patient’s “understanding of her illness and her acceptance of treatment were not sufficiently consistent for her to agree to</w:t>
      </w:r>
      <w:r>
        <w:rPr>
          <w:spacing w:val="-23"/>
        </w:rPr>
        <w:t> </w:t>
      </w:r>
      <w:r>
        <w:rPr/>
        <w:t>treatment.”</w:t>
      </w:r>
    </w:p>
    <w:p>
      <w:pPr>
        <w:pStyle w:val="BodyText"/>
        <w:spacing w:before="11"/>
        <w:rPr>
          <w:sz w:val="23"/>
        </w:rPr>
      </w:pPr>
    </w:p>
    <w:p>
      <w:pPr>
        <w:pStyle w:val="BodyText"/>
        <w:spacing w:before="1"/>
        <w:ind w:left="120" w:right="108"/>
        <w:jc w:val="both"/>
      </w:pPr>
      <w:r>
        <w:rPr/>
        <w:t>In</w:t>
      </w:r>
      <w:r>
        <w:rPr>
          <w:spacing w:val="-12"/>
        </w:rPr>
        <w:t> </w:t>
      </w:r>
      <w:r>
        <w:rPr/>
        <w:t>the</w:t>
      </w:r>
      <w:r>
        <w:rPr>
          <w:spacing w:val="-13"/>
        </w:rPr>
        <w:t> </w:t>
      </w:r>
      <w:r>
        <w:rPr/>
        <w:t>third</w:t>
      </w:r>
      <w:r>
        <w:rPr>
          <w:spacing w:val="-12"/>
        </w:rPr>
        <w:t> </w:t>
      </w:r>
      <w:r>
        <w:rPr/>
        <w:t>case,</w:t>
      </w:r>
      <w:hyperlink w:history="true" w:anchor="_bookmark35">
        <w:r>
          <w:rPr>
            <w:position w:val="8"/>
            <w:sz w:val="16"/>
          </w:rPr>
          <w:t>36</w:t>
        </w:r>
        <w:r>
          <w:rPr>
            <w:spacing w:val="-7"/>
            <w:position w:val="8"/>
            <w:sz w:val="16"/>
          </w:rPr>
          <w:t> </w:t>
        </w:r>
      </w:hyperlink>
      <w:r>
        <w:rPr/>
        <w:t>the</w:t>
      </w:r>
      <w:r>
        <w:rPr>
          <w:spacing w:val="-13"/>
        </w:rPr>
        <w:t> </w:t>
      </w:r>
      <w:r>
        <w:rPr/>
        <w:t>Tribunal</w:t>
      </w:r>
      <w:r>
        <w:rPr>
          <w:spacing w:val="-12"/>
        </w:rPr>
        <w:t> </w:t>
      </w:r>
      <w:r>
        <w:rPr/>
        <w:t>focused</w:t>
      </w:r>
      <w:r>
        <w:rPr>
          <w:spacing w:val="-11"/>
        </w:rPr>
        <w:t> </w:t>
      </w:r>
      <w:r>
        <w:rPr/>
        <w:t>particularly</w:t>
      </w:r>
      <w:r>
        <w:rPr>
          <w:spacing w:val="-12"/>
        </w:rPr>
        <w:t> </w:t>
      </w:r>
      <w:r>
        <w:rPr/>
        <w:t>on</w:t>
      </w:r>
      <w:r>
        <w:rPr>
          <w:spacing w:val="-11"/>
        </w:rPr>
        <w:t> </w:t>
      </w:r>
      <w:r>
        <w:rPr/>
        <w:t>the</w:t>
      </w:r>
      <w:r>
        <w:rPr>
          <w:spacing w:val="-12"/>
        </w:rPr>
        <w:t> </w:t>
      </w:r>
      <w:r>
        <w:rPr/>
        <w:t>competence</w:t>
      </w:r>
      <w:r>
        <w:rPr>
          <w:spacing w:val="-12"/>
        </w:rPr>
        <w:t> </w:t>
      </w:r>
      <w:r>
        <w:rPr/>
        <w:t>of</w:t>
      </w:r>
      <w:r>
        <w:rPr>
          <w:spacing w:val="-12"/>
        </w:rPr>
        <w:t> </w:t>
      </w:r>
      <w:r>
        <w:rPr/>
        <w:t>the</w:t>
      </w:r>
      <w:r>
        <w:rPr>
          <w:spacing w:val="-13"/>
        </w:rPr>
        <w:t> </w:t>
      </w:r>
      <w:r>
        <w:rPr/>
        <w:t>patient’s desire to go overseas for treatment and listed a number of factors relevant to its least restrictive criterion determination that included: his being still unwell and “not in a fit condition</w:t>
      </w:r>
      <w:r>
        <w:rPr>
          <w:spacing w:val="-15"/>
        </w:rPr>
        <w:t> </w:t>
      </w:r>
      <w:r>
        <w:rPr/>
        <w:t>to</w:t>
      </w:r>
      <w:r>
        <w:rPr>
          <w:spacing w:val="-15"/>
        </w:rPr>
        <w:t> </w:t>
      </w:r>
      <w:r>
        <w:rPr/>
        <w:t>make</w:t>
      </w:r>
      <w:r>
        <w:rPr>
          <w:spacing w:val="-17"/>
        </w:rPr>
        <w:t> </w:t>
      </w:r>
      <w:r>
        <w:rPr/>
        <w:t>his</w:t>
      </w:r>
      <w:r>
        <w:rPr>
          <w:spacing w:val="-17"/>
        </w:rPr>
        <w:t> </w:t>
      </w:r>
      <w:r>
        <w:rPr/>
        <w:t>own</w:t>
      </w:r>
      <w:r>
        <w:rPr>
          <w:spacing w:val="-15"/>
        </w:rPr>
        <w:t> </w:t>
      </w:r>
      <w:r>
        <w:rPr/>
        <w:t>considered</w:t>
      </w:r>
      <w:r>
        <w:rPr>
          <w:spacing w:val="-15"/>
        </w:rPr>
        <w:t> </w:t>
      </w:r>
      <w:r>
        <w:rPr/>
        <w:t>decision”</w:t>
      </w:r>
      <w:r>
        <w:rPr>
          <w:spacing w:val="-15"/>
        </w:rPr>
        <w:t> </w:t>
      </w:r>
      <w:r>
        <w:rPr/>
        <w:t>on</w:t>
      </w:r>
      <w:r>
        <w:rPr>
          <w:spacing w:val="-15"/>
        </w:rPr>
        <w:t> </w:t>
      </w:r>
      <w:r>
        <w:rPr/>
        <w:t>the</w:t>
      </w:r>
      <w:r>
        <w:rPr>
          <w:spacing w:val="-16"/>
        </w:rPr>
        <w:t> </w:t>
      </w:r>
      <w:r>
        <w:rPr/>
        <w:t>matter</w:t>
      </w:r>
      <w:r>
        <w:rPr>
          <w:spacing w:val="-15"/>
        </w:rPr>
        <w:t> </w:t>
      </w:r>
      <w:r>
        <w:rPr/>
        <w:t>and;</w:t>
      </w:r>
      <w:r>
        <w:rPr>
          <w:spacing w:val="-15"/>
        </w:rPr>
        <w:t> </w:t>
      </w:r>
      <w:r>
        <w:rPr/>
        <w:t>his</w:t>
      </w:r>
      <w:r>
        <w:rPr>
          <w:spacing w:val="-17"/>
        </w:rPr>
        <w:t> </w:t>
      </w:r>
      <w:r>
        <w:rPr/>
        <w:t>delusions</w:t>
      </w:r>
      <w:r>
        <w:rPr>
          <w:spacing w:val="-17"/>
        </w:rPr>
        <w:t> </w:t>
      </w:r>
      <w:r>
        <w:rPr/>
        <w:t>having an “impact on his decision</w:t>
      </w:r>
      <w:r>
        <w:rPr>
          <w:spacing w:val="-15"/>
        </w:rPr>
        <w:t> </w:t>
      </w:r>
      <w:r>
        <w:rPr/>
        <w:t>making”.</w:t>
      </w:r>
    </w:p>
    <w:p>
      <w:pPr>
        <w:pStyle w:val="BodyText"/>
      </w:pPr>
    </w:p>
    <w:p>
      <w:pPr>
        <w:pStyle w:val="BodyText"/>
        <w:ind w:left="120" w:right="112"/>
        <w:jc w:val="both"/>
      </w:pPr>
      <w:r>
        <w:rPr/>
        <w:t>In all three of the cases, the Tribunal found that the patient lacked decision-making capacity (though in none did it use exactly that phrasing) and in all three it found that the least restrictive criterion was met.</w:t>
      </w:r>
    </w:p>
    <w:p>
      <w:pPr>
        <w:pStyle w:val="BodyText"/>
        <w:spacing w:before="12"/>
        <w:rPr>
          <w:sz w:val="23"/>
        </w:rPr>
      </w:pPr>
    </w:p>
    <w:p>
      <w:pPr>
        <w:pStyle w:val="BodyText"/>
        <w:ind w:left="120" w:right="109"/>
        <w:jc w:val="both"/>
        <w:rPr>
          <w:sz w:val="16"/>
        </w:rPr>
      </w:pPr>
      <w:r>
        <w:rPr/>
        <w:t>In a further 17% of cases (n=36) (Group 2 cases) the Tribunal made reference to</w:t>
      </w:r>
      <w:r>
        <w:rPr>
          <w:spacing w:val="-53"/>
        </w:rPr>
        <w:t> </w:t>
      </w:r>
      <w:r>
        <w:rPr/>
        <w:t>one or more of the statutory requirements for “capacity to give informed consent” and it was clear that this had formed a part of its reasoning in relation to whether or not the least restrictive criterion was met. The majority of these Group 2 cases referred to the patient’s understanding (or lack of), though a minority referred to the patient’s “appreciation” (which by its context appeared to be used in a manner that was similar to “understanding”), or the patient’s ability to weigh </w:t>
      </w:r>
      <w:r>
        <w:rPr>
          <w:spacing w:val="1"/>
        </w:rPr>
        <w:t>up</w:t>
      </w:r>
      <w:hyperlink w:history="true" w:anchor="_bookmark36">
        <w:r>
          <w:rPr>
            <w:spacing w:val="1"/>
            <w:position w:val="8"/>
            <w:sz w:val="16"/>
          </w:rPr>
          <w:t>37 </w:t>
        </w:r>
      </w:hyperlink>
      <w:r>
        <w:rPr/>
        <w:t>information or the patient’s “judgement”</w:t>
      </w:r>
      <w:hyperlink w:history="true" w:anchor="_bookmark37">
        <w:r>
          <w:rPr>
            <w:position w:val="8"/>
            <w:sz w:val="16"/>
          </w:rPr>
          <w:t>38 </w:t>
        </w:r>
      </w:hyperlink>
      <w:r>
        <w:rPr/>
        <w:t>(which by its context appeared to be used in a manner that was similar to a determination about the patient’s ability to use and weigh the information). No case made reference to the patient’s ability to either remember the information or communicate</w:t>
      </w:r>
      <w:r>
        <w:rPr>
          <w:spacing w:val="-17"/>
        </w:rPr>
        <w:t> </w:t>
      </w:r>
      <w:r>
        <w:rPr/>
        <w:t>the</w:t>
      </w:r>
      <w:r>
        <w:rPr>
          <w:spacing w:val="-17"/>
        </w:rPr>
        <w:t> </w:t>
      </w:r>
      <w:r>
        <w:rPr/>
        <w:t>decision</w:t>
      </w:r>
      <w:r>
        <w:rPr>
          <w:spacing w:val="-16"/>
        </w:rPr>
        <w:t> </w:t>
      </w:r>
      <w:r>
        <w:rPr/>
        <w:t>–</w:t>
      </w:r>
      <w:r>
        <w:rPr>
          <w:spacing w:val="-17"/>
        </w:rPr>
        <w:t> </w:t>
      </w:r>
      <w:r>
        <w:rPr/>
        <w:t>the</w:t>
      </w:r>
      <w:r>
        <w:rPr>
          <w:spacing w:val="-17"/>
        </w:rPr>
        <w:t> </w:t>
      </w:r>
      <w:r>
        <w:rPr/>
        <w:t>other</w:t>
      </w:r>
      <w:r>
        <w:rPr>
          <w:spacing w:val="-17"/>
        </w:rPr>
        <w:t> </w:t>
      </w:r>
      <w:r>
        <w:rPr/>
        <w:t>elements</w:t>
      </w:r>
      <w:r>
        <w:rPr>
          <w:spacing w:val="-17"/>
        </w:rPr>
        <w:t> </w:t>
      </w:r>
      <w:r>
        <w:rPr/>
        <w:t>referred</w:t>
      </w:r>
      <w:r>
        <w:rPr>
          <w:spacing w:val="-17"/>
        </w:rPr>
        <w:t> </w:t>
      </w:r>
      <w:r>
        <w:rPr/>
        <w:t>to</w:t>
      </w:r>
      <w:r>
        <w:rPr>
          <w:spacing w:val="-17"/>
        </w:rPr>
        <w:t> </w:t>
      </w:r>
      <w:r>
        <w:rPr/>
        <w:t>as</w:t>
      </w:r>
      <w:r>
        <w:rPr>
          <w:spacing w:val="-17"/>
        </w:rPr>
        <w:t> </w:t>
      </w:r>
      <w:r>
        <w:rPr/>
        <w:t>required</w:t>
      </w:r>
      <w:r>
        <w:rPr>
          <w:spacing w:val="-17"/>
        </w:rPr>
        <w:t> </w:t>
      </w:r>
      <w:r>
        <w:rPr/>
        <w:t>to</w:t>
      </w:r>
      <w:r>
        <w:rPr>
          <w:spacing w:val="-17"/>
        </w:rPr>
        <w:t> </w:t>
      </w:r>
      <w:r>
        <w:rPr/>
        <w:t>give</w:t>
      </w:r>
      <w:r>
        <w:rPr>
          <w:spacing w:val="-17"/>
        </w:rPr>
        <w:t> </w:t>
      </w:r>
      <w:r>
        <w:rPr/>
        <w:t>informed consent.</w:t>
      </w:r>
      <w:hyperlink w:history="true" w:anchor="_bookmark38">
        <w:r>
          <w:rPr>
            <w:position w:val="8"/>
            <w:sz w:val="16"/>
          </w:rPr>
          <w:t>39</w:t>
        </w:r>
      </w:hyperlink>
    </w:p>
    <w:p>
      <w:pPr>
        <w:pStyle w:val="BodyText"/>
      </w:pPr>
    </w:p>
    <w:p>
      <w:pPr>
        <w:pStyle w:val="BodyText"/>
        <w:ind w:left="120" w:right="109"/>
        <w:jc w:val="both"/>
      </w:pPr>
      <w:r>
        <w:rPr/>
        <w:t>By way of example, in one of these Group 2 cases</w:t>
      </w:r>
      <w:hyperlink w:history="true" w:anchor="_bookmark39">
        <w:r>
          <w:rPr>
            <w:position w:val="8"/>
            <w:sz w:val="16"/>
          </w:rPr>
          <w:t>40 </w:t>
        </w:r>
      </w:hyperlink>
      <w:r>
        <w:rPr/>
        <w:t>the Tribunal “accepted that [the patient] was now better informed [than on admission] and had gained knowledge</w:t>
      </w:r>
      <w:r>
        <w:rPr>
          <w:spacing w:val="-38"/>
        </w:rPr>
        <w:t> </w:t>
      </w:r>
      <w:r>
        <w:rPr/>
        <w:t>and an</w:t>
      </w:r>
      <w:r>
        <w:rPr>
          <w:spacing w:val="-10"/>
        </w:rPr>
        <w:t> </w:t>
      </w:r>
      <w:r>
        <w:rPr>
          <w:i/>
          <w:sz w:val="25"/>
        </w:rPr>
        <w:t>appreciation</w:t>
      </w:r>
      <w:r>
        <w:rPr>
          <w:i/>
          <w:spacing w:val="-14"/>
          <w:sz w:val="25"/>
        </w:rPr>
        <w:t> </w:t>
      </w:r>
      <w:r>
        <w:rPr/>
        <w:t>of</w:t>
      </w:r>
      <w:r>
        <w:rPr>
          <w:spacing w:val="-11"/>
        </w:rPr>
        <w:t> </w:t>
      </w:r>
      <w:r>
        <w:rPr/>
        <w:t>her</w:t>
      </w:r>
      <w:r>
        <w:rPr>
          <w:spacing w:val="-12"/>
        </w:rPr>
        <w:t> </w:t>
      </w:r>
      <w:r>
        <w:rPr/>
        <w:t>condition”.</w:t>
      </w:r>
      <w:hyperlink w:history="true" w:anchor="_bookmark40">
        <w:r>
          <w:rPr>
            <w:position w:val="8"/>
            <w:sz w:val="16"/>
          </w:rPr>
          <w:t>41</w:t>
        </w:r>
        <w:r>
          <w:rPr>
            <w:spacing w:val="-7"/>
            <w:position w:val="8"/>
            <w:sz w:val="16"/>
          </w:rPr>
          <w:t> </w:t>
        </w:r>
      </w:hyperlink>
      <w:r>
        <w:rPr/>
        <w:t>Related</w:t>
      </w:r>
      <w:r>
        <w:rPr>
          <w:spacing w:val="-10"/>
        </w:rPr>
        <w:t> </w:t>
      </w:r>
      <w:r>
        <w:rPr/>
        <w:t>to</w:t>
      </w:r>
      <w:r>
        <w:rPr>
          <w:spacing w:val="-10"/>
        </w:rPr>
        <w:t> </w:t>
      </w:r>
      <w:r>
        <w:rPr/>
        <w:t>this,</w:t>
      </w:r>
      <w:r>
        <w:rPr>
          <w:spacing w:val="-10"/>
        </w:rPr>
        <w:t> </w:t>
      </w:r>
      <w:r>
        <w:rPr/>
        <w:t>the</w:t>
      </w:r>
      <w:r>
        <w:rPr>
          <w:spacing w:val="-11"/>
        </w:rPr>
        <w:t> </w:t>
      </w:r>
      <w:r>
        <w:rPr/>
        <w:t>“Tribunal</w:t>
      </w:r>
      <w:r>
        <w:rPr>
          <w:spacing w:val="-10"/>
        </w:rPr>
        <w:t> </w:t>
      </w:r>
      <w:r>
        <w:rPr/>
        <w:t>was</w:t>
      </w:r>
      <w:r>
        <w:rPr>
          <w:spacing w:val="-11"/>
        </w:rPr>
        <w:t> </w:t>
      </w:r>
      <w:r>
        <w:rPr/>
        <w:t>not</w:t>
      </w:r>
      <w:r>
        <w:rPr>
          <w:spacing w:val="-10"/>
        </w:rPr>
        <w:t> </w:t>
      </w:r>
      <w:r>
        <w:rPr/>
        <w:t>satisfied</w:t>
      </w:r>
      <w:r>
        <w:rPr>
          <w:spacing w:val="-10"/>
        </w:rPr>
        <w:t> </w:t>
      </w:r>
      <w:r>
        <w:rPr/>
        <w:t>that there</w:t>
      </w:r>
      <w:r>
        <w:rPr>
          <w:spacing w:val="-11"/>
        </w:rPr>
        <w:t> </w:t>
      </w:r>
      <w:r>
        <w:rPr/>
        <w:t>were</w:t>
      </w:r>
      <w:r>
        <w:rPr>
          <w:spacing w:val="-9"/>
        </w:rPr>
        <w:t> </w:t>
      </w:r>
      <w:r>
        <w:rPr/>
        <w:t>no</w:t>
      </w:r>
      <w:r>
        <w:rPr>
          <w:spacing w:val="-10"/>
        </w:rPr>
        <w:t> </w:t>
      </w:r>
      <w:r>
        <w:rPr/>
        <w:t>less</w:t>
      </w:r>
      <w:r>
        <w:rPr>
          <w:spacing w:val="-11"/>
        </w:rPr>
        <w:t> </w:t>
      </w:r>
      <w:r>
        <w:rPr/>
        <w:t>restrictive</w:t>
      </w:r>
      <w:r>
        <w:rPr>
          <w:spacing w:val="-11"/>
        </w:rPr>
        <w:t> </w:t>
      </w:r>
      <w:r>
        <w:rPr/>
        <w:t>means</w:t>
      </w:r>
      <w:r>
        <w:rPr>
          <w:spacing w:val="-11"/>
        </w:rPr>
        <w:t> </w:t>
      </w:r>
      <w:r>
        <w:rPr/>
        <w:t>reasonably</w:t>
      </w:r>
      <w:r>
        <w:rPr>
          <w:spacing w:val="-10"/>
        </w:rPr>
        <w:t> </w:t>
      </w:r>
      <w:r>
        <w:rPr/>
        <w:t>available</w:t>
      </w:r>
      <w:r>
        <w:rPr>
          <w:spacing w:val="-11"/>
        </w:rPr>
        <w:t> </w:t>
      </w:r>
      <w:r>
        <w:rPr/>
        <w:t>to</w:t>
      </w:r>
      <w:r>
        <w:rPr>
          <w:spacing w:val="-10"/>
        </w:rPr>
        <w:t> </w:t>
      </w:r>
      <w:r>
        <w:rPr/>
        <w:t>enable</w:t>
      </w:r>
      <w:r>
        <w:rPr>
          <w:spacing w:val="-12"/>
        </w:rPr>
        <w:t> </w:t>
      </w:r>
      <w:r>
        <w:rPr/>
        <w:t>[her]</w:t>
      </w:r>
      <w:r>
        <w:rPr>
          <w:spacing w:val="-10"/>
        </w:rPr>
        <w:t> </w:t>
      </w:r>
      <w:r>
        <w:rPr/>
        <w:t>to</w:t>
      </w:r>
      <w:r>
        <w:rPr>
          <w:spacing w:val="-10"/>
        </w:rPr>
        <w:t> </w:t>
      </w:r>
      <w:r>
        <w:rPr/>
        <w:t>receive</w:t>
      </w:r>
      <w:r>
        <w:rPr>
          <w:spacing w:val="-11"/>
        </w:rPr>
        <w:t> </w:t>
      </w:r>
      <w:r>
        <w:rPr/>
        <w:t>the immediate treatment that she requires”, and noted “[s]pecifically, in view of her statements about continuing with treatment, and her positive attitude to her treating team … that a less restrictive option reasonably available at this time was for [her] to be</w:t>
      </w:r>
      <w:r>
        <w:rPr>
          <w:spacing w:val="-11"/>
        </w:rPr>
        <w:t> </w:t>
      </w:r>
      <w:r>
        <w:rPr/>
        <w:t>treated</w:t>
      </w:r>
      <w:r>
        <w:rPr>
          <w:spacing w:val="-11"/>
        </w:rPr>
        <w:t> </w:t>
      </w:r>
      <w:r>
        <w:rPr/>
        <w:t>as</w:t>
      </w:r>
      <w:r>
        <w:rPr>
          <w:spacing w:val="-11"/>
        </w:rPr>
        <w:t> </w:t>
      </w:r>
      <w:r>
        <w:rPr/>
        <w:t>a</w:t>
      </w:r>
      <w:r>
        <w:rPr>
          <w:spacing w:val="-10"/>
        </w:rPr>
        <w:t> </w:t>
      </w:r>
      <w:r>
        <w:rPr/>
        <w:t>voluntary</w:t>
      </w:r>
      <w:r>
        <w:rPr>
          <w:spacing w:val="-10"/>
        </w:rPr>
        <w:t> </w:t>
      </w:r>
      <w:r>
        <w:rPr/>
        <w:t>patient”.</w:t>
      </w:r>
      <w:r>
        <w:rPr>
          <w:spacing w:val="-10"/>
        </w:rPr>
        <w:t> </w:t>
      </w:r>
      <w:r>
        <w:rPr/>
        <w:t>The</w:t>
      </w:r>
      <w:r>
        <w:rPr>
          <w:spacing w:val="-10"/>
        </w:rPr>
        <w:t> </w:t>
      </w:r>
      <w:r>
        <w:rPr/>
        <w:t>Tribunal</w:t>
      </w:r>
      <w:r>
        <w:rPr>
          <w:spacing w:val="-11"/>
        </w:rPr>
        <w:t> </w:t>
      </w:r>
      <w:r>
        <w:rPr/>
        <w:t>also</w:t>
      </w:r>
      <w:r>
        <w:rPr>
          <w:spacing w:val="-11"/>
        </w:rPr>
        <w:t> </w:t>
      </w:r>
      <w:r>
        <w:rPr/>
        <w:t>found</w:t>
      </w:r>
      <w:r>
        <w:rPr>
          <w:spacing w:val="-11"/>
        </w:rPr>
        <w:t> </w:t>
      </w:r>
      <w:r>
        <w:rPr/>
        <w:t>that</w:t>
      </w:r>
      <w:r>
        <w:rPr>
          <w:spacing w:val="-11"/>
        </w:rPr>
        <w:t> </w:t>
      </w:r>
      <w:r>
        <w:rPr/>
        <w:t>it</w:t>
      </w:r>
      <w:r>
        <w:rPr>
          <w:spacing w:val="-11"/>
        </w:rPr>
        <w:t> </w:t>
      </w:r>
      <w:r>
        <w:rPr/>
        <w:t>was</w:t>
      </w:r>
      <w:r>
        <w:rPr>
          <w:spacing w:val="-11"/>
        </w:rPr>
        <w:t> </w:t>
      </w:r>
      <w:r>
        <w:rPr/>
        <w:t>relevant</w:t>
      </w:r>
      <w:r>
        <w:rPr>
          <w:spacing w:val="-10"/>
        </w:rPr>
        <w:t> </w:t>
      </w:r>
      <w:r>
        <w:rPr/>
        <w:t>that</w:t>
      </w:r>
      <w:r>
        <w:rPr>
          <w:spacing w:val="-10"/>
        </w:rPr>
        <w:t> </w:t>
      </w:r>
      <w:r>
        <w:rPr/>
        <w:t>the patient’s</w:t>
      </w:r>
      <w:r>
        <w:rPr>
          <w:spacing w:val="-9"/>
        </w:rPr>
        <w:t> </w:t>
      </w:r>
      <w:r>
        <w:rPr/>
        <w:t>change</w:t>
      </w:r>
      <w:r>
        <w:rPr>
          <w:spacing w:val="-9"/>
        </w:rPr>
        <w:t> </w:t>
      </w:r>
      <w:r>
        <w:rPr/>
        <w:t>in</w:t>
      </w:r>
      <w:r>
        <w:rPr>
          <w:spacing w:val="-8"/>
        </w:rPr>
        <w:t> </w:t>
      </w:r>
      <w:r>
        <w:rPr/>
        <w:t>attitude</w:t>
      </w:r>
      <w:r>
        <w:rPr>
          <w:spacing w:val="-9"/>
        </w:rPr>
        <w:t> </w:t>
      </w:r>
      <w:r>
        <w:rPr/>
        <w:t>was</w:t>
      </w:r>
      <w:r>
        <w:rPr>
          <w:spacing w:val="-9"/>
        </w:rPr>
        <w:t> </w:t>
      </w:r>
      <w:r>
        <w:rPr/>
        <w:t>“considered</w:t>
      </w:r>
      <w:r>
        <w:rPr>
          <w:spacing w:val="-10"/>
        </w:rPr>
        <w:t> </w:t>
      </w:r>
      <w:r>
        <w:rPr/>
        <w:t>and</w:t>
      </w:r>
      <w:r>
        <w:rPr>
          <w:spacing w:val="-10"/>
        </w:rPr>
        <w:t> </w:t>
      </w:r>
      <w:r>
        <w:rPr/>
        <w:t>informed”,</w:t>
      </w:r>
      <w:r>
        <w:rPr>
          <w:spacing w:val="-8"/>
        </w:rPr>
        <w:t> </w:t>
      </w:r>
      <w:r>
        <w:rPr/>
        <w:t>and</w:t>
      </w:r>
      <w:r>
        <w:rPr>
          <w:spacing w:val="-8"/>
        </w:rPr>
        <w:t> </w:t>
      </w:r>
      <w:r>
        <w:rPr/>
        <w:t>related</w:t>
      </w:r>
      <w:r>
        <w:rPr>
          <w:spacing w:val="-8"/>
        </w:rPr>
        <w:t> </w:t>
      </w:r>
      <w:r>
        <w:rPr/>
        <w:t>to</w:t>
      </w:r>
      <w:r>
        <w:rPr>
          <w:spacing w:val="-10"/>
        </w:rPr>
        <w:t> </w:t>
      </w:r>
      <w:r>
        <w:rPr/>
        <w:t>this,</w:t>
      </w:r>
      <w:r>
        <w:rPr>
          <w:spacing w:val="-8"/>
        </w:rPr>
        <w:t> </w:t>
      </w:r>
      <w:r>
        <w:rPr/>
        <w:t>it</w:t>
      </w:r>
      <w:r>
        <w:rPr>
          <w:spacing w:val="-10"/>
        </w:rPr>
        <w:t> </w:t>
      </w:r>
      <w:r>
        <w:rPr/>
        <w:t>“was satisfied that [she] could and would accept necessary treatment for her condition without the need for a Treatment Order” and therefore it “was not satisfied that the requirements of section 5(d) were</w:t>
      </w:r>
      <w:r>
        <w:rPr>
          <w:spacing w:val="-18"/>
        </w:rPr>
        <w:t> </w:t>
      </w:r>
      <w:r>
        <w:rPr/>
        <w:t>met”.</w:t>
      </w:r>
    </w:p>
    <w:p>
      <w:pPr>
        <w:pStyle w:val="BodyText"/>
        <w:rPr>
          <w:sz w:val="20"/>
        </w:rPr>
      </w:pPr>
    </w:p>
    <w:p>
      <w:pPr>
        <w:pStyle w:val="BodyText"/>
        <w:spacing w:before="3"/>
        <w:rPr>
          <w:sz w:val="13"/>
        </w:rPr>
      </w:pPr>
      <w:r>
        <w:rPr/>
        <w:pict>
          <v:line style="position:absolute;mso-position-horizontal-relative:page;mso-position-vertical-relative:paragraph;z-index:1264;mso-wrap-distance-left:0;mso-wrap-distance-right:0" from="67.019997pt,10.25291pt" to="211.019997pt,10.25291pt" stroked="true" strokeweight=".54pt" strokecolor="#000000">
            <v:stroke dashstyle="solid"/>
            <w10:wrap type="topAndBottom"/>
          </v:line>
        </w:pict>
      </w:r>
    </w:p>
    <w:p>
      <w:pPr>
        <w:spacing w:before="54"/>
        <w:ind w:left="120" w:right="0" w:firstLine="0"/>
        <w:jc w:val="left"/>
        <w:rPr>
          <w:sz w:val="20"/>
        </w:rPr>
      </w:pPr>
      <w:bookmarkStart w:name="_bookmark34" w:id="36"/>
      <w:bookmarkEnd w:id="36"/>
      <w:r>
        <w:rPr/>
      </w:r>
      <w:r>
        <w:rPr>
          <w:position w:val="7"/>
          <w:sz w:val="13"/>
        </w:rPr>
        <w:t>35 </w:t>
      </w:r>
      <w:r>
        <w:rPr>
          <w:i/>
          <w:sz w:val="21"/>
        </w:rPr>
        <w:t>MKP  </w:t>
      </w:r>
      <w:r>
        <w:rPr>
          <w:sz w:val="20"/>
        </w:rPr>
        <w:t>[2015] VMHT 108.</w:t>
      </w:r>
    </w:p>
    <w:p>
      <w:pPr>
        <w:spacing w:before="6"/>
        <w:ind w:left="120" w:right="0" w:firstLine="0"/>
        <w:jc w:val="left"/>
        <w:rPr>
          <w:sz w:val="20"/>
        </w:rPr>
      </w:pPr>
      <w:bookmarkStart w:name="_bookmark35" w:id="37"/>
      <w:bookmarkEnd w:id="37"/>
      <w:r>
        <w:rPr/>
      </w:r>
      <w:r>
        <w:rPr>
          <w:position w:val="7"/>
          <w:sz w:val="13"/>
        </w:rPr>
        <w:t>36 </w:t>
      </w:r>
      <w:r>
        <w:rPr>
          <w:i/>
          <w:sz w:val="21"/>
        </w:rPr>
        <w:t>TBH  </w:t>
      </w:r>
      <w:r>
        <w:rPr>
          <w:sz w:val="20"/>
        </w:rPr>
        <w:t>[2015] VMHT 144.</w:t>
      </w:r>
    </w:p>
    <w:p>
      <w:pPr>
        <w:spacing w:before="6"/>
        <w:ind w:left="120" w:right="0" w:firstLine="0"/>
        <w:jc w:val="left"/>
        <w:rPr>
          <w:sz w:val="20"/>
        </w:rPr>
      </w:pPr>
      <w:bookmarkStart w:name="_bookmark36" w:id="38"/>
      <w:bookmarkEnd w:id="38"/>
      <w:r>
        <w:rPr/>
      </w:r>
      <w:r>
        <w:rPr>
          <w:position w:val="7"/>
          <w:sz w:val="13"/>
        </w:rPr>
        <w:t>37 </w:t>
      </w:r>
      <w:r>
        <w:rPr>
          <w:i/>
          <w:sz w:val="21"/>
        </w:rPr>
        <w:t>UFG  </w:t>
      </w:r>
      <w:r>
        <w:rPr>
          <w:sz w:val="20"/>
        </w:rPr>
        <w:t>[2016] VMHT 7.</w:t>
      </w:r>
    </w:p>
    <w:p>
      <w:pPr>
        <w:spacing w:before="6"/>
        <w:ind w:left="120" w:right="0" w:firstLine="0"/>
        <w:jc w:val="left"/>
        <w:rPr>
          <w:sz w:val="20"/>
        </w:rPr>
      </w:pPr>
      <w:bookmarkStart w:name="_bookmark37" w:id="39"/>
      <w:bookmarkEnd w:id="39"/>
      <w:r>
        <w:rPr/>
      </w:r>
      <w:r>
        <w:rPr>
          <w:position w:val="7"/>
          <w:sz w:val="13"/>
        </w:rPr>
        <w:t>38 </w:t>
      </w:r>
      <w:r>
        <w:rPr>
          <w:i/>
          <w:sz w:val="21"/>
        </w:rPr>
        <w:t>SXY </w:t>
      </w:r>
      <w:r>
        <w:rPr>
          <w:sz w:val="20"/>
        </w:rPr>
        <w:t>[2015] VMHT 117; </w:t>
      </w:r>
      <w:r>
        <w:rPr>
          <w:i/>
          <w:sz w:val="21"/>
        </w:rPr>
        <w:t>YJW </w:t>
      </w:r>
      <w:r>
        <w:rPr>
          <w:sz w:val="20"/>
        </w:rPr>
        <w:t>[2015] VMHT  216.</w:t>
      </w:r>
    </w:p>
    <w:p>
      <w:pPr>
        <w:spacing w:before="6"/>
        <w:ind w:left="120" w:right="0" w:firstLine="0"/>
        <w:jc w:val="left"/>
        <w:rPr>
          <w:sz w:val="20"/>
        </w:rPr>
      </w:pPr>
      <w:bookmarkStart w:name="_bookmark38" w:id="40"/>
      <w:bookmarkEnd w:id="40"/>
      <w:r>
        <w:rPr/>
      </w:r>
      <w:r>
        <w:rPr>
          <w:position w:val="7"/>
          <w:sz w:val="13"/>
        </w:rPr>
        <w:t>39 </w:t>
      </w:r>
      <w:r>
        <w:rPr>
          <w:i/>
          <w:sz w:val="21"/>
        </w:rPr>
        <w:t>Mental Health Act 2014 </w:t>
      </w:r>
      <w:r>
        <w:rPr>
          <w:sz w:val="20"/>
        </w:rPr>
        <w:t>(Vic) s 68(1).</w:t>
      </w:r>
    </w:p>
    <w:p>
      <w:pPr>
        <w:spacing w:before="6"/>
        <w:ind w:left="120" w:right="0" w:firstLine="0"/>
        <w:jc w:val="left"/>
        <w:rPr>
          <w:sz w:val="20"/>
        </w:rPr>
      </w:pPr>
      <w:bookmarkStart w:name="_bookmark39" w:id="41"/>
      <w:bookmarkEnd w:id="41"/>
      <w:r>
        <w:rPr/>
      </w:r>
      <w:r>
        <w:rPr>
          <w:position w:val="7"/>
          <w:sz w:val="13"/>
        </w:rPr>
        <w:t>40 </w:t>
      </w:r>
      <w:r>
        <w:rPr>
          <w:i/>
          <w:sz w:val="21"/>
        </w:rPr>
        <w:t>AUJ  </w:t>
      </w:r>
      <w:r>
        <w:rPr>
          <w:sz w:val="20"/>
        </w:rPr>
        <w:t>[2015] VMHT 43.</w:t>
      </w:r>
    </w:p>
    <w:p>
      <w:pPr>
        <w:spacing w:before="6"/>
        <w:ind w:left="120" w:right="0" w:firstLine="0"/>
        <w:jc w:val="left"/>
        <w:rPr>
          <w:sz w:val="20"/>
        </w:rPr>
      </w:pPr>
      <w:bookmarkStart w:name="_bookmark40" w:id="42"/>
      <w:bookmarkEnd w:id="42"/>
      <w:r>
        <w:rPr/>
      </w:r>
      <w:r>
        <w:rPr>
          <w:position w:val="7"/>
          <w:sz w:val="13"/>
        </w:rPr>
        <w:t>41 </w:t>
      </w:r>
      <w:r>
        <w:rPr>
          <w:i/>
          <w:sz w:val="21"/>
        </w:rPr>
        <w:t>AUJ  </w:t>
      </w:r>
      <w:r>
        <w:rPr>
          <w:sz w:val="20"/>
        </w:rPr>
        <w:t>[2015] VMHT 43 (emphasis added).</w:t>
      </w:r>
    </w:p>
    <w:p>
      <w:pPr>
        <w:spacing w:after="0"/>
        <w:jc w:val="left"/>
        <w:rPr>
          <w:sz w:val="20"/>
        </w:rPr>
        <w:sectPr>
          <w:pgSz w:w="11910" w:h="16840"/>
          <w:pgMar w:header="763" w:footer="1025" w:top="980" w:bottom="1220" w:left="1220" w:right="1320"/>
        </w:sectPr>
      </w:pPr>
    </w:p>
    <w:p>
      <w:pPr>
        <w:pStyle w:val="BodyText"/>
        <w:spacing w:before="4"/>
        <w:rPr>
          <w:sz w:val="21"/>
        </w:rPr>
      </w:pPr>
    </w:p>
    <w:p>
      <w:pPr>
        <w:pStyle w:val="BodyText"/>
        <w:spacing w:before="100"/>
        <w:ind w:left="120" w:right="109"/>
        <w:jc w:val="both"/>
      </w:pPr>
      <w:r>
        <w:rPr/>
        <w:t>In</w:t>
      </w:r>
      <w:r>
        <w:rPr>
          <w:spacing w:val="-11"/>
        </w:rPr>
        <w:t> </w:t>
      </w:r>
      <w:r>
        <w:rPr/>
        <w:t>another</w:t>
      </w:r>
      <w:r>
        <w:rPr>
          <w:spacing w:val="-11"/>
        </w:rPr>
        <w:t> </w:t>
      </w:r>
      <w:r>
        <w:rPr/>
        <w:t>of</w:t>
      </w:r>
      <w:r>
        <w:rPr>
          <w:spacing w:val="-11"/>
        </w:rPr>
        <w:t> </w:t>
      </w:r>
      <w:r>
        <w:rPr/>
        <w:t>these</w:t>
      </w:r>
      <w:r>
        <w:rPr>
          <w:spacing w:val="-11"/>
        </w:rPr>
        <w:t> </w:t>
      </w:r>
      <w:r>
        <w:rPr/>
        <w:t>Group</w:t>
      </w:r>
      <w:r>
        <w:rPr>
          <w:spacing w:val="-11"/>
        </w:rPr>
        <w:t> </w:t>
      </w:r>
      <w:r>
        <w:rPr/>
        <w:t>2</w:t>
      </w:r>
      <w:r>
        <w:rPr>
          <w:spacing w:val="-11"/>
        </w:rPr>
        <w:t> </w:t>
      </w:r>
      <w:r>
        <w:rPr/>
        <w:t>cases</w:t>
      </w:r>
      <w:hyperlink w:history="true" w:anchor="_bookmark41">
        <w:r>
          <w:rPr>
            <w:position w:val="8"/>
            <w:sz w:val="16"/>
          </w:rPr>
          <w:t>42</w:t>
        </w:r>
        <w:r>
          <w:rPr>
            <w:spacing w:val="-6"/>
            <w:position w:val="8"/>
            <w:sz w:val="16"/>
          </w:rPr>
          <w:t> </w:t>
        </w:r>
      </w:hyperlink>
      <w:r>
        <w:rPr/>
        <w:t>the</w:t>
      </w:r>
      <w:r>
        <w:rPr>
          <w:spacing w:val="-12"/>
        </w:rPr>
        <w:t> </w:t>
      </w:r>
      <w:r>
        <w:rPr/>
        <w:t>Tribunal</w:t>
      </w:r>
      <w:r>
        <w:rPr>
          <w:spacing w:val="-10"/>
        </w:rPr>
        <w:t> </w:t>
      </w:r>
      <w:r>
        <w:rPr/>
        <w:t>stated</w:t>
      </w:r>
      <w:r>
        <w:rPr>
          <w:spacing w:val="-10"/>
        </w:rPr>
        <w:t> </w:t>
      </w:r>
      <w:r>
        <w:rPr/>
        <w:t>that</w:t>
      </w:r>
      <w:r>
        <w:rPr>
          <w:spacing w:val="-10"/>
        </w:rPr>
        <w:t> </w:t>
      </w:r>
      <w:r>
        <w:rPr/>
        <w:t>there</w:t>
      </w:r>
      <w:r>
        <w:rPr>
          <w:spacing w:val="-11"/>
        </w:rPr>
        <w:t> </w:t>
      </w:r>
      <w:r>
        <w:rPr/>
        <w:t>was</w:t>
      </w:r>
      <w:r>
        <w:rPr>
          <w:spacing w:val="-11"/>
        </w:rPr>
        <w:t> </w:t>
      </w:r>
      <w:r>
        <w:rPr/>
        <w:t>evidence</w:t>
      </w:r>
      <w:r>
        <w:rPr>
          <w:spacing w:val="-11"/>
        </w:rPr>
        <w:t> </w:t>
      </w:r>
      <w:r>
        <w:rPr/>
        <w:t>before it which “indicated that [the patient’s] understanding of her mental illness and the immediate need for treatment was lacking” and having regard to this and other evidence it “was of the view that [her] immediate need for treatment to stabilise her mental health, could only be obtained pursuant to a Treatment Order”. The Tribunal was</w:t>
      </w:r>
      <w:r>
        <w:rPr>
          <w:spacing w:val="-18"/>
        </w:rPr>
        <w:t> </w:t>
      </w:r>
      <w:r>
        <w:rPr/>
        <w:t>satisfied</w:t>
      </w:r>
      <w:r>
        <w:rPr>
          <w:spacing w:val="-17"/>
        </w:rPr>
        <w:t> </w:t>
      </w:r>
      <w:r>
        <w:rPr/>
        <w:t>that</w:t>
      </w:r>
      <w:r>
        <w:rPr>
          <w:spacing w:val="-17"/>
        </w:rPr>
        <w:t> </w:t>
      </w:r>
      <w:r>
        <w:rPr/>
        <w:t>the</w:t>
      </w:r>
      <w:r>
        <w:rPr>
          <w:spacing w:val="-18"/>
        </w:rPr>
        <w:t> </w:t>
      </w:r>
      <w:r>
        <w:rPr/>
        <w:t>least</w:t>
      </w:r>
      <w:r>
        <w:rPr>
          <w:spacing w:val="-17"/>
        </w:rPr>
        <w:t> </w:t>
      </w:r>
      <w:r>
        <w:rPr/>
        <w:t>restrictive</w:t>
      </w:r>
      <w:r>
        <w:rPr>
          <w:spacing w:val="-18"/>
        </w:rPr>
        <w:t> </w:t>
      </w:r>
      <w:r>
        <w:rPr/>
        <w:t>criterion</w:t>
      </w:r>
      <w:r>
        <w:rPr>
          <w:spacing w:val="-17"/>
        </w:rPr>
        <w:t> </w:t>
      </w:r>
      <w:r>
        <w:rPr/>
        <w:t>was</w:t>
      </w:r>
      <w:r>
        <w:rPr>
          <w:spacing w:val="-18"/>
        </w:rPr>
        <w:t> </w:t>
      </w:r>
      <w:r>
        <w:rPr/>
        <w:t>met</w:t>
      </w:r>
      <w:r>
        <w:rPr>
          <w:spacing w:val="-17"/>
        </w:rPr>
        <w:t> </w:t>
      </w:r>
      <w:r>
        <w:rPr/>
        <w:t>in</w:t>
      </w:r>
      <w:r>
        <w:rPr>
          <w:spacing w:val="-17"/>
        </w:rPr>
        <w:t> </w:t>
      </w:r>
      <w:r>
        <w:rPr/>
        <w:t>21</w:t>
      </w:r>
      <w:r>
        <w:rPr>
          <w:spacing w:val="-18"/>
        </w:rPr>
        <w:t> </w:t>
      </w:r>
      <w:r>
        <w:rPr/>
        <w:t>of</w:t>
      </w:r>
      <w:r>
        <w:rPr>
          <w:spacing w:val="-17"/>
        </w:rPr>
        <w:t> </w:t>
      </w:r>
      <w:r>
        <w:rPr/>
        <w:t>these</w:t>
      </w:r>
      <w:r>
        <w:rPr>
          <w:spacing w:val="-18"/>
        </w:rPr>
        <w:t> </w:t>
      </w:r>
      <w:r>
        <w:rPr/>
        <w:t>36</w:t>
      </w:r>
      <w:r>
        <w:rPr>
          <w:spacing w:val="-18"/>
        </w:rPr>
        <w:t> </w:t>
      </w:r>
      <w:r>
        <w:rPr/>
        <w:t>Group</w:t>
      </w:r>
      <w:r>
        <w:rPr>
          <w:spacing w:val="-17"/>
        </w:rPr>
        <w:t> </w:t>
      </w:r>
      <w:r>
        <w:rPr/>
        <w:t>2</w:t>
      </w:r>
      <w:r>
        <w:rPr>
          <w:spacing w:val="-18"/>
        </w:rPr>
        <w:t> </w:t>
      </w:r>
      <w:r>
        <w:rPr/>
        <w:t>cases.</w:t>
      </w:r>
    </w:p>
    <w:p>
      <w:pPr>
        <w:pStyle w:val="BodyText"/>
        <w:spacing w:before="11"/>
        <w:rPr>
          <w:sz w:val="23"/>
        </w:rPr>
      </w:pPr>
    </w:p>
    <w:p>
      <w:pPr>
        <w:pStyle w:val="BodyText"/>
        <w:spacing w:before="1"/>
        <w:ind w:left="120" w:right="109"/>
        <w:jc w:val="both"/>
      </w:pPr>
      <w:r>
        <w:rPr/>
        <w:t>Taken together the Group 1 and 2 cases represent the cases where it was clear that Tribunal had made some consideration of the patient’s decision-making capacity and that this was relevant to its least restrictive criterion determination. This means that this mode of reasoning was clearly documented in only 19% of cases.</w:t>
      </w:r>
    </w:p>
    <w:p>
      <w:pPr>
        <w:pStyle w:val="BodyText"/>
        <w:spacing w:before="2"/>
      </w:pPr>
    </w:p>
    <w:p>
      <w:pPr>
        <w:pStyle w:val="Heading1"/>
        <w:spacing w:line="230" w:lineRule="auto"/>
        <w:ind w:right="111" w:hanging="1"/>
      </w:pPr>
      <w:r>
        <w:rPr/>
        <w:t>Cases</w:t>
      </w:r>
      <w:r>
        <w:rPr>
          <w:spacing w:val="-19"/>
        </w:rPr>
        <w:t> </w:t>
      </w:r>
      <w:r>
        <w:rPr/>
        <w:t>in</w:t>
      </w:r>
      <w:r>
        <w:rPr>
          <w:spacing w:val="-18"/>
        </w:rPr>
        <w:t> </w:t>
      </w:r>
      <w:r>
        <w:rPr/>
        <w:t>Groups</w:t>
      </w:r>
      <w:r>
        <w:rPr>
          <w:spacing w:val="-19"/>
        </w:rPr>
        <w:t> </w:t>
      </w:r>
      <w:r>
        <w:rPr/>
        <w:t>3</w:t>
      </w:r>
      <w:r>
        <w:rPr>
          <w:spacing w:val="-19"/>
        </w:rPr>
        <w:t> </w:t>
      </w:r>
      <w:r>
        <w:rPr/>
        <w:t>and</w:t>
      </w:r>
      <w:r>
        <w:rPr>
          <w:spacing w:val="-19"/>
        </w:rPr>
        <w:t> </w:t>
      </w:r>
      <w:r>
        <w:rPr/>
        <w:t>4</w:t>
      </w:r>
      <w:r>
        <w:rPr>
          <w:spacing w:val="-19"/>
        </w:rPr>
        <w:t> </w:t>
      </w:r>
      <w:r>
        <w:rPr/>
        <w:t>in</w:t>
      </w:r>
      <w:r>
        <w:rPr>
          <w:spacing w:val="-18"/>
        </w:rPr>
        <w:t> </w:t>
      </w:r>
      <w:r>
        <w:rPr/>
        <w:t>which</w:t>
      </w:r>
      <w:r>
        <w:rPr>
          <w:spacing w:val="-19"/>
        </w:rPr>
        <w:t> </w:t>
      </w:r>
      <w:r>
        <w:rPr/>
        <w:t>the</w:t>
      </w:r>
      <w:r>
        <w:rPr>
          <w:spacing w:val="-19"/>
        </w:rPr>
        <w:t> </w:t>
      </w:r>
      <w:r>
        <w:rPr/>
        <w:t>Tribunal</w:t>
      </w:r>
      <w:r>
        <w:rPr>
          <w:spacing w:val="-19"/>
        </w:rPr>
        <w:t> </w:t>
      </w:r>
      <w:r>
        <w:rPr/>
        <w:t>may</w:t>
      </w:r>
      <w:r>
        <w:rPr>
          <w:spacing w:val="-19"/>
        </w:rPr>
        <w:t> </w:t>
      </w:r>
      <w:r>
        <w:rPr/>
        <w:t>have</w:t>
      </w:r>
      <w:r>
        <w:rPr>
          <w:spacing w:val="-19"/>
        </w:rPr>
        <w:t> </w:t>
      </w:r>
      <w:r>
        <w:rPr/>
        <w:t>considered</w:t>
      </w:r>
      <w:r>
        <w:rPr>
          <w:spacing w:val="-19"/>
        </w:rPr>
        <w:t> </w:t>
      </w:r>
      <w:r>
        <w:rPr/>
        <w:t>decision-making capacity</w:t>
      </w:r>
    </w:p>
    <w:p>
      <w:pPr>
        <w:pStyle w:val="BodyText"/>
        <w:spacing w:before="9"/>
        <w:rPr>
          <w:i/>
          <w:sz w:val="23"/>
        </w:rPr>
      </w:pPr>
    </w:p>
    <w:p>
      <w:pPr>
        <w:pStyle w:val="BodyText"/>
        <w:spacing w:before="1"/>
        <w:ind w:left="120" w:right="109"/>
        <w:jc w:val="both"/>
      </w:pPr>
      <w:r>
        <w:rPr/>
        <w:t>While not referring to either decision-making capacity or its required elements, the Tribunal indicated that a patient’s beliefs or insight was a factor in its least restrictive criterion determination in a further 17% of cases (n=36). In one example of these Group 3 decisions,</w:t>
      </w:r>
      <w:hyperlink w:history="true" w:anchor="_bookmark42">
        <w:r>
          <w:rPr>
            <w:position w:val="8"/>
            <w:sz w:val="16"/>
          </w:rPr>
          <w:t>43 </w:t>
        </w:r>
      </w:hyperlink>
      <w:r>
        <w:rPr/>
        <w:t>the Tribunal found the least restrictive criterion was met and that it was relevant to this finding that the patient did not “believe” he had a mental illness and had “little or no insight into his mental illness”.</w:t>
      </w:r>
    </w:p>
    <w:p>
      <w:pPr>
        <w:pStyle w:val="BodyText"/>
      </w:pPr>
    </w:p>
    <w:p>
      <w:pPr>
        <w:pStyle w:val="BodyText"/>
        <w:ind w:left="120" w:right="110"/>
        <w:jc w:val="both"/>
      </w:pPr>
      <w:r>
        <w:rPr/>
        <w:t>In 31 of these 36 Group 3 cases the Tribunal found the least restrictive was met and only in five did it find it was not met.</w:t>
      </w:r>
    </w:p>
    <w:p>
      <w:pPr>
        <w:pStyle w:val="BodyText"/>
        <w:spacing w:before="12"/>
        <w:rPr>
          <w:sz w:val="23"/>
        </w:rPr>
      </w:pPr>
    </w:p>
    <w:p>
      <w:pPr>
        <w:pStyle w:val="BodyText"/>
        <w:ind w:left="120" w:right="110"/>
        <w:jc w:val="both"/>
      </w:pPr>
      <w:r>
        <w:rPr/>
        <w:t>Group 4 cases comprised a further 11% (22) of cases. In these the Tribunal made mention of the importance of autonomy or the associated mental health principle (s. 11(1)(e)),</w:t>
      </w:r>
      <w:r>
        <w:rPr>
          <w:spacing w:val="-12"/>
        </w:rPr>
        <w:t> </w:t>
      </w:r>
      <w:r>
        <w:rPr/>
        <w:t>or</w:t>
      </w:r>
      <w:r>
        <w:rPr>
          <w:spacing w:val="-11"/>
        </w:rPr>
        <w:t> </w:t>
      </w:r>
      <w:r>
        <w:rPr/>
        <w:t>the</w:t>
      </w:r>
      <w:r>
        <w:rPr>
          <w:spacing w:val="-11"/>
        </w:rPr>
        <w:t> </w:t>
      </w:r>
      <w:r>
        <w:rPr/>
        <w:t>importance</w:t>
      </w:r>
      <w:r>
        <w:rPr>
          <w:spacing w:val="-12"/>
        </w:rPr>
        <w:t> </w:t>
      </w:r>
      <w:r>
        <w:rPr/>
        <w:t>of</w:t>
      </w:r>
      <w:r>
        <w:rPr>
          <w:spacing w:val="-12"/>
        </w:rPr>
        <w:t> </w:t>
      </w:r>
      <w:r>
        <w:rPr/>
        <w:t>being</w:t>
      </w:r>
      <w:r>
        <w:rPr>
          <w:spacing w:val="-12"/>
        </w:rPr>
        <w:t> </w:t>
      </w:r>
      <w:r>
        <w:rPr/>
        <w:t>allowed</w:t>
      </w:r>
      <w:r>
        <w:rPr>
          <w:spacing w:val="-11"/>
        </w:rPr>
        <w:t> </w:t>
      </w:r>
      <w:r>
        <w:rPr/>
        <w:t>to</w:t>
      </w:r>
      <w:r>
        <w:rPr>
          <w:spacing w:val="-11"/>
        </w:rPr>
        <w:t> </w:t>
      </w:r>
      <w:r>
        <w:rPr/>
        <w:t>make</w:t>
      </w:r>
      <w:r>
        <w:rPr>
          <w:spacing w:val="-13"/>
        </w:rPr>
        <w:t> </w:t>
      </w:r>
      <w:r>
        <w:rPr/>
        <w:t>decisions</w:t>
      </w:r>
      <w:r>
        <w:rPr>
          <w:spacing w:val="-13"/>
        </w:rPr>
        <w:t> </w:t>
      </w:r>
      <w:r>
        <w:rPr/>
        <w:t>that</w:t>
      </w:r>
      <w:r>
        <w:rPr>
          <w:spacing w:val="-11"/>
        </w:rPr>
        <w:t> </w:t>
      </w:r>
      <w:r>
        <w:rPr/>
        <w:t>involved</w:t>
      </w:r>
      <w:r>
        <w:rPr>
          <w:spacing w:val="-11"/>
        </w:rPr>
        <w:t> </w:t>
      </w:r>
      <w:r>
        <w:rPr/>
        <w:t>a</w:t>
      </w:r>
      <w:r>
        <w:rPr>
          <w:spacing w:val="-12"/>
        </w:rPr>
        <w:t> </w:t>
      </w:r>
      <w:r>
        <w:rPr/>
        <w:t>degree of</w:t>
      </w:r>
      <w:r>
        <w:rPr>
          <w:spacing w:val="-8"/>
        </w:rPr>
        <w:t> </w:t>
      </w:r>
      <w:r>
        <w:rPr/>
        <w:t>risk</w:t>
      </w:r>
      <w:r>
        <w:rPr>
          <w:spacing w:val="-10"/>
        </w:rPr>
        <w:t> </w:t>
      </w:r>
      <w:r>
        <w:rPr/>
        <w:t>(almost</w:t>
      </w:r>
      <w:r>
        <w:rPr>
          <w:spacing w:val="-9"/>
        </w:rPr>
        <w:t> </w:t>
      </w:r>
      <w:r>
        <w:rPr/>
        <w:t>always</w:t>
      </w:r>
      <w:r>
        <w:rPr>
          <w:spacing w:val="-9"/>
        </w:rPr>
        <w:t> </w:t>
      </w:r>
      <w:r>
        <w:rPr/>
        <w:t>in</w:t>
      </w:r>
      <w:r>
        <w:rPr>
          <w:spacing w:val="-8"/>
        </w:rPr>
        <w:t> </w:t>
      </w:r>
      <w:r>
        <w:rPr/>
        <w:t>relation</w:t>
      </w:r>
      <w:r>
        <w:rPr>
          <w:spacing w:val="-10"/>
        </w:rPr>
        <w:t> </w:t>
      </w:r>
      <w:r>
        <w:rPr/>
        <w:t>to</w:t>
      </w:r>
      <w:r>
        <w:rPr>
          <w:spacing w:val="-8"/>
        </w:rPr>
        <w:t> </w:t>
      </w:r>
      <w:r>
        <w:rPr/>
        <w:t>the</w:t>
      </w:r>
      <w:r>
        <w:rPr>
          <w:spacing w:val="-9"/>
        </w:rPr>
        <w:t> </w:t>
      </w:r>
      <w:r>
        <w:rPr/>
        <w:t>associated</w:t>
      </w:r>
      <w:r>
        <w:rPr>
          <w:spacing w:val="-8"/>
        </w:rPr>
        <w:t> </w:t>
      </w:r>
      <w:r>
        <w:rPr/>
        <w:t>mental</w:t>
      </w:r>
      <w:r>
        <w:rPr>
          <w:spacing w:val="-9"/>
        </w:rPr>
        <w:t> </w:t>
      </w:r>
      <w:r>
        <w:rPr/>
        <w:t>health</w:t>
      </w:r>
      <w:r>
        <w:rPr>
          <w:spacing w:val="-10"/>
        </w:rPr>
        <w:t> </w:t>
      </w:r>
      <w:r>
        <w:rPr/>
        <w:t>principle</w:t>
      </w:r>
      <w:r>
        <w:rPr>
          <w:spacing w:val="-9"/>
        </w:rPr>
        <w:t> </w:t>
      </w:r>
      <w:r>
        <w:rPr/>
        <w:t>(s.11(1)(d)). The extent to which these mentions might have been signifiers of the Tribunal considering the patient’s decision-making capacity varied enormously but cases where these concepts were mentioned were included in group 4 unless it was possible to confidently conclude that these concepts were not related to a consideration of decision-making capacity, or not related to the Tribunal’s determination on the least restrictive</w:t>
      </w:r>
      <w:r>
        <w:rPr>
          <w:spacing w:val="-8"/>
        </w:rPr>
        <w:t> </w:t>
      </w:r>
      <w:r>
        <w:rPr/>
        <w:t>criterion.</w:t>
      </w:r>
    </w:p>
    <w:p>
      <w:pPr>
        <w:pStyle w:val="BodyText"/>
      </w:pPr>
    </w:p>
    <w:p>
      <w:pPr>
        <w:pStyle w:val="BodyText"/>
        <w:ind w:left="120" w:right="109"/>
        <w:jc w:val="both"/>
      </w:pPr>
      <w:r>
        <w:rPr/>
        <w:t>In one example of these group 4 cases</w:t>
      </w:r>
      <w:hyperlink w:history="true" w:anchor="_bookmark43">
        <w:r>
          <w:rPr>
            <w:position w:val="8"/>
            <w:sz w:val="16"/>
          </w:rPr>
          <w:t>44 </w:t>
        </w:r>
      </w:hyperlink>
      <w:r>
        <w:rPr/>
        <w:t>the Tribunal stated that “[in] coming to its decision [it] was mindful of the principles under the Act, in particular section 11.(1)(d) and (e)” and, by a majority, it found that “immediate treatment for [the patient’s] mental illness could occur voluntarily, which involves a degree of risk, but would be less restrictive of [her] autonomy and dignity”.</w:t>
      </w:r>
    </w:p>
    <w:p>
      <w:pPr>
        <w:pStyle w:val="BodyText"/>
        <w:spacing w:before="12"/>
        <w:rPr>
          <w:sz w:val="23"/>
        </w:rPr>
      </w:pPr>
    </w:p>
    <w:p>
      <w:pPr>
        <w:pStyle w:val="BodyText"/>
        <w:ind w:left="120" w:right="111"/>
        <w:jc w:val="both"/>
      </w:pPr>
      <w:r>
        <w:rPr/>
        <w:t>In</w:t>
      </w:r>
      <w:r>
        <w:rPr>
          <w:spacing w:val="-18"/>
        </w:rPr>
        <w:t> </w:t>
      </w:r>
      <w:r>
        <w:rPr/>
        <w:t>many</w:t>
      </w:r>
      <w:r>
        <w:rPr>
          <w:spacing w:val="-19"/>
        </w:rPr>
        <w:t> </w:t>
      </w:r>
      <w:r>
        <w:rPr/>
        <w:t>of</w:t>
      </w:r>
      <w:r>
        <w:rPr>
          <w:spacing w:val="-19"/>
        </w:rPr>
        <w:t> </w:t>
      </w:r>
      <w:r>
        <w:rPr/>
        <w:t>these</w:t>
      </w:r>
      <w:r>
        <w:rPr>
          <w:spacing w:val="-18"/>
        </w:rPr>
        <w:t> </w:t>
      </w:r>
      <w:r>
        <w:rPr/>
        <w:t>statements</w:t>
      </w:r>
      <w:r>
        <w:rPr>
          <w:spacing w:val="-18"/>
        </w:rPr>
        <w:t> </w:t>
      </w:r>
      <w:r>
        <w:rPr/>
        <w:t>of</w:t>
      </w:r>
      <w:r>
        <w:rPr>
          <w:spacing w:val="-17"/>
        </w:rPr>
        <w:t> </w:t>
      </w:r>
      <w:r>
        <w:rPr/>
        <w:t>reasons</w:t>
      </w:r>
      <w:r>
        <w:rPr>
          <w:spacing w:val="-18"/>
        </w:rPr>
        <w:t> </w:t>
      </w:r>
      <w:r>
        <w:rPr/>
        <w:t>the</w:t>
      </w:r>
      <w:r>
        <w:rPr>
          <w:spacing w:val="-18"/>
        </w:rPr>
        <w:t> </w:t>
      </w:r>
      <w:r>
        <w:rPr/>
        <w:t>reference</w:t>
      </w:r>
      <w:r>
        <w:rPr>
          <w:spacing w:val="-18"/>
        </w:rPr>
        <w:t> </w:t>
      </w:r>
      <w:r>
        <w:rPr/>
        <w:t>to</w:t>
      </w:r>
      <w:r>
        <w:rPr>
          <w:spacing w:val="-18"/>
        </w:rPr>
        <w:t> </w:t>
      </w:r>
      <w:r>
        <w:rPr/>
        <w:t>the</w:t>
      </w:r>
      <w:r>
        <w:rPr>
          <w:spacing w:val="-19"/>
        </w:rPr>
        <w:t> </w:t>
      </w:r>
      <w:r>
        <w:rPr/>
        <w:t>section</w:t>
      </w:r>
      <w:r>
        <w:rPr>
          <w:spacing w:val="-18"/>
        </w:rPr>
        <w:t> </w:t>
      </w:r>
      <w:r>
        <w:rPr/>
        <w:t>11.(1)(d)</w:t>
      </w:r>
      <w:r>
        <w:rPr>
          <w:spacing w:val="-18"/>
        </w:rPr>
        <w:t> </w:t>
      </w:r>
      <w:r>
        <w:rPr/>
        <w:t>preceded a</w:t>
      </w:r>
      <w:r>
        <w:rPr>
          <w:spacing w:val="10"/>
        </w:rPr>
        <w:t> </w:t>
      </w:r>
      <w:r>
        <w:rPr/>
        <w:t>conclusion</w:t>
      </w:r>
      <w:r>
        <w:rPr>
          <w:spacing w:val="10"/>
        </w:rPr>
        <w:t> </w:t>
      </w:r>
      <w:r>
        <w:rPr/>
        <w:t>that</w:t>
      </w:r>
      <w:r>
        <w:rPr>
          <w:spacing w:val="8"/>
        </w:rPr>
        <w:t> </w:t>
      </w:r>
      <w:r>
        <w:rPr/>
        <w:t>the</w:t>
      </w:r>
      <w:r>
        <w:rPr>
          <w:spacing w:val="8"/>
        </w:rPr>
        <w:t> </w:t>
      </w:r>
      <w:r>
        <w:rPr/>
        <w:t>risk</w:t>
      </w:r>
      <w:r>
        <w:rPr>
          <w:spacing w:val="10"/>
        </w:rPr>
        <w:t> </w:t>
      </w:r>
      <w:r>
        <w:rPr/>
        <w:t>involved</w:t>
      </w:r>
      <w:r>
        <w:rPr>
          <w:spacing w:val="10"/>
        </w:rPr>
        <w:t> </w:t>
      </w:r>
      <w:r>
        <w:rPr/>
        <w:t>in</w:t>
      </w:r>
      <w:r>
        <w:rPr>
          <w:spacing w:val="8"/>
        </w:rPr>
        <w:t> </w:t>
      </w:r>
      <w:r>
        <w:rPr/>
        <w:t>the</w:t>
      </w:r>
      <w:r>
        <w:rPr>
          <w:spacing w:val="8"/>
        </w:rPr>
        <w:t> </w:t>
      </w:r>
      <w:r>
        <w:rPr/>
        <w:t>patient</w:t>
      </w:r>
      <w:r>
        <w:rPr>
          <w:spacing w:val="10"/>
        </w:rPr>
        <w:t> </w:t>
      </w:r>
      <w:r>
        <w:rPr/>
        <w:t>being</w:t>
      </w:r>
      <w:r>
        <w:rPr>
          <w:spacing w:val="8"/>
        </w:rPr>
        <w:t> </w:t>
      </w:r>
      <w:r>
        <w:rPr/>
        <w:t>made</w:t>
      </w:r>
      <w:r>
        <w:rPr>
          <w:spacing w:val="10"/>
        </w:rPr>
        <w:t> </w:t>
      </w:r>
      <w:r>
        <w:rPr/>
        <w:t>voluntary</w:t>
      </w:r>
      <w:r>
        <w:rPr>
          <w:spacing w:val="10"/>
        </w:rPr>
        <w:t> </w:t>
      </w:r>
      <w:r>
        <w:rPr/>
        <w:t>was</w:t>
      </w:r>
      <w:r>
        <w:rPr>
          <w:spacing w:val="10"/>
        </w:rPr>
        <w:t> </w:t>
      </w:r>
      <w:r>
        <w:rPr/>
        <w:t>relatively</w:t>
      </w:r>
    </w:p>
    <w:p>
      <w:pPr>
        <w:pStyle w:val="BodyText"/>
        <w:spacing w:before="3"/>
        <w:rPr>
          <w:sz w:val="25"/>
        </w:rPr>
      </w:pPr>
      <w:r>
        <w:rPr/>
        <w:pict>
          <v:line style="position:absolute;mso-position-horizontal-relative:page;mso-position-vertical-relative:paragraph;z-index:1288;mso-wrap-distance-left:0;mso-wrap-distance-right:0" from="67.019997pt,17.468029pt" to="211.019997pt,17.468029pt" stroked="true" strokeweight=".54pt" strokecolor="#000000">
            <v:stroke dashstyle="solid"/>
            <w10:wrap type="topAndBottom"/>
          </v:line>
        </w:pict>
      </w:r>
    </w:p>
    <w:p>
      <w:pPr>
        <w:spacing w:line="247" w:lineRule="exact" w:before="54"/>
        <w:ind w:left="120" w:right="0" w:firstLine="0"/>
        <w:jc w:val="left"/>
        <w:rPr>
          <w:sz w:val="20"/>
        </w:rPr>
      </w:pPr>
      <w:bookmarkStart w:name="_bookmark41" w:id="43"/>
      <w:bookmarkEnd w:id="43"/>
      <w:r>
        <w:rPr/>
      </w:r>
      <w:r>
        <w:rPr>
          <w:position w:val="7"/>
          <w:sz w:val="13"/>
        </w:rPr>
        <w:t>42 </w:t>
      </w:r>
      <w:r>
        <w:rPr>
          <w:i/>
          <w:sz w:val="21"/>
        </w:rPr>
        <w:t>DLG  </w:t>
      </w:r>
      <w:r>
        <w:rPr>
          <w:sz w:val="20"/>
        </w:rPr>
        <w:t>[2015] VMHT 82.</w:t>
      </w:r>
    </w:p>
    <w:p>
      <w:pPr>
        <w:spacing w:line="247" w:lineRule="exact" w:before="0"/>
        <w:ind w:left="120" w:right="0" w:firstLine="0"/>
        <w:jc w:val="left"/>
        <w:rPr>
          <w:sz w:val="20"/>
        </w:rPr>
      </w:pPr>
      <w:bookmarkStart w:name="_bookmark42" w:id="44"/>
      <w:bookmarkEnd w:id="44"/>
      <w:r>
        <w:rPr/>
      </w:r>
      <w:r>
        <w:rPr>
          <w:position w:val="7"/>
          <w:sz w:val="13"/>
        </w:rPr>
        <w:t>43 </w:t>
      </w:r>
      <w:r>
        <w:rPr>
          <w:i/>
          <w:sz w:val="21"/>
        </w:rPr>
        <w:t>ANV  </w:t>
      </w:r>
      <w:r>
        <w:rPr>
          <w:sz w:val="20"/>
        </w:rPr>
        <w:t>[2015] VMHT 95.</w:t>
      </w:r>
    </w:p>
    <w:p>
      <w:pPr>
        <w:spacing w:before="7"/>
        <w:ind w:left="120" w:right="0" w:firstLine="0"/>
        <w:jc w:val="left"/>
        <w:rPr>
          <w:sz w:val="20"/>
        </w:rPr>
      </w:pPr>
      <w:bookmarkStart w:name="_bookmark43" w:id="45"/>
      <w:bookmarkEnd w:id="45"/>
      <w:r>
        <w:rPr/>
      </w:r>
      <w:r>
        <w:rPr>
          <w:position w:val="7"/>
          <w:sz w:val="13"/>
        </w:rPr>
        <w:t>44 </w:t>
      </w:r>
      <w:r>
        <w:rPr>
          <w:i/>
          <w:sz w:val="21"/>
        </w:rPr>
        <w:t>OED  </w:t>
      </w:r>
      <w:r>
        <w:rPr>
          <w:sz w:val="20"/>
        </w:rPr>
        <w:t>[2015] VMHT 121.</w:t>
      </w:r>
    </w:p>
    <w:p>
      <w:pPr>
        <w:spacing w:after="0"/>
        <w:jc w:val="left"/>
        <w:rPr>
          <w:sz w:val="20"/>
        </w:rPr>
        <w:sectPr>
          <w:pgSz w:w="11910" w:h="16840"/>
          <w:pgMar w:header="763" w:footer="1025" w:top="980" w:bottom="1220" w:left="1220" w:right="1320"/>
        </w:sectPr>
      </w:pPr>
    </w:p>
    <w:p>
      <w:pPr>
        <w:pStyle w:val="BodyText"/>
        <w:spacing w:before="4"/>
        <w:rPr>
          <w:sz w:val="21"/>
        </w:rPr>
      </w:pPr>
    </w:p>
    <w:p>
      <w:pPr>
        <w:pStyle w:val="BodyText"/>
        <w:spacing w:before="100"/>
        <w:ind w:left="100" w:right="110"/>
        <w:jc w:val="both"/>
      </w:pPr>
      <w:r>
        <w:rPr/>
        <w:t>minor.</w:t>
      </w:r>
      <w:r>
        <w:rPr>
          <w:spacing w:val="-15"/>
        </w:rPr>
        <w:t> </w:t>
      </w:r>
      <w:r>
        <w:rPr/>
        <w:t>This</w:t>
      </w:r>
      <w:r>
        <w:rPr>
          <w:spacing w:val="-14"/>
        </w:rPr>
        <w:t> </w:t>
      </w:r>
      <w:r>
        <w:rPr/>
        <w:t>common</w:t>
      </w:r>
      <w:r>
        <w:rPr>
          <w:spacing w:val="-15"/>
        </w:rPr>
        <w:t> </w:t>
      </w:r>
      <w:r>
        <w:rPr/>
        <w:t>approach</w:t>
      </w:r>
      <w:r>
        <w:rPr>
          <w:spacing w:val="-16"/>
        </w:rPr>
        <w:t> </w:t>
      </w:r>
      <w:r>
        <w:rPr/>
        <w:t>to</w:t>
      </w:r>
      <w:r>
        <w:rPr>
          <w:spacing w:val="-16"/>
        </w:rPr>
        <w:t> </w:t>
      </w:r>
      <w:r>
        <w:rPr/>
        <w:t>documentation</w:t>
      </w:r>
      <w:r>
        <w:rPr>
          <w:spacing w:val="-16"/>
        </w:rPr>
        <w:t> </w:t>
      </w:r>
      <w:r>
        <w:rPr/>
        <w:t>likely</w:t>
      </w:r>
      <w:r>
        <w:rPr>
          <w:spacing w:val="-15"/>
        </w:rPr>
        <w:t> </w:t>
      </w:r>
      <w:r>
        <w:rPr/>
        <w:t>accounts</w:t>
      </w:r>
      <w:r>
        <w:rPr>
          <w:spacing w:val="-15"/>
        </w:rPr>
        <w:t> </w:t>
      </w:r>
      <w:r>
        <w:rPr/>
        <w:t>for</w:t>
      </w:r>
      <w:r>
        <w:rPr>
          <w:spacing w:val="-16"/>
        </w:rPr>
        <w:t> </w:t>
      </w:r>
      <w:r>
        <w:rPr/>
        <w:t>the</w:t>
      </w:r>
      <w:r>
        <w:rPr>
          <w:spacing w:val="-15"/>
        </w:rPr>
        <w:t> </w:t>
      </w:r>
      <w:r>
        <w:rPr/>
        <w:t>fact</w:t>
      </w:r>
      <w:r>
        <w:rPr>
          <w:spacing w:val="-15"/>
        </w:rPr>
        <w:t> </w:t>
      </w:r>
      <w:r>
        <w:rPr/>
        <w:t>that</w:t>
      </w:r>
      <w:r>
        <w:rPr>
          <w:spacing w:val="-14"/>
        </w:rPr>
        <w:t> </w:t>
      </w:r>
      <w:r>
        <w:rPr/>
        <w:t>in</w:t>
      </w:r>
      <w:r>
        <w:rPr>
          <w:spacing w:val="-15"/>
        </w:rPr>
        <w:t> </w:t>
      </w:r>
      <w:r>
        <w:rPr/>
        <w:t>only 4</w:t>
      </w:r>
      <w:r>
        <w:rPr>
          <w:spacing w:val="-7"/>
        </w:rPr>
        <w:t> </w:t>
      </w:r>
      <w:r>
        <w:rPr/>
        <w:t>of</w:t>
      </w:r>
      <w:r>
        <w:rPr>
          <w:spacing w:val="-6"/>
        </w:rPr>
        <w:t> </w:t>
      </w:r>
      <w:r>
        <w:rPr/>
        <w:t>these</w:t>
      </w:r>
      <w:r>
        <w:rPr>
          <w:spacing w:val="-7"/>
        </w:rPr>
        <w:t> </w:t>
      </w:r>
      <w:r>
        <w:rPr/>
        <w:t>22</w:t>
      </w:r>
      <w:r>
        <w:rPr>
          <w:spacing w:val="-7"/>
        </w:rPr>
        <w:t> </w:t>
      </w:r>
      <w:r>
        <w:rPr/>
        <w:t>Group</w:t>
      </w:r>
      <w:r>
        <w:rPr>
          <w:spacing w:val="-6"/>
        </w:rPr>
        <w:t> </w:t>
      </w:r>
      <w:r>
        <w:rPr/>
        <w:t>4</w:t>
      </w:r>
      <w:r>
        <w:rPr>
          <w:spacing w:val="-8"/>
        </w:rPr>
        <w:t> </w:t>
      </w:r>
      <w:r>
        <w:rPr/>
        <w:t>cases</w:t>
      </w:r>
      <w:r>
        <w:rPr>
          <w:spacing w:val="-7"/>
        </w:rPr>
        <w:t> </w:t>
      </w:r>
      <w:r>
        <w:rPr/>
        <w:t>did</w:t>
      </w:r>
      <w:r>
        <w:rPr>
          <w:spacing w:val="-6"/>
        </w:rPr>
        <w:t> </w:t>
      </w:r>
      <w:r>
        <w:rPr/>
        <w:t>the</w:t>
      </w:r>
      <w:r>
        <w:rPr>
          <w:spacing w:val="-7"/>
        </w:rPr>
        <w:t> </w:t>
      </w:r>
      <w:r>
        <w:rPr/>
        <w:t>Tribunal</w:t>
      </w:r>
      <w:r>
        <w:rPr>
          <w:spacing w:val="-8"/>
        </w:rPr>
        <w:t> </w:t>
      </w:r>
      <w:r>
        <w:rPr/>
        <w:t>find</w:t>
      </w:r>
      <w:r>
        <w:rPr>
          <w:spacing w:val="-6"/>
        </w:rPr>
        <w:t> </w:t>
      </w:r>
      <w:r>
        <w:rPr/>
        <w:t>that</w:t>
      </w:r>
      <w:r>
        <w:rPr>
          <w:spacing w:val="-6"/>
        </w:rPr>
        <w:t> </w:t>
      </w:r>
      <w:r>
        <w:rPr/>
        <w:t>the</w:t>
      </w:r>
      <w:r>
        <w:rPr>
          <w:spacing w:val="-7"/>
        </w:rPr>
        <w:t> </w:t>
      </w:r>
      <w:r>
        <w:rPr/>
        <w:t>least</w:t>
      </w:r>
      <w:r>
        <w:rPr>
          <w:spacing w:val="-6"/>
        </w:rPr>
        <w:t> </w:t>
      </w:r>
      <w:r>
        <w:rPr/>
        <w:t>restrictive</w:t>
      </w:r>
      <w:r>
        <w:rPr>
          <w:spacing w:val="-7"/>
        </w:rPr>
        <w:t> </w:t>
      </w:r>
      <w:r>
        <w:rPr/>
        <w:t>criterion</w:t>
      </w:r>
      <w:r>
        <w:rPr>
          <w:spacing w:val="-6"/>
        </w:rPr>
        <w:t> </w:t>
      </w:r>
      <w:r>
        <w:rPr/>
        <w:t>was met.</w:t>
      </w:r>
    </w:p>
    <w:p>
      <w:pPr>
        <w:pStyle w:val="BodyText"/>
        <w:spacing w:before="1"/>
      </w:pPr>
    </w:p>
    <w:p>
      <w:pPr>
        <w:pStyle w:val="Heading1"/>
        <w:spacing w:line="230" w:lineRule="auto" w:before="1"/>
        <w:ind w:left="100"/>
      </w:pPr>
      <w:r>
        <w:rPr/>
        <w:t>Cases</w:t>
      </w:r>
      <w:r>
        <w:rPr>
          <w:spacing w:val="-45"/>
        </w:rPr>
        <w:t> </w:t>
      </w:r>
      <w:r>
        <w:rPr/>
        <w:t>in</w:t>
      </w:r>
      <w:r>
        <w:rPr>
          <w:spacing w:val="-45"/>
        </w:rPr>
        <w:t> </w:t>
      </w:r>
      <w:r>
        <w:rPr/>
        <w:t>Group</w:t>
      </w:r>
      <w:r>
        <w:rPr>
          <w:spacing w:val="-45"/>
        </w:rPr>
        <w:t> </w:t>
      </w:r>
      <w:r>
        <w:rPr/>
        <w:t>5</w:t>
      </w:r>
      <w:r>
        <w:rPr>
          <w:spacing w:val="-46"/>
        </w:rPr>
        <w:t> </w:t>
      </w:r>
      <w:r>
        <w:rPr/>
        <w:t>in</w:t>
      </w:r>
      <w:r>
        <w:rPr>
          <w:spacing w:val="-45"/>
        </w:rPr>
        <w:t> </w:t>
      </w:r>
      <w:r>
        <w:rPr/>
        <w:t>which</w:t>
      </w:r>
      <w:r>
        <w:rPr>
          <w:spacing w:val="-45"/>
        </w:rPr>
        <w:t> </w:t>
      </w:r>
      <w:r>
        <w:rPr/>
        <w:t>there</w:t>
      </w:r>
      <w:r>
        <w:rPr>
          <w:spacing w:val="-45"/>
        </w:rPr>
        <w:t> </w:t>
      </w:r>
      <w:r>
        <w:rPr/>
        <w:t>is</w:t>
      </w:r>
      <w:r>
        <w:rPr>
          <w:spacing w:val="-46"/>
        </w:rPr>
        <w:t> </w:t>
      </w:r>
      <w:r>
        <w:rPr/>
        <w:t>no</w:t>
      </w:r>
      <w:r>
        <w:rPr>
          <w:spacing w:val="-45"/>
        </w:rPr>
        <w:t> </w:t>
      </w:r>
      <w:r>
        <w:rPr/>
        <w:t>evidence</w:t>
      </w:r>
      <w:r>
        <w:rPr>
          <w:spacing w:val="-45"/>
        </w:rPr>
        <w:t> </w:t>
      </w:r>
      <w:r>
        <w:rPr/>
        <w:t>the</w:t>
      </w:r>
      <w:r>
        <w:rPr>
          <w:spacing w:val="-45"/>
        </w:rPr>
        <w:t> </w:t>
      </w:r>
      <w:r>
        <w:rPr/>
        <w:t>Tribunal</w:t>
      </w:r>
      <w:r>
        <w:rPr>
          <w:spacing w:val="-45"/>
        </w:rPr>
        <w:t> </w:t>
      </w:r>
      <w:r>
        <w:rPr/>
        <w:t>considered</w:t>
      </w:r>
      <w:r>
        <w:rPr>
          <w:spacing w:val="-45"/>
        </w:rPr>
        <w:t> </w:t>
      </w:r>
      <w:r>
        <w:rPr/>
        <w:t>decision-making capacity</w:t>
      </w:r>
    </w:p>
    <w:p>
      <w:pPr>
        <w:pStyle w:val="BodyText"/>
        <w:spacing w:before="10"/>
        <w:rPr>
          <w:i/>
          <w:sz w:val="23"/>
        </w:rPr>
      </w:pPr>
    </w:p>
    <w:p>
      <w:pPr>
        <w:pStyle w:val="BodyText"/>
        <w:ind w:left="100" w:right="109"/>
        <w:jc w:val="both"/>
      </w:pPr>
      <w:r>
        <w:rPr/>
        <w:t>If</w:t>
      </w:r>
      <w:r>
        <w:rPr>
          <w:spacing w:val="-7"/>
        </w:rPr>
        <w:t> </w:t>
      </w:r>
      <w:r>
        <w:rPr/>
        <w:t>one</w:t>
      </w:r>
      <w:r>
        <w:rPr>
          <w:spacing w:val="-7"/>
        </w:rPr>
        <w:t> </w:t>
      </w:r>
      <w:r>
        <w:rPr/>
        <w:t>combines</w:t>
      </w:r>
      <w:r>
        <w:rPr>
          <w:spacing w:val="-8"/>
        </w:rPr>
        <w:t> </w:t>
      </w:r>
      <w:r>
        <w:rPr/>
        <w:t>the</w:t>
      </w:r>
      <w:r>
        <w:rPr>
          <w:spacing w:val="-8"/>
        </w:rPr>
        <w:t> </w:t>
      </w:r>
      <w:r>
        <w:rPr/>
        <w:t>cases</w:t>
      </w:r>
      <w:r>
        <w:rPr>
          <w:spacing w:val="-8"/>
        </w:rPr>
        <w:t> </w:t>
      </w:r>
      <w:r>
        <w:rPr/>
        <w:t>categorised</w:t>
      </w:r>
      <w:r>
        <w:rPr>
          <w:spacing w:val="-7"/>
        </w:rPr>
        <w:t> </w:t>
      </w:r>
      <w:r>
        <w:rPr/>
        <w:t>to</w:t>
      </w:r>
      <w:r>
        <w:rPr>
          <w:spacing w:val="-7"/>
        </w:rPr>
        <w:t> </w:t>
      </w:r>
      <w:r>
        <w:rPr/>
        <w:t>Groups</w:t>
      </w:r>
      <w:r>
        <w:rPr>
          <w:spacing w:val="-8"/>
        </w:rPr>
        <w:t> </w:t>
      </w:r>
      <w:r>
        <w:rPr/>
        <w:t>3</w:t>
      </w:r>
      <w:r>
        <w:rPr>
          <w:spacing w:val="-8"/>
        </w:rPr>
        <w:t> </w:t>
      </w:r>
      <w:r>
        <w:rPr/>
        <w:t>and</w:t>
      </w:r>
      <w:r>
        <w:rPr>
          <w:spacing w:val="-7"/>
        </w:rPr>
        <w:t> </w:t>
      </w:r>
      <w:r>
        <w:rPr/>
        <w:t>4,</w:t>
      </w:r>
      <w:r>
        <w:rPr>
          <w:spacing w:val="-7"/>
        </w:rPr>
        <w:t> </w:t>
      </w:r>
      <w:r>
        <w:rPr/>
        <w:t>which</w:t>
      </w:r>
      <w:r>
        <w:rPr>
          <w:spacing w:val="-8"/>
        </w:rPr>
        <w:t> </w:t>
      </w:r>
      <w:r>
        <w:rPr/>
        <w:t>represent</w:t>
      </w:r>
      <w:r>
        <w:rPr>
          <w:spacing w:val="-6"/>
        </w:rPr>
        <w:t> </w:t>
      </w:r>
      <w:r>
        <w:rPr/>
        <w:t>those</w:t>
      </w:r>
      <w:r>
        <w:rPr>
          <w:spacing w:val="-8"/>
        </w:rPr>
        <w:t> </w:t>
      </w:r>
      <w:r>
        <w:rPr/>
        <w:t>cases where</w:t>
      </w:r>
      <w:r>
        <w:rPr>
          <w:spacing w:val="-15"/>
        </w:rPr>
        <w:t> </w:t>
      </w:r>
      <w:r>
        <w:rPr/>
        <w:t>the</w:t>
      </w:r>
      <w:r>
        <w:rPr>
          <w:spacing w:val="-16"/>
        </w:rPr>
        <w:t> </w:t>
      </w:r>
      <w:r>
        <w:rPr/>
        <w:t>Tribunal</w:t>
      </w:r>
      <w:r>
        <w:rPr>
          <w:spacing w:val="-16"/>
        </w:rPr>
        <w:t> </w:t>
      </w:r>
      <w:r>
        <w:rPr/>
        <w:t>might</w:t>
      </w:r>
      <w:r>
        <w:rPr>
          <w:spacing w:val="-16"/>
        </w:rPr>
        <w:t> </w:t>
      </w:r>
      <w:r>
        <w:rPr/>
        <w:t>have</w:t>
      </w:r>
      <w:r>
        <w:rPr>
          <w:spacing w:val="-16"/>
        </w:rPr>
        <w:t> </w:t>
      </w:r>
      <w:r>
        <w:rPr/>
        <w:t>considered</w:t>
      </w:r>
      <w:r>
        <w:rPr>
          <w:spacing w:val="-14"/>
        </w:rPr>
        <w:t> </w:t>
      </w:r>
      <w:r>
        <w:rPr/>
        <w:t>the</w:t>
      </w:r>
      <w:r>
        <w:rPr>
          <w:spacing w:val="-15"/>
        </w:rPr>
        <w:t> </w:t>
      </w:r>
      <w:r>
        <w:rPr/>
        <w:t>patient’s</w:t>
      </w:r>
      <w:r>
        <w:rPr>
          <w:spacing w:val="-16"/>
        </w:rPr>
        <w:t> </w:t>
      </w:r>
      <w:r>
        <w:rPr/>
        <w:t>decisions</w:t>
      </w:r>
      <w:r>
        <w:rPr>
          <w:spacing w:val="-15"/>
        </w:rPr>
        <w:t> </w:t>
      </w:r>
      <w:r>
        <w:rPr/>
        <w:t>making</w:t>
      </w:r>
      <w:r>
        <w:rPr>
          <w:spacing w:val="-14"/>
        </w:rPr>
        <w:t> </w:t>
      </w:r>
      <w:r>
        <w:rPr/>
        <w:t>capacity,</w:t>
      </w:r>
      <w:r>
        <w:rPr>
          <w:spacing w:val="-14"/>
        </w:rPr>
        <w:t> </w:t>
      </w:r>
      <w:r>
        <w:rPr/>
        <w:t>with those cases in Groups 1 and 2, where it is clear that the Tribunal did consider the patient’s decision-making capacity, it becomes apparent that even under the most generous</w:t>
      </w:r>
      <w:r>
        <w:rPr>
          <w:spacing w:val="-13"/>
        </w:rPr>
        <w:t> </w:t>
      </w:r>
      <w:r>
        <w:rPr/>
        <w:t>interpretation</w:t>
      </w:r>
      <w:r>
        <w:rPr>
          <w:spacing w:val="-12"/>
        </w:rPr>
        <w:t> </w:t>
      </w:r>
      <w:r>
        <w:rPr/>
        <w:t>of</w:t>
      </w:r>
      <w:r>
        <w:rPr>
          <w:spacing w:val="-12"/>
        </w:rPr>
        <w:t> </w:t>
      </w:r>
      <w:r>
        <w:rPr/>
        <w:t>the</w:t>
      </w:r>
      <w:r>
        <w:rPr>
          <w:spacing w:val="-13"/>
        </w:rPr>
        <w:t> </w:t>
      </w:r>
      <w:r>
        <w:rPr/>
        <w:t>data,</w:t>
      </w:r>
      <w:r>
        <w:rPr>
          <w:spacing w:val="-11"/>
        </w:rPr>
        <w:t> </w:t>
      </w:r>
      <w:r>
        <w:rPr/>
        <w:t>the</w:t>
      </w:r>
      <w:r>
        <w:rPr>
          <w:spacing w:val="-13"/>
        </w:rPr>
        <w:t> </w:t>
      </w:r>
      <w:r>
        <w:rPr/>
        <w:t>Tribunal</w:t>
      </w:r>
      <w:r>
        <w:rPr>
          <w:spacing w:val="-12"/>
        </w:rPr>
        <w:t> </w:t>
      </w:r>
      <w:r>
        <w:rPr/>
        <w:t>did</w:t>
      </w:r>
      <w:r>
        <w:rPr>
          <w:spacing w:val="-12"/>
        </w:rPr>
        <w:t> </w:t>
      </w:r>
      <w:r>
        <w:rPr/>
        <w:t>not</w:t>
      </w:r>
      <w:r>
        <w:rPr>
          <w:spacing w:val="-11"/>
        </w:rPr>
        <w:t> </w:t>
      </w:r>
      <w:r>
        <w:rPr/>
        <w:t>consider</w:t>
      </w:r>
      <w:r>
        <w:rPr>
          <w:spacing w:val="-14"/>
        </w:rPr>
        <w:t> </w:t>
      </w:r>
      <w:r>
        <w:rPr/>
        <w:t>whether</w:t>
      </w:r>
      <w:r>
        <w:rPr>
          <w:spacing w:val="-11"/>
        </w:rPr>
        <w:t> </w:t>
      </w:r>
      <w:r>
        <w:rPr/>
        <w:t>the</w:t>
      </w:r>
      <w:r>
        <w:rPr>
          <w:spacing w:val="-12"/>
        </w:rPr>
        <w:t> </w:t>
      </w:r>
      <w:r>
        <w:rPr/>
        <w:t>patient’s refusal of the proposed treatment was competent in 53% of the cases</w:t>
      </w:r>
      <w:r>
        <w:rPr>
          <w:spacing w:val="-32"/>
        </w:rPr>
        <w:t> </w:t>
      </w:r>
      <w:r>
        <w:rPr/>
        <w:t>reviewed.</w:t>
      </w:r>
    </w:p>
    <w:p>
      <w:pPr>
        <w:pStyle w:val="BodyText"/>
        <w:spacing w:before="10"/>
        <w:rPr>
          <w:sz w:val="23"/>
        </w:rPr>
      </w:pPr>
    </w:p>
    <w:p>
      <w:pPr>
        <w:pStyle w:val="BodyText"/>
        <w:spacing w:before="1"/>
        <w:ind w:left="100" w:right="110"/>
        <w:jc w:val="both"/>
      </w:pPr>
      <w:r>
        <w:rPr/>
        <w:t>In</w:t>
      </w:r>
      <w:r>
        <w:rPr>
          <w:spacing w:val="-5"/>
        </w:rPr>
        <w:t> </w:t>
      </w:r>
      <w:r>
        <w:rPr/>
        <w:t>these</w:t>
      </w:r>
      <w:r>
        <w:rPr>
          <w:spacing w:val="-6"/>
        </w:rPr>
        <w:t> </w:t>
      </w:r>
      <w:r>
        <w:rPr/>
        <w:t>109</w:t>
      </w:r>
      <w:r>
        <w:rPr>
          <w:spacing w:val="-6"/>
        </w:rPr>
        <w:t> </w:t>
      </w:r>
      <w:r>
        <w:rPr/>
        <w:t>Group</w:t>
      </w:r>
      <w:r>
        <w:rPr>
          <w:spacing w:val="-5"/>
        </w:rPr>
        <w:t> </w:t>
      </w:r>
      <w:r>
        <w:rPr/>
        <w:t>5</w:t>
      </w:r>
      <w:r>
        <w:rPr>
          <w:spacing w:val="-7"/>
        </w:rPr>
        <w:t> </w:t>
      </w:r>
      <w:r>
        <w:rPr/>
        <w:t>cases,</w:t>
      </w:r>
      <w:r>
        <w:rPr>
          <w:spacing w:val="-5"/>
        </w:rPr>
        <w:t> </w:t>
      </w:r>
      <w:r>
        <w:rPr/>
        <w:t>the</w:t>
      </w:r>
      <w:r>
        <w:rPr>
          <w:spacing w:val="-6"/>
        </w:rPr>
        <w:t> </w:t>
      </w:r>
      <w:r>
        <w:rPr/>
        <w:t>Tribunal</w:t>
      </w:r>
      <w:r>
        <w:rPr>
          <w:spacing w:val="-5"/>
        </w:rPr>
        <w:t> </w:t>
      </w:r>
      <w:r>
        <w:rPr/>
        <w:t>made</w:t>
      </w:r>
      <w:r>
        <w:rPr>
          <w:spacing w:val="-6"/>
        </w:rPr>
        <w:t> </w:t>
      </w:r>
      <w:r>
        <w:rPr/>
        <w:t>a</w:t>
      </w:r>
      <w:r>
        <w:rPr>
          <w:spacing w:val="-5"/>
        </w:rPr>
        <w:t> </w:t>
      </w:r>
      <w:r>
        <w:rPr/>
        <w:t>determination</w:t>
      </w:r>
      <w:r>
        <w:rPr>
          <w:spacing w:val="-6"/>
        </w:rPr>
        <w:t> </w:t>
      </w:r>
      <w:r>
        <w:rPr/>
        <w:t>on</w:t>
      </w:r>
      <w:r>
        <w:rPr>
          <w:spacing w:val="-5"/>
        </w:rPr>
        <w:t> </w:t>
      </w:r>
      <w:r>
        <w:rPr/>
        <w:t>the</w:t>
      </w:r>
      <w:r>
        <w:rPr>
          <w:spacing w:val="-6"/>
        </w:rPr>
        <w:t> </w:t>
      </w:r>
      <w:r>
        <w:rPr/>
        <w:t>least</w:t>
      </w:r>
      <w:r>
        <w:rPr>
          <w:spacing w:val="-6"/>
        </w:rPr>
        <w:t> </w:t>
      </w:r>
      <w:r>
        <w:rPr/>
        <w:t>restrictive criterion without reference to anything that could have signified that it had given consideration to the patient’s decision-making capacity. In these cases, if a patient’s understanding or appreciation or beliefs or insight was mentioned in statement of reasons at all, that phenomenology was not linked to the Tribunal’s rationale for its decision and there was no mention of autonomy or right to take risks that in any way suggested the patient’s decision-making capacity had been</w:t>
      </w:r>
      <w:r>
        <w:rPr>
          <w:spacing w:val="-30"/>
        </w:rPr>
        <w:t> </w:t>
      </w:r>
      <w:r>
        <w:rPr/>
        <w:t>considered.</w:t>
      </w:r>
    </w:p>
    <w:p>
      <w:pPr>
        <w:pStyle w:val="BodyText"/>
      </w:pPr>
    </w:p>
    <w:p>
      <w:pPr>
        <w:pStyle w:val="BodyText"/>
        <w:ind w:left="100" w:right="109"/>
        <w:jc w:val="both"/>
      </w:pPr>
      <w:r>
        <w:rPr/>
        <w:t>Under the reasoning set out above, the only valid reason that the Tribunal might not make</w:t>
      </w:r>
      <w:r>
        <w:rPr>
          <w:spacing w:val="-19"/>
        </w:rPr>
        <w:t> </w:t>
      </w:r>
      <w:r>
        <w:rPr/>
        <w:t>reference</w:t>
      </w:r>
      <w:r>
        <w:rPr>
          <w:spacing w:val="-19"/>
        </w:rPr>
        <w:t> </w:t>
      </w:r>
      <w:r>
        <w:rPr/>
        <w:t>to</w:t>
      </w:r>
      <w:r>
        <w:rPr>
          <w:spacing w:val="-19"/>
        </w:rPr>
        <w:t> </w:t>
      </w:r>
      <w:r>
        <w:rPr/>
        <w:t>the</w:t>
      </w:r>
      <w:r>
        <w:rPr>
          <w:spacing w:val="-21"/>
        </w:rPr>
        <w:t> </w:t>
      </w:r>
      <w:r>
        <w:rPr/>
        <w:t>patient’s</w:t>
      </w:r>
      <w:r>
        <w:rPr>
          <w:spacing w:val="-20"/>
        </w:rPr>
        <w:t> </w:t>
      </w:r>
      <w:r>
        <w:rPr/>
        <w:t>decision-making</w:t>
      </w:r>
      <w:r>
        <w:rPr>
          <w:spacing w:val="-19"/>
        </w:rPr>
        <w:t> </w:t>
      </w:r>
      <w:r>
        <w:rPr/>
        <w:t>capacity</w:t>
      </w:r>
      <w:r>
        <w:rPr>
          <w:spacing w:val="-19"/>
        </w:rPr>
        <w:t> </w:t>
      </w:r>
      <w:r>
        <w:rPr/>
        <w:t>about</w:t>
      </w:r>
      <w:r>
        <w:rPr>
          <w:spacing w:val="-19"/>
        </w:rPr>
        <w:t> </w:t>
      </w:r>
      <w:r>
        <w:rPr/>
        <w:t>the</w:t>
      </w:r>
      <w:r>
        <w:rPr>
          <w:spacing w:val="-20"/>
        </w:rPr>
        <w:t> </w:t>
      </w:r>
      <w:r>
        <w:rPr/>
        <w:t>proposed</w:t>
      </w:r>
      <w:r>
        <w:rPr>
          <w:spacing w:val="-18"/>
        </w:rPr>
        <w:t> </w:t>
      </w:r>
      <w:r>
        <w:rPr/>
        <w:t>treatment being refused, was if it were to form the view that in this instance the presumption of capacity could not be displaced. However, if it were the case that the patient was competently refusing the proposed treatment then, again using the reasoning above, the Tribunal should have found that the least restrictive criterion was met in only a minority</w:t>
      </w:r>
      <w:r>
        <w:rPr>
          <w:spacing w:val="-10"/>
        </w:rPr>
        <w:t> </w:t>
      </w:r>
      <w:r>
        <w:rPr/>
        <w:t>of</w:t>
      </w:r>
      <w:r>
        <w:rPr>
          <w:spacing w:val="-11"/>
        </w:rPr>
        <w:t> </w:t>
      </w:r>
      <w:r>
        <w:rPr/>
        <w:t>cases.</w:t>
      </w:r>
      <w:r>
        <w:rPr>
          <w:spacing w:val="-8"/>
        </w:rPr>
        <w:t> </w:t>
      </w:r>
      <w:r>
        <w:rPr/>
        <w:t>In</w:t>
      </w:r>
      <w:r>
        <w:rPr>
          <w:spacing w:val="-10"/>
        </w:rPr>
        <w:t> </w:t>
      </w:r>
      <w:r>
        <w:rPr/>
        <w:t>fact,</w:t>
      </w:r>
      <w:r>
        <w:rPr>
          <w:spacing w:val="-8"/>
        </w:rPr>
        <w:t> </w:t>
      </w:r>
      <w:r>
        <w:rPr/>
        <w:t>the</w:t>
      </w:r>
      <w:r>
        <w:rPr>
          <w:spacing w:val="-9"/>
        </w:rPr>
        <w:t> </w:t>
      </w:r>
      <w:r>
        <w:rPr/>
        <w:t>reverse</w:t>
      </w:r>
      <w:r>
        <w:rPr>
          <w:spacing w:val="-9"/>
        </w:rPr>
        <w:t> </w:t>
      </w:r>
      <w:r>
        <w:rPr/>
        <w:t>was</w:t>
      </w:r>
      <w:r>
        <w:rPr>
          <w:spacing w:val="-9"/>
        </w:rPr>
        <w:t> </w:t>
      </w:r>
      <w:r>
        <w:rPr/>
        <w:t>true.</w:t>
      </w:r>
      <w:r>
        <w:rPr>
          <w:spacing w:val="-8"/>
        </w:rPr>
        <w:t> </w:t>
      </w:r>
      <w:r>
        <w:rPr/>
        <w:t>The</w:t>
      </w:r>
      <w:r>
        <w:rPr>
          <w:spacing w:val="-9"/>
        </w:rPr>
        <w:t> </w:t>
      </w:r>
      <w:r>
        <w:rPr/>
        <w:t>Tribunal</w:t>
      </w:r>
      <w:r>
        <w:rPr>
          <w:spacing w:val="-10"/>
        </w:rPr>
        <w:t> </w:t>
      </w:r>
      <w:r>
        <w:rPr/>
        <w:t>found</w:t>
      </w:r>
      <w:r>
        <w:rPr>
          <w:spacing w:val="-11"/>
        </w:rPr>
        <w:t> </w:t>
      </w:r>
      <w:r>
        <w:rPr/>
        <w:t>the</w:t>
      </w:r>
      <w:r>
        <w:rPr>
          <w:spacing w:val="-9"/>
        </w:rPr>
        <w:t> </w:t>
      </w:r>
      <w:r>
        <w:rPr/>
        <w:t>least</w:t>
      </w:r>
      <w:r>
        <w:rPr>
          <w:spacing w:val="-10"/>
        </w:rPr>
        <w:t> </w:t>
      </w:r>
      <w:r>
        <w:rPr/>
        <w:t>restrictive criterion was met in 92 of the 109 Group 5 cases</w:t>
      </w:r>
      <w:r>
        <w:rPr>
          <w:spacing w:val="-22"/>
        </w:rPr>
        <w:t> </w:t>
      </w:r>
      <w:r>
        <w:rPr/>
        <w:t>(84%).</w:t>
      </w:r>
    </w:p>
    <w:p>
      <w:pPr>
        <w:pStyle w:val="BodyText"/>
        <w:spacing w:before="11"/>
        <w:rPr>
          <w:sz w:val="23"/>
        </w:rPr>
      </w:pPr>
    </w:p>
    <w:p>
      <w:pPr>
        <w:pStyle w:val="ListParagraph"/>
        <w:numPr>
          <w:ilvl w:val="0"/>
          <w:numId w:val="5"/>
        </w:numPr>
        <w:tabs>
          <w:tab w:pos="572" w:val="left" w:leader="none"/>
        </w:tabs>
        <w:spacing w:line="240" w:lineRule="auto" w:before="1" w:after="0"/>
        <w:ind w:left="571" w:right="0" w:hanging="471"/>
        <w:jc w:val="both"/>
        <w:rPr>
          <w:sz w:val="24"/>
        </w:rPr>
      </w:pPr>
      <w:r>
        <w:rPr>
          <w:sz w:val="24"/>
        </w:rPr>
        <w:t>2 Second</w:t>
      </w:r>
      <w:r>
        <w:rPr>
          <w:spacing w:val="-6"/>
          <w:sz w:val="24"/>
        </w:rPr>
        <w:t> </w:t>
      </w:r>
      <w:r>
        <w:rPr>
          <w:sz w:val="24"/>
        </w:rPr>
        <w:t>Study</w:t>
      </w:r>
    </w:p>
    <w:p>
      <w:pPr>
        <w:pStyle w:val="BodyText"/>
        <w:spacing w:before="8"/>
        <w:rPr>
          <w:sz w:val="30"/>
        </w:rPr>
      </w:pPr>
    </w:p>
    <w:p>
      <w:pPr>
        <w:pStyle w:val="BodyText"/>
        <w:ind w:left="100" w:right="109"/>
        <w:jc w:val="both"/>
      </w:pPr>
      <w:r>
        <w:rPr/>
        <w:t>The second study was an exploratory thematic analysis, which sought to identify the way the Tribunal made decisions. One of the early emergent themes was ‘capacity’, which forms the basis of the second study analysis presented here.</w:t>
      </w:r>
    </w:p>
    <w:p>
      <w:pPr>
        <w:pStyle w:val="BodyText"/>
        <w:spacing w:before="10"/>
        <w:rPr>
          <w:sz w:val="21"/>
        </w:rPr>
      </w:pPr>
    </w:p>
    <w:p>
      <w:pPr>
        <w:pStyle w:val="BodyText"/>
        <w:spacing w:before="1"/>
        <w:ind w:left="100"/>
        <w:jc w:val="both"/>
      </w:pPr>
      <w:r>
        <w:rPr>
          <w:u w:val="single"/>
        </w:rPr>
        <w:t>Method </w:t>
      </w:r>
    </w:p>
    <w:p>
      <w:pPr>
        <w:pStyle w:val="BodyText"/>
        <w:spacing w:before="8"/>
        <w:rPr>
          <w:sz w:val="15"/>
        </w:rPr>
      </w:pPr>
    </w:p>
    <w:p>
      <w:pPr>
        <w:pStyle w:val="BodyText"/>
        <w:spacing w:before="101"/>
        <w:ind w:left="100" w:right="110"/>
        <w:jc w:val="both"/>
      </w:pPr>
      <w:r>
        <w:rPr/>
        <w:t>The</w:t>
      </w:r>
      <w:r>
        <w:rPr>
          <w:spacing w:val="-13"/>
        </w:rPr>
        <w:t> </w:t>
      </w:r>
      <w:r>
        <w:rPr/>
        <w:t>second</w:t>
      </w:r>
      <w:r>
        <w:rPr>
          <w:spacing w:val="-13"/>
        </w:rPr>
        <w:t> </w:t>
      </w:r>
      <w:r>
        <w:rPr/>
        <w:t>study</w:t>
      </w:r>
      <w:r>
        <w:rPr>
          <w:spacing w:val="-12"/>
        </w:rPr>
        <w:t> </w:t>
      </w:r>
      <w:r>
        <w:rPr/>
        <w:t>reviewed</w:t>
      </w:r>
      <w:r>
        <w:rPr>
          <w:spacing w:val="-12"/>
        </w:rPr>
        <w:t> </w:t>
      </w:r>
      <w:r>
        <w:rPr/>
        <w:t>339</w:t>
      </w:r>
      <w:r>
        <w:rPr>
          <w:spacing w:val="-13"/>
        </w:rPr>
        <w:t> </w:t>
      </w:r>
      <w:r>
        <w:rPr/>
        <w:t>statements</w:t>
      </w:r>
      <w:r>
        <w:rPr>
          <w:spacing w:val="-13"/>
        </w:rPr>
        <w:t> </w:t>
      </w:r>
      <w:r>
        <w:rPr/>
        <w:t>of</w:t>
      </w:r>
      <w:r>
        <w:rPr>
          <w:spacing w:val="-12"/>
        </w:rPr>
        <w:t> </w:t>
      </w:r>
      <w:r>
        <w:rPr/>
        <w:t>reasons,</w:t>
      </w:r>
      <w:r>
        <w:rPr>
          <w:spacing w:val="-13"/>
        </w:rPr>
        <w:t> </w:t>
      </w:r>
      <w:r>
        <w:rPr/>
        <w:t>those</w:t>
      </w:r>
      <w:r>
        <w:rPr>
          <w:spacing w:val="-13"/>
        </w:rPr>
        <w:t> </w:t>
      </w:r>
      <w:r>
        <w:rPr/>
        <w:t>hearings</w:t>
      </w:r>
      <w:r>
        <w:rPr>
          <w:spacing w:val="-13"/>
        </w:rPr>
        <w:t> </w:t>
      </w:r>
      <w:r>
        <w:rPr/>
        <w:t>held</w:t>
      </w:r>
      <w:r>
        <w:rPr>
          <w:spacing w:val="-12"/>
        </w:rPr>
        <w:t> </w:t>
      </w:r>
      <w:r>
        <w:rPr/>
        <w:t>from</w:t>
      </w:r>
      <w:r>
        <w:rPr>
          <w:spacing w:val="-12"/>
        </w:rPr>
        <w:t> </w:t>
      </w:r>
      <w:r>
        <w:rPr/>
        <w:t>2</w:t>
      </w:r>
      <w:r>
        <w:rPr>
          <w:spacing w:val="-13"/>
        </w:rPr>
        <w:t> </w:t>
      </w:r>
      <w:r>
        <w:rPr/>
        <w:t>July 2014</w:t>
      </w:r>
      <w:r>
        <w:rPr>
          <w:spacing w:val="-16"/>
        </w:rPr>
        <w:t> </w:t>
      </w:r>
      <w:r>
        <w:rPr/>
        <w:t>to</w:t>
      </w:r>
      <w:r>
        <w:rPr>
          <w:spacing w:val="-16"/>
        </w:rPr>
        <w:t> </w:t>
      </w:r>
      <w:r>
        <w:rPr/>
        <w:t>1</w:t>
      </w:r>
      <w:r>
        <w:rPr>
          <w:spacing w:val="-19"/>
        </w:rPr>
        <w:t> </w:t>
      </w:r>
      <w:r>
        <w:rPr/>
        <w:t>May</w:t>
      </w:r>
      <w:r>
        <w:rPr>
          <w:spacing w:val="-16"/>
        </w:rPr>
        <w:t> </w:t>
      </w:r>
      <w:r>
        <w:rPr/>
        <w:t>2016.</w:t>
      </w:r>
      <w:r>
        <w:rPr>
          <w:spacing w:val="-18"/>
        </w:rPr>
        <w:t> </w:t>
      </w:r>
      <w:r>
        <w:rPr/>
        <w:t>Of</w:t>
      </w:r>
      <w:r>
        <w:rPr>
          <w:spacing w:val="-17"/>
        </w:rPr>
        <w:t> </w:t>
      </w:r>
      <w:r>
        <w:rPr/>
        <w:t>these,</w:t>
      </w:r>
      <w:r>
        <w:rPr>
          <w:spacing w:val="-17"/>
        </w:rPr>
        <w:t> </w:t>
      </w:r>
      <w:r>
        <w:rPr/>
        <w:t>45</w:t>
      </w:r>
      <w:r>
        <w:rPr>
          <w:spacing w:val="-16"/>
        </w:rPr>
        <w:t> </w:t>
      </w:r>
      <w:r>
        <w:rPr/>
        <w:t>were</w:t>
      </w:r>
      <w:r>
        <w:rPr>
          <w:spacing w:val="-16"/>
        </w:rPr>
        <w:t> </w:t>
      </w:r>
      <w:r>
        <w:rPr/>
        <w:t>excluded,</w:t>
      </w:r>
      <w:r>
        <w:rPr>
          <w:spacing w:val="-16"/>
        </w:rPr>
        <w:t> </w:t>
      </w:r>
      <w:r>
        <w:rPr/>
        <w:t>1</w:t>
      </w:r>
      <w:r>
        <w:rPr>
          <w:spacing w:val="-18"/>
        </w:rPr>
        <w:t> </w:t>
      </w:r>
      <w:r>
        <w:rPr/>
        <w:t>hearing</w:t>
      </w:r>
      <w:r>
        <w:rPr>
          <w:spacing w:val="-17"/>
        </w:rPr>
        <w:t> </w:t>
      </w:r>
      <w:r>
        <w:rPr/>
        <w:t>was</w:t>
      </w:r>
      <w:r>
        <w:rPr>
          <w:spacing w:val="-16"/>
        </w:rPr>
        <w:t> </w:t>
      </w:r>
      <w:r>
        <w:rPr/>
        <w:t>adjourned,</w:t>
      </w:r>
      <w:r>
        <w:rPr>
          <w:spacing w:val="-17"/>
        </w:rPr>
        <w:t> </w:t>
      </w:r>
      <w:r>
        <w:rPr/>
        <w:t>34</w:t>
      </w:r>
      <w:r>
        <w:rPr>
          <w:spacing w:val="-16"/>
        </w:rPr>
        <w:t> </w:t>
      </w:r>
      <w:r>
        <w:rPr/>
        <w:t>hearings were</w:t>
      </w:r>
      <w:r>
        <w:rPr>
          <w:spacing w:val="-12"/>
        </w:rPr>
        <w:t> </w:t>
      </w:r>
      <w:r>
        <w:rPr/>
        <w:t>for</w:t>
      </w:r>
      <w:r>
        <w:rPr>
          <w:spacing w:val="-11"/>
        </w:rPr>
        <w:t> </w:t>
      </w:r>
      <w:r>
        <w:rPr/>
        <w:t>ECT</w:t>
      </w:r>
      <w:r>
        <w:rPr>
          <w:spacing w:val="-11"/>
        </w:rPr>
        <w:t> </w:t>
      </w:r>
      <w:r>
        <w:rPr/>
        <w:t>applications</w:t>
      </w:r>
      <w:r>
        <w:rPr>
          <w:spacing w:val="-12"/>
        </w:rPr>
        <w:t> </w:t>
      </w:r>
      <w:r>
        <w:rPr/>
        <w:t>only,</w:t>
      </w:r>
      <w:r>
        <w:rPr>
          <w:spacing w:val="-11"/>
        </w:rPr>
        <w:t> </w:t>
      </w:r>
      <w:r>
        <w:rPr/>
        <w:t>and</w:t>
      </w:r>
      <w:r>
        <w:rPr>
          <w:spacing w:val="-11"/>
        </w:rPr>
        <w:t> </w:t>
      </w:r>
      <w:r>
        <w:rPr/>
        <w:t>10</w:t>
      </w:r>
      <w:r>
        <w:rPr>
          <w:spacing w:val="-12"/>
        </w:rPr>
        <w:t> </w:t>
      </w:r>
      <w:r>
        <w:rPr/>
        <w:t>where</w:t>
      </w:r>
      <w:r>
        <w:rPr>
          <w:spacing w:val="-12"/>
        </w:rPr>
        <w:t> </w:t>
      </w:r>
      <w:r>
        <w:rPr/>
        <w:t>applications</w:t>
      </w:r>
      <w:r>
        <w:rPr>
          <w:spacing w:val="-12"/>
        </w:rPr>
        <w:t> </w:t>
      </w:r>
      <w:r>
        <w:rPr/>
        <w:t>were</w:t>
      </w:r>
      <w:r>
        <w:rPr>
          <w:spacing w:val="-12"/>
        </w:rPr>
        <w:t> </w:t>
      </w:r>
      <w:r>
        <w:rPr/>
        <w:t>made</w:t>
      </w:r>
      <w:r>
        <w:rPr>
          <w:spacing w:val="-12"/>
        </w:rPr>
        <w:t> </w:t>
      </w:r>
      <w:r>
        <w:rPr/>
        <w:t>for</w:t>
      </w:r>
      <w:r>
        <w:rPr>
          <w:spacing w:val="-13"/>
        </w:rPr>
        <w:t> </w:t>
      </w:r>
      <w:r>
        <w:rPr/>
        <w:t>both</w:t>
      </w:r>
      <w:r>
        <w:rPr>
          <w:spacing w:val="-11"/>
        </w:rPr>
        <w:t> </w:t>
      </w:r>
      <w:r>
        <w:rPr/>
        <w:t>ECT</w:t>
      </w:r>
      <w:r>
        <w:rPr>
          <w:spacing w:val="-11"/>
        </w:rPr>
        <w:t> </w:t>
      </w:r>
      <w:r>
        <w:rPr/>
        <w:t>and Treatment</w:t>
      </w:r>
      <w:r>
        <w:rPr>
          <w:spacing w:val="-6"/>
        </w:rPr>
        <w:t> </w:t>
      </w:r>
      <w:r>
        <w:rPr/>
        <w:t>Orders.</w:t>
      </w:r>
    </w:p>
    <w:p>
      <w:pPr>
        <w:pStyle w:val="BodyText"/>
      </w:pPr>
    </w:p>
    <w:p>
      <w:pPr>
        <w:pStyle w:val="BodyText"/>
        <w:ind w:left="100" w:right="110"/>
        <w:jc w:val="both"/>
      </w:pPr>
      <w:r>
        <w:rPr/>
        <w:t>Of</w:t>
      </w:r>
      <w:r>
        <w:rPr>
          <w:spacing w:val="-12"/>
        </w:rPr>
        <w:t> </w:t>
      </w:r>
      <w:r>
        <w:rPr/>
        <w:t>the</w:t>
      </w:r>
      <w:r>
        <w:rPr>
          <w:spacing w:val="-13"/>
        </w:rPr>
        <w:t> </w:t>
      </w:r>
      <w:r>
        <w:rPr/>
        <w:t>remaining</w:t>
      </w:r>
      <w:r>
        <w:rPr>
          <w:spacing w:val="-13"/>
        </w:rPr>
        <w:t> </w:t>
      </w:r>
      <w:r>
        <w:rPr/>
        <w:t>294,</w:t>
      </w:r>
      <w:r>
        <w:rPr>
          <w:spacing w:val="-12"/>
        </w:rPr>
        <w:t> </w:t>
      </w:r>
      <w:r>
        <w:rPr/>
        <w:t>treatment</w:t>
      </w:r>
      <w:r>
        <w:rPr>
          <w:spacing w:val="-13"/>
        </w:rPr>
        <w:t> </w:t>
      </w:r>
      <w:r>
        <w:rPr/>
        <w:t>orders</w:t>
      </w:r>
      <w:r>
        <w:rPr>
          <w:spacing w:val="-13"/>
        </w:rPr>
        <w:t> </w:t>
      </w:r>
      <w:r>
        <w:rPr/>
        <w:t>were</w:t>
      </w:r>
      <w:r>
        <w:rPr>
          <w:spacing w:val="-13"/>
        </w:rPr>
        <w:t> </w:t>
      </w:r>
      <w:r>
        <w:rPr/>
        <w:t>made</w:t>
      </w:r>
      <w:r>
        <w:rPr>
          <w:spacing w:val="-13"/>
        </w:rPr>
        <w:t> </w:t>
      </w:r>
      <w:r>
        <w:rPr/>
        <w:t>in</w:t>
      </w:r>
      <w:r>
        <w:rPr>
          <w:spacing w:val="-12"/>
        </w:rPr>
        <w:t> </w:t>
      </w:r>
      <w:r>
        <w:rPr/>
        <w:t>69%</w:t>
      </w:r>
      <w:r>
        <w:rPr>
          <w:spacing w:val="-13"/>
        </w:rPr>
        <w:t> </w:t>
      </w:r>
      <w:r>
        <w:rPr/>
        <w:t>(202)</w:t>
      </w:r>
      <w:r>
        <w:rPr>
          <w:spacing w:val="-13"/>
        </w:rPr>
        <w:t> </w:t>
      </w:r>
      <w:r>
        <w:rPr/>
        <w:t>cases.</w:t>
      </w:r>
      <w:r>
        <w:rPr>
          <w:spacing w:val="-12"/>
        </w:rPr>
        <w:t> </w:t>
      </w:r>
      <w:r>
        <w:rPr/>
        <w:t>Unlike</w:t>
      </w:r>
      <w:r>
        <w:rPr>
          <w:spacing w:val="-13"/>
        </w:rPr>
        <w:t> </w:t>
      </w:r>
      <w:r>
        <w:rPr/>
        <w:t>the</w:t>
      </w:r>
      <w:r>
        <w:rPr>
          <w:spacing w:val="-13"/>
        </w:rPr>
        <w:t> </w:t>
      </w:r>
      <w:r>
        <w:rPr/>
        <w:t>first study, cases where the least restrictive criterion was not considered were included, on the  basis  that  a  person’s  decision-making  capacity  may  have  been  assessed </w:t>
      </w:r>
      <w:r>
        <w:rPr>
          <w:spacing w:val="1"/>
        </w:rPr>
        <w:t> </w:t>
      </w:r>
      <w:r>
        <w:rPr/>
        <w:t>in</w:t>
      </w:r>
    </w:p>
    <w:p>
      <w:pPr>
        <w:spacing w:after="0"/>
        <w:jc w:val="both"/>
        <w:sectPr>
          <w:pgSz w:w="11910" w:h="16840"/>
          <w:pgMar w:header="763" w:footer="1025" w:top="980" w:bottom="1220" w:left="1240" w:right="1320"/>
        </w:sectPr>
      </w:pPr>
    </w:p>
    <w:p>
      <w:pPr>
        <w:pStyle w:val="BodyText"/>
        <w:spacing w:before="4"/>
        <w:rPr>
          <w:sz w:val="21"/>
        </w:rPr>
      </w:pPr>
    </w:p>
    <w:p>
      <w:pPr>
        <w:pStyle w:val="BodyText"/>
        <w:spacing w:before="100"/>
        <w:ind w:left="100"/>
        <w:jc w:val="both"/>
      </w:pPr>
      <w:r>
        <w:rPr/>
        <w:t>consideration of another criterion.</w:t>
      </w:r>
    </w:p>
    <w:p>
      <w:pPr>
        <w:pStyle w:val="BodyText"/>
        <w:spacing w:before="10"/>
        <w:rPr>
          <w:sz w:val="23"/>
        </w:rPr>
      </w:pPr>
    </w:p>
    <w:p>
      <w:pPr>
        <w:pStyle w:val="BodyText"/>
        <w:ind w:left="100" w:right="109"/>
        <w:jc w:val="both"/>
      </w:pPr>
      <w:r>
        <w:rPr/>
        <w:t>The samples of the first and second studies overlapped for the period between 1 January 2015 and 1 May 2016, together covering a continuous period between the commencement</w:t>
      </w:r>
      <w:r>
        <w:rPr>
          <w:spacing w:val="-20"/>
        </w:rPr>
        <w:t> </w:t>
      </w:r>
      <w:r>
        <w:rPr/>
        <w:t>of</w:t>
      </w:r>
      <w:r>
        <w:rPr>
          <w:spacing w:val="-21"/>
        </w:rPr>
        <w:t> </w:t>
      </w:r>
      <w:r>
        <w:rPr/>
        <w:t>the</w:t>
      </w:r>
      <w:r>
        <w:rPr>
          <w:spacing w:val="-21"/>
        </w:rPr>
        <w:t> </w:t>
      </w:r>
      <w:r>
        <w:rPr/>
        <w:t>Act</w:t>
      </w:r>
      <w:r>
        <w:rPr>
          <w:spacing w:val="-20"/>
        </w:rPr>
        <w:t> </w:t>
      </w:r>
      <w:r>
        <w:rPr/>
        <w:t>on</w:t>
      </w:r>
      <w:r>
        <w:rPr>
          <w:spacing w:val="-20"/>
        </w:rPr>
        <w:t> </w:t>
      </w:r>
      <w:r>
        <w:rPr/>
        <w:t>1</w:t>
      </w:r>
      <w:r>
        <w:rPr>
          <w:spacing w:val="-20"/>
        </w:rPr>
        <w:t> </w:t>
      </w:r>
      <w:r>
        <w:rPr/>
        <w:t>July</w:t>
      </w:r>
      <w:r>
        <w:rPr>
          <w:spacing w:val="-20"/>
        </w:rPr>
        <w:t> </w:t>
      </w:r>
      <w:r>
        <w:rPr/>
        <w:t>2014</w:t>
      </w:r>
      <w:r>
        <w:rPr>
          <w:spacing w:val="-20"/>
        </w:rPr>
        <w:t> </w:t>
      </w:r>
      <w:r>
        <w:rPr/>
        <w:t>through</w:t>
      </w:r>
      <w:r>
        <w:rPr>
          <w:spacing w:val="-20"/>
        </w:rPr>
        <w:t> </w:t>
      </w:r>
      <w:r>
        <w:rPr/>
        <w:t>to</w:t>
      </w:r>
      <w:r>
        <w:rPr>
          <w:spacing w:val="-20"/>
        </w:rPr>
        <w:t> </w:t>
      </w:r>
      <w:r>
        <w:rPr/>
        <w:t>30</w:t>
      </w:r>
      <w:r>
        <w:rPr>
          <w:spacing w:val="-21"/>
        </w:rPr>
        <w:t> </w:t>
      </w:r>
      <w:r>
        <w:rPr/>
        <w:t>June</w:t>
      </w:r>
      <w:r>
        <w:rPr>
          <w:spacing w:val="-20"/>
        </w:rPr>
        <w:t> </w:t>
      </w:r>
      <w:r>
        <w:rPr/>
        <w:t>2016.</w:t>
      </w:r>
      <w:r>
        <w:rPr>
          <w:spacing w:val="-21"/>
        </w:rPr>
        <w:t> </w:t>
      </w:r>
      <w:r>
        <w:rPr/>
        <w:t>This</w:t>
      </w:r>
      <w:r>
        <w:rPr>
          <w:spacing w:val="-20"/>
        </w:rPr>
        <w:t> </w:t>
      </w:r>
      <w:r>
        <w:rPr/>
        <w:t>study</w:t>
      </w:r>
      <w:r>
        <w:rPr>
          <w:spacing w:val="-22"/>
        </w:rPr>
        <w:t> </w:t>
      </w:r>
      <w:r>
        <w:rPr/>
        <w:t>consisted of</w:t>
      </w:r>
      <w:r>
        <w:rPr>
          <w:spacing w:val="-17"/>
        </w:rPr>
        <w:t> </w:t>
      </w:r>
      <w:r>
        <w:rPr/>
        <w:t>a</w:t>
      </w:r>
      <w:r>
        <w:rPr>
          <w:spacing w:val="-18"/>
        </w:rPr>
        <w:t> </w:t>
      </w:r>
      <w:r>
        <w:rPr/>
        <w:t>complete</w:t>
      </w:r>
      <w:r>
        <w:rPr>
          <w:spacing w:val="-18"/>
        </w:rPr>
        <w:t> </w:t>
      </w:r>
      <w:r>
        <w:rPr/>
        <w:t>reading</w:t>
      </w:r>
      <w:r>
        <w:rPr>
          <w:spacing w:val="-18"/>
        </w:rPr>
        <w:t> </w:t>
      </w:r>
      <w:r>
        <w:rPr/>
        <w:t>of</w:t>
      </w:r>
      <w:r>
        <w:rPr>
          <w:spacing w:val="-17"/>
        </w:rPr>
        <w:t> </w:t>
      </w:r>
      <w:r>
        <w:rPr/>
        <w:t>all</w:t>
      </w:r>
      <w:r>
        <w:rPr>
          <w:spacing w:val="-18"/>
        </w:rPr>
        <w:t> </w:t>
      </w:r>
      <w:r>
        <w:rPr/>
        <w:t>statements</w:t>
      </w:r>
      <w:r>
        <w:rPr>
          <w:spacing w:val="-18"/>
        </w:rPr>
        <w:t> </w:t>
      </w:r>
      <w:r>
        <w:rPr/>
        <w:t>of</w:t>
      </w:r>
      <w:r>
        <w:rPr>
          <w:spacing w:val="-18"/>
        </w:rPr>
        <w:t> </w:t>
      </w:r>
      <w:r>
        <w:rPr/>
        <w:t>reasons,</w:t>
      </w:r>
      <w:r>
        <w:rPr>
          <w:spacing w:val="-18"/>
        </w:rPr>
        <w:t> </w:t>
      </w:r>
      <w:r>
        <w:rPr/>
        <w:t>using</w:t>
      </w:r>
      <w:r>
        <w:rPr>
          <w:spacing w:val="-17"/>
        </w:rPr>
        <w:t> </w:t>
      </w:r>
      <w:r>
        <w:rPr/>
        <w:t>NVivo</w:t>
      </w:r>
      <w:r>
        <w:rPr>
          <w:spacing w:val="-18"/>
        </w:rPr>
        <w:t> </w:t>
      </w:r>
      <w:r>
        <w:rPr/>
        <w:t>qualitative</w:t>
      </w:r>
      <w:r>
        <w:rPr>
          <w:spacing w:val="-18"/>
        </w:rPr>
        <w:t> </w:t>
      </w:r>
      <w:r>
        <w:rPr/>
        <w:t>data</w:t>
      </w:r>
      <w:r>
        <w:rPr>
          <w:spacing w:val="-17"/>
        </w:rPr>
        <w:t> </w:t>
      </w:r>
      <w:r>
        <w:rPr/>
        <w:t>analysis software. This was supplemented by automatic text coding, in this case for words including, ‘capacity’, ‘judgement’, ‘insight’, ‘weigh’, ‘ability’, ‘consent’ and the phrase ‘involve a degree of</w:t>
      </w:r>
      <w:r>
        <w:rPr>
          <w:spacing w:val="-10"/>
        </w:rPr>
        <w:t> </w:t>
      </w:r>
      <w:r>
        <w:rPr/>
        <w:t>risk’.</w:t>
      </w:r>
    </w:p>
    <w:p>
      <w:pPr>
        <w:pStyle w:val="BodyText"/>
        <w:spacing w:before="11"/>
        <w:rPr>
          <w:sz w:val="23"/>
        </w:rPr>
      </w:pPr>
    </w:p>
    <w:p>
      <w:pPr>
        <w:pStyle w:val="BodyText"/>
        <w:ind w:left="100" w:right="110"/>
        <w:jc w:val="both"/>
      </w:pPr>
      <w:r>
        <w:rPr/>
        <w:t>Themes were developed using grounded theory, with this examination of capacity forming part of a much larger analysis. Each statement was classified according to various</w:t>
      </w:r>
      <w:r>
        <w:rPr>
          <w:spacing w:val="-10"/>
        </w:rPr>
        <w:t> </w:t>
      </w:r>
      <w:r>
        <w:rPr/>
        <w:t>attributes,</w:t>
      </w:r>
      <w:r>
        <w:rPr>
          <w:spacing w:val="-10"/>
        </w:rPr>
        <w:t> </w:t>
      </w:r>
      <w:r>
        <w:rPr/>
        <w:t>such</w:t>
      </w:r>
      <w:r>
        <w:rPr>
          <w:spacing w:val="-10"/>
        </w:rPr>
        <w:t> </w:t>
      </w:r>
      <w:r>
        <w:rPr/>
        <w:t>as</w:t>
      </w:r>
      <w:r>
        <w:rPr>
          <w:spacing w:val="-11"/>
        </w:rPr>
        <w:t> </w:t>
      </w:r>
      <w:r>
        <w:rPr/>
        <w:t>if</w:t>
      </w:r>
      <w:r>
        <w:rPr>
          <w:spacing w:val="-10"/>
        </w:rPr>
        <w:t> </w:t>
      </w:r>
      <w:r>
        <w:rPr/>
        <w:t>the</w:t>
      </w:r>
      <w:r>
        <w:rPr>
          <w:spacing w:val="-12"/>
        </w:rPr>
        <w:t> </w:t>
      </w:r>
      <w:r>
        <w:rPr/>
        <w:t>person</w:t>
      </w:r>
      <w:r>
        <w:rPr>
          <w:spacing w:val="-10"/>
        </w:rPr>
        <w:t> </w:t>
      </w:r>
      <w:r>
        <w:rPr/>
        <w:t>was</w:t>
      </w:r>
      <w:r>
        <w:rPr>
          <w:spacing w:val="-10"/>
        </w:rPr>
        <w:t> </w:t>
      </w:r>
      <w:r>
        <w:rPr/>
        <w:t>legally</w:t>
      </w:r>
      <w:r>
        <w:rPr>
          <w:spacing w:val="-10"/>
        </w:rPr>
        <w:t> </w:t>
      </w:r>
      <w:r>
        <w:rPr/>
        <w:t>represented,</w:t>
      </w:r>
      <w:r>
        <w:rPr>
          <w:spacing w:val="-10"/>
        </w:rPr>
        <w:t> </w:t>
      </w:r>
      <w:r>
        <w:rPr/>
        <w:t>if</w:t>
      </w:r>
      <w:r>
        <w:rPr>
          <w:spacing w:val="-10"/>
        </w:rPr>
        <w:t> </w:t>
      </w:r>
      <w:r>
        <w:rPr/>
        <w:t>the</w:t>
      </w:r>
      <w:r>
        <w:rPr>
          <w:spacing w:val="-10"/>
        </w:rPr>
        <w:t> </w:t>
      </w:r>
      <w:r>
        <w:rPr/>
        <w:t>order</w:t>
      </w:r>
      <w:r>
        <w:rPr>
          <w:spacing w:val="-11"/>
        </w:rPr>
        <w:t> </w:t>
      </w:r>
      <w:r>
        <w:rPr/>
        <w:t>was</w:t>
      </w:r>
      <w:r>
        <w:rPr>
          <w:spacing w:val="-10"/>
        </w:rPr>
        <w:t> </w:t>
      </w:r>
      <w:r>
        <w:rPr/>
        <w:t>made out, and which criterion was not made out if the order was not made</w:t>
      </w:r>
      <w:r>
        <w:rPr>
          <w:spacing w:val="-22"/>
        </w:rPr>
        <w:t> </w:t>
      </w:r>
      <w:r>
        <w:rPr/>
        <w:t>out.</w:t>
      </w:r>
    </w:p>
    <w:p>
      <w:pPr>
        <w:pStyle w:val="BodyText"/>
        <w:spacing w:before="11"/>
        <w:rPr>
          <w:sz w:val="23"/>
        </w:rPr>
      </w:pPr>
    </w:p>
    <w:p>
      <w:pPr>
        <w:pStyle w:val="BodyText"/>
        <w:ind w:left="100" w:right="112"/>
        <w:jc w:val="both"/>
      </w:pPr>
      <w:r>
        <w:rPr/>
        <w:t>Themes were identified as having been considered by the Tribunal, irrespective of which</w:t>
      </w:r>
      <w:r>
        <w:rPr>
          <w:spacing w:val="-11"/>
        </w:rPr>
        <w:t> </w:t>
      </w:r>
      <w:r>
        <w:rPr/>
        <w:t>party</w:t>
      </w:r>
      <w:r>
        <w:rPr>
          <w:spacing w:val="-12"/>
        </w:rPr>
        <w:t> </w:t>
      </w:r>
      <w:r>
        <w:rPr/>
        <w:t>had</w:t>
      </w:r>
      <w:r>
        <w:rPr>
          <w:spacing w:val="-11"/>
        </w:rPr>
        <w:t> </w:t>
      </w:r>
      <w:r>
        <w:rPr/>
        <w:t>raised</w:t>
      </w:r>
      <w:r>
        <w:rPr>
          <w:spacing w:val="-12"/>
        </w:rPr>
        <w:t> </w:t>
      </w:r>
      <w:r>
        <w:rPr/>
        <w:t>the</w:t>
      </w:r>
      <w:r>
        <w:rPr>
          <w:spacing w:val="-11"/>
        </w:rPr>
        <w:t> </w:t>
      </w:r>
      <w:r>
        <w:rPr/>
        <w:t>issue,</w:t>
      </w:r>
      <w:r>
        <w:rPr>
          <w:spacing w:val="-12"/>
        </w:rPr>
        <w:t> </w:t>
      </w:r>
      <w:r>
        <w:rPr/>
        <w:t>on</w:t>
      </w:r>
      <w:r>
        <w:rPr>
          <w:spacing w:val="-11"/>
        </w:rPr>
        <w:t> </w:t>
      </w:r>
      <w:r>
        <w:rPr/>
        <w:t>the</w:t>
      </w:r>
      <w:r>
        <w:rPr>
          <w:spacing w:val="-13"/>
        </w:rPr>
        <w:t> </w:t>
      </w:r>
      <w:r>
        <w:rPr/>
        <w:t>basis</w:t>
      </w:r>
      <w:r>
        <w:rPr>
          <w:spacing w:val="-13"/>
        </w:rPr>
        <w:t> </w:t>
      </w:r>
      <w:r>
        <w:rPr/>
        <w:t>that</w:t>
      </w:r>
      <w:r>
        <w:rPr>
          <w:spacing w:val="-11"/>
        </w:rPr>
        <w:t> </w:t>
      </w:r>
      <w:r>
        <w:rPr/>
        <w:t>the</w:t>
      </w:r>
      <w:r>
        <w:rPr>
          <w:spacing w:val="-12"/>
        </w:rPr>
        <w:t> </w:t>
      </w:r>
      <w:r>
        <w:rPr/>
        <w:t>statement</w:t>
      </w:r>
      <w:r>
        <w:rPr>
          <w:spacing w:val="-11"/>
        </w:rPr>
        <w:t> </w:t>
      </w:r>
      <w:r>
        <w:rPr/>
        <w:t>of</w:t>
      </w:r>
      <w:r>
        <w:rPr>
          <w:spacing w:val="-11"/>
        </w:rPr>
        <w:t> </w:t>
      </w:r>
      <w:r>
        <w:rPr/>
        <w:t>reasons</w:t>
      </w:r>
      <w:r>
        <w:rPr>
          <w:spacing w:val="-12"/>
        </w:rPr>
        <w:t> </w:t>
      </w:r>
      <w:r>
        <w:rPr/>
        <w:t>represents factors which were taken into account in the decision of the</w:t>
      </w:r>
      <w:r>
        <w:rPr>
          <w:spacing w:val="-26"/>
        </w:rPr>
        <w:t> </w:t>
      </w:r>
      <w:r>
        <w:rPr/>
        <w:t>Tribunal.</w:t>
      </w:r>
    </w:p>
    <w:p>
      <w:pPr>
        <w:pStyle w:val="BodyText"/>
        <w:spacing w:before="10"/>
        <w:rPr>
          <w:sz w:val="23"/>
        </w:rPr>
      </w:pPr>
    </w:p>
    <w:p>
      <w:pPr>
        <w:pStyle w:val="BodyText"/>
        <w:ind w:left="100"/>
        <w:jc w:val="both"/>
      </w:pPr>
      <w:r>
        <w:rPr>
          <w:u w:val="single"/>
        </w:rPr>
        <w:t>Results </w:t>
      </w:r>
    </w:p>
    <w:p>
      <w:pPr>
        <w:pStyle w:val="BodyText"/>
        <w:spacing w:before="8"/>
        <w:rPr>
          <w:sz w:val="15"/>
        </w:rPr>
      </w:pPr>
    </w:p>
    <w:p>
      <w:pPr>
        <w:pStyle w:val="BodyText"/>
        <w:spacing w:before="100"/>
        <w:ind w:left="100" w:right="109"/>
        <w:jc w:val="both"/>
      </w:pPr>
      <w:r>
        <w:rPr/>
        <w:t>Several themes were developed under the notion of ‘decision making’, including ‘capacity’, ‘judgement’ and ‘insight’. The theme of ‘capacity’ related to explicit considerations of a person’s decision-making capacity, and often overlapped with the theme</w:t>
      </w:r>
      <w:r>
        <w:rPr>
          <w:spacing w:val="-6"/>
        </w:rPr>
        <w:t> </w:t>
      </w:r>
      <w:r>
        <w:rPr/>
        <w:t>of</w:t>
      </w:r>
      <w:r>
        <w:rPr>
          <w:spacing w:val="-5"/>
        </w:rPr>
        <w:t> </w:t>
      </w:r>
      <w:r>
        <w:rPr/>
        <w:t>‘judgement’,</w:t>
      </w:r>
      <w:r>
        <w:rPr>
          <w:spacing w:val="-6"/>
        </w:rPr>
        <w:t> </w:t>
      </w:r>
      <w:r>
        <w:rPr/>
        <w:t>which</w:t>
      </w:r>
      <w:r>
        <w:rPr>
          <w:spacing w:val="-5"/>
        </w:rPr>
        <w:t> </w:t>
      </w:r>
      <w:r>
        <w:rPr/>
        <w:t>related</w:t>
      </w:r>
      <w:r>
        <w:rPr>
          <w:spacing w:val="-5"/>
        </w:rPr>
        <w:t> </w:t>
      </w:r>
      <w:r>
        <w:rPr/>
        <w:t>to</w:t>
      </w:r>
      <w:r>
        <w:rPr>
          <w:spacing w:val="-5"/>
        </w:rPr>
        <w:t> </w:t>
      </w:r>
      <w:r>
        <w:rPr/>
        <w:t>a</w:t>
      </w:r>
      <w:r>
        <w:rPr>
          <w:spacing w:val="-6"/>
        </w:rPr>
        <w:t> </w:t>
      </w:r>
      <w:r>
        <w:rPr/>
        <w:t>value</w:t>
      </w:r>
      <w:r>
        <w:rPr>
          <w:spacing w:val="-6"/>
        </w:rPr>
        <w:t> </w:t>
      </w:r>
      <w:r>
        <w:rPr/>
        <w:t>assessment</w:t>
      </w:r>
      <w:r>
        <w:rPr>
          <w:spacing w:val="-5"/>
        </w:rPr>
        <w:t> </w:t>
      </w:r>
      <w:r>
        <w:rPr/>
        <w:t>of</w:t>
      </w:r>
      <w:r>
        <w:rPr>
          <w:spacing w:val="-5"/>
        </w:rPr>
        <w:t> </w:t>
      </w:r>
      <w:r>
        <w:rPr/>
        <w:t>the</w:t>
      </w:r>
      <w:r>
        <w:rPr>
          <w:spacing w:val="-7"/>
        </w:rPr>
        <w:t> </w:t>
      </w:r>
      <w:r>
        <w:rPr/>
        <w:t>decision.</w:t>
      </w:r>
      <w:r>
        <w:rPr>
          <w:spacing w:val="-5"/>
        </w:rPr>
        <w:t> </w:t>
      </w:r>
      <w:r>
        <w:rPr/>
        <w:t>The</w:t>
      </w:r>
      <w:r>
        <w:rPr>
          <w:spacing w:val="-6"/>
        </w:rPr>
        <w:t> </w:t>
      </w:r>
      <w:r>
        <w:rPr/>
        <w:t>theme of ‘insight’ related to the degree to which the person agreed with or understood their diagnosis. These three themes can be easily linked to the definition of capacity to</w:t>
      </w:r>
      <w:r>
        <w:rPr>
          <w:spacing w:val="-40"/>
        </w:rPr>
        <w:t> </w:t>
      </w:r>
      <w:r>
        <w:rPr/>
        <w:t>give informed</w:t>
      </w:r>
      <w:r>
        <w:rPr>
          <w:spacing w:val="-8"/>
        </w:rPr>
        <w:t> </w:t>
      </w:r>
      <w:r>
        <w:rPr/>
        <w:t>consent</w:t>
      </w:r>
      <w:r>
        <w:rPr>
          <w:spacing w:val="-9"/>
        </w:rPr>
        <w:t> </w:t>
      </w:r>
      <w:r>
        <w:rPr/>
        <w:t>in</w:t>
      </w:r>
      <w:r>
        <w:rPr>
          <w:spacing w:val="-8"/>
        </w:rPr>
        <w:t> </w:t>
      </w:r>
      <w:r>
        <w:rPr/>
        <w:t>s.68</w:t>
      </w:r>
      <w:r>
        <w:rPr>
          <w:spacing w:val="-8"/>
        </w:rPr>
        <w:t> </w:t>
      </w:r>
      <w:r>
        <w:rPr/>
        <w:t>of</w:t>
      </w:r>
      <w:r>
        <w:rPr>
          <w:spacing w:val="-9"/>
        </w:rPr>
        <w:t> </w:t>
      </w:r>
      <w:r>
        <w:rPr/>
        <w:t>the</w:t>
      </w:r>
      <w:r>
        <w:rPr>
          <w:spacing w:val="-8"/>
        </w:rPr>
        <w:t> </w:t>
      </w:r>
      <w:r>
        <w:rPr/>
        <w:t>Act,</w:t>
      </w:r>
      <w:r>
        <w:rPr>
          <w:spacing w:val="-8"/>
        </w:rPr>
        <w:t> </w:t>
      </w:r>
      <w:r>
        <w:rPr/>
        <w:t>which</w:t>
      </w:r>
      <w:r>
        <w:rPr>
          <w:spacing w:val="-8"/>
        </w:rPr>
        <w:t> </w:t>
      </w:r>
      <w:r>
        <w:rPr/>
        <w:t>requires</w:t>
      </w:r>
      <w:r>
        <w:rPr>
          <w:spacing w:val="-9"/>
        </w:rPr>
        <w:t> </w:t>
      </w:r>
      <w:r>
        <w:rPr/>
        <w:t>understanding</w:t>
      </w:r>
      <w:r>
        <w:rPr>
          <w:spacing w:val="-9"/>
        </w:rPr>
        <w:t> </w:t>
      </w:r>
      <w:r>
        <w:rPr/>
        <w:t>of,</w:t>
      </w:r>
      <w:r>
        <w:rPr>
          <w:spacing w:val="-9"/>
        </w:rPr>
        <w:t> </w:t>
      </w:r>
      <w:r>
        <w:rPr/>
        <w:t>and</w:t>
      </w:r>
      <w:r>
        <w:rPr>
          <w:spacing w:val="-9"/>
        </w:rPr>
        <w:t> </w:t>
      </w:r>
      <w:r>
        <w:rPr/>
        <w:t>the</w:t>
      </w:r>
      <w:r>
        <w:rPr>
          <w:spacing w:val="-10"/>
        </w:rPr>
        <w:t> </w:t>
      </w:r>
      <w:r>
        <w:rPr/>
        <w:t>ability</w:t>
      </w:r>
      <w:r>
        <w:rPr>
          <w:spacing w:val="-9"/>
        </w:rPr>
        <w:t> </w:t>
      </w:r>
      <w:r>
        <w:rPr/>
        <w:t>to remember and use, the information relevant to the</w:t>
      </w:r>
      <w:r>
        <w:rPr>
          <w:spacing w:val="-20"/>
        </w:rPr>
        <w:t> </w:t>
      </w:r>
      <w:r>
        <w:rPr/>
        <w:t>decision.</w:t>
      </w:r>
    </w:p>
    <w:p>
      <w:pPr>
        <w:pStyle w:val="BodyText"/>
        <w:spacing w:before="11"/>
        <w:rPr>
          <w:sz w:val="23"/>
        </w:rPr>
      </w:pPr>
    </w:p>
    <w:p>
      <w:pPr>
        <w:pStyle w:val="BodyText"/>
        <w:ind w:left="100" w:right="110"/>
        <w:jc w:val="both"/>
      </w:pPr>
      <w:r>
        <w:rPr/>
        <w:t>Similar to the first study, the second study found that the Tribunal only explicitly considered</w:t>
      </w:r>
      <w:r>
        <w:rPr>
          <w:spacing w:val="-9"/>
        </w:rPr>
        <w:t> </w:t>
      </w:r>
      <w:r>
        <w:rPr/>
        <w:t>a</w:t>
      </w:r>
      <w:r>
        <w:rPr>
          <w:spacing w:val="-8"/>
        </w:rPr>
        <w:t> </w:t>
      </w:r>
      <w:r>
        <w:rPr/>
        <w:t>person’s</w:t>
      </w:r>
      <w:r>
        <w:rPr>
          <w:spacing w:val="-9"/>
        </w:rPr>
        <w:t> </w:t>
      </w:r>
      <w:r>
        <w:rPr/>
        <w:t>capacity</w:t>
      </w:r>
      <w:r>
        <w:rPr>
          <w:spacing w:val="-8"/>
        </w:rPr>
        <w:t> </w:t>
      </w:r>
      <w:r>
        <w:rPr/>
        <w:t>in</w:t>
      </w:r>
      <w:r>
        <w:rPr>
          <w:spacing w:val="-9"/>
        </w:rPr>
        <w:t> </w:t>
      </w:r>
      <w:r>
        <w:rPr/>
        <w:t>a</w:t>
      </w:r>
      <w:r>
        <w:rPr>
          <w:spacing w:val="-9"/>
        </w:rPr>
        <w:t> </w:t>
      </w:r>
      <w:r>
        <w:rPr/>
        <w:t>very</w:t>
      </w:r>
      <w:r>
        <w:rPr>
          <w:spacing w:val="-9"/>
        </w:rPr>
        <w:t> </w:t>
      </w:r>
      <w:r>
        <w:rPr/>
        <w:t>limited</w:t>
      </w:r>
      <w:r>
        <w:rPr>
          <w:spacing w:val="-8"/>
        </w:rPr>
        <w:t> </w:t>
      </w:r>
      <w:r>
        <w:rPr/>
        <w:t>number</w:t>
      </w:r>
      <w:r>
        <w:rPr>
          <w:spacing w:val="-9"/>
        </w:rPr>
        <w:t> </w:t>
      </w:r>
      <w:r>
        <w:rPr/>
        <w:t>of</w:t>
      </w:r>
      <w:r>
        <w:rPr>
          <w:spacing w:val="-8"/>
        </w:rPr>
        <w:t> </w:t>
      </w:r>
      <w:r>
        <w:rPr/>
        <w:t>cases</w:t>
      </w:r>
      <w:r>
        <w:rPr>
          <w:spacing w:val="-8"/>
        </w:rPr>
        <w:t> </w:t>
      </w:r>
      <w:r>
        <w:rPr/>
        <w:t>(n=19)</w:t>
      </w:r>
      <w:r>
        <w:rPr>
          <w:spacing w:val="-8"/>
        </w:rPr>
        <w:t> </w:t>
      </w:r>
      <w:r>
        <w:rPr/>
        <w:t>(2%).</w:t>
      </w:r>
      <w:r>
        <w:rPr>
          <w:spacing w:val="-9"/>
        </w:rPr>
        <w:t> </w:t>
      </w:r>
      <w:r>
        <w:rPr/>
        <w:t>In</w:t>
      </w:r>
      <w:r>
        <w:rPr>
          <w:spacing w:val="-9"/>
        </w:rPr>
        <w:t> </w:t>
      </w:r>
      <w:r>
        <w:rPr/>
        <w:t>89% (n=17)</w:t>
      </w:r>
      <w:r>
        <w:rPr>
          <w:spacing w:val="-14"/>
        </w:rPr>
        <w:t> </w:t>
      </w:r>
      <w:r>
        <w:rPr/>
        <w:t>of</w:t>
      </w:r>
      <w:r>
        <w:rPr>
          <w:spacing w:val="-14"/>
        </w:rPr>
        <w:t> </w:t>
      </w:r>
      <w:r>
        <w:rPr/>
        <w:t>these</w:t>
      </w:r>
      <w:r>
        <w:rPr>
          <w:spacing w:val="-14"/>
        </w:rPr>
        <w:t> </w:t>
      </w:r>
      <w:r>
        <w:rPr/>
        <w:t>cases,</w:t>
      </w:r>
      <w:r>
        <w:rPr>
          <w:spacing w:val="-14"/>
        </w:rPr>
        <w:t> </w:t>
      </w:r>
      <w:r>
        <w:rPr/>
        <w:t>the</w:t>
      </w:r>
      <w:r>
        <w:rPr>
          <w:spacing w:val="-15"/>
        </w:rPr>
        <w:t> </w:t>
      </w:r>
      <w:r>
        <w:rPr/>
        <w:t>person</w:t>
      </w:r>
      <w:r>
        <w:rPr>
          <w:spacing w:val="-14"/>
        </w:rPr>
        <w:t> </w:t>
      </w:r>
      <w:r>
        <w:rPr/>
        <w:t>had</w:t>
      </w:r>
      <w:r>
        <w:rPr>
          <w:spacing w:val="-14"/>
        </w:rPr>
        <w:t> </w:t>
      </w:r>
      <w:r>
        <w:rPr/>
        <w:t>legal</w:t>
      </w:r>
      <w:r>
        <w:rPr>
          <w:spacing w:val="-15"/>
        </w:rPr>
        <w:t> </w:t>
      </w:r>
      <w:r>
        <w:rPr/>
        <w:t>representation,</w:t>
      </w:r>
      <w:r>
        <w:rPr>
          <w:spacing w:val="-14"/>
        </w:rPr>
        <w:t> </w:t>
      </w:r>
      <w:r>
        <w:rPr/>
        <w:t>compared</w:t>
      </w:r>
      <w:r>
        <w:rPr>
          <w:spacing w:val="-14"/>
        </w:rPr>
        <w:t> </w:t>
      </w:r>
      <w:r>
        <w:rPr/>
        <w:t>to</w:t>
      </w:r>
      <w:r>
        <w:rPr>
          <w:spacing w:val="-14"/>
        </w:rPr>
        <w:t> </w:t>
      </w:r>
      <w:r>
        <w:rPr/>
        <w:t>68%</w:t>
      </w:r>
      <w:r>
        <w:rPr>
          <w:spacing w:val="-17"/>
        </w:rPr>
        <w:t> </w:t>
      </w:r>
      <w:r>
        <w:rPr/>
        <w:t>(n=201) more</w:t>
      </w:r>
      <w:r>
        <w:rPr>
          <w:spacing w:val="-5"/>
        </w:rPr>
        <w:t> </w:t>
      </w:r>
      <w:r>
        <w:rPr/>
        <w:t>generally.</w:t>
      </w:r>
    </w:p>
    <w:p>
      <w:pPr>
        <w:pStyle w:val="BodyText"/>
        <w:spacing w:before="11"/>
        <w:rPr>
          <w:sz w:val="23"/>
        </w:rPr>
      </w:pPr>
    </w:p>
    <w:p>
      <w:pPr>
        <w:pStyle w:val="BodyText"/>
        <w:ind w:left="100" w:right="110"/>
        <w:jc w:val="both"/>
      </w:pPr>
      <w:r>
        <w:rPr/>
        <w:t>In cases where the Tribunal explicitly considered capacity, they made an order in a lower percentage of cases when capacity was considered (63%, n=12) than when it was not (69%, n=202), though given the small sample size this difference is unlikely to be statistically significant.</w:t>
      </w:r>
    </w:p>
    <w:p>
      <w:pPr>
        <w:pStyle w:val="BodyText"/>
        <w:spacing w:before="11"/>
        <w:rPr>
          <w:sz w:val="23"/>
        </w:rPr>
      </w:pPr>
    </w:p>
    <w:p>
      <w:pPr>
        <w:pStyle w:val="BodyText"/>
        <w:ind w:left="100" w:right="109"/>
        <w:jc w:val="both"/>
      </w:pPr>
      <w:r>
        <w:rPr/>
        <w:t>In every case where capacity was explicitly considered and an order not made (n=7), the</w:t>
      </w:r>
      <w:r>
        <w:rPr>
          <w:spacing w:val="-5"/>
        </w:rPr>
        <w:t> </w:t>
      </w:r>
      <w:r>
        <w:rPr/>
        <w:t>criterion</w:t>
      </w:r>
      <w:r>
        <w:rPr>
          <w:spacing w:val="-4"/>
        </w:rPr>
        <w:t> </w:t>
      </w:r>
      <w:r>
        <w:rPr/>
        <w:t>which</w:t>
      </w:r>
      <w:r>
        <w:rPr>
          <w:spacing w:val="-4"/>
        </w:rPr>
        <w:t> </w:t>
      </w:r>
      <w:r>
        <w:rPr/>
        <w:t>was</w:t>
      </w:r>
      <w:r>
        <w:rPr>
          <w:spacing w:val="-5"/>
        </w:rPr>
        <w:t> </w:t>
      </w:r>
      <w:r>
        <w:rPr/>
        <w:t>not</w:t>
      </w:r>
      <w:r>
        <w:rPr>
          <w:spacing w:val="-4"/>
        </w:rPr>
        <w:t> </w:t>
      </w:r>
      <w:r>
        <w:rPr/>
        <w:t>met</w:t>
      </w:r>
      <w:r>
        <w:rPr>
          <w:spacing w:val="-5"/>
        </w:rPr>
        <w:t> </w:t>
      </w:r>
      <w:r>
        <w:rPr/>
        <w:t>was</w:t>
      </w:r>
      <w:r>
        <w:rPr>
          <w:spacing w:val="-5"/>
        </w:rPr>
        <w:t> </w:t>
      </w:r>
      <w:r>
        <w:rPr/>
        <w:t>the</w:t>
      </w:r>
      <w:r>
        <w:rPr>
          <w:spacing w:val="-4"/>
        </w:rPr>
        <w:t> </w:t>
      </w:r>
      <w:r>
        <w:rPr/>
        <w:t>least</w:t>
      </w:r>
      <w:r>
        <w:rPr>
          <w:spacing w:val="-4"/>
        </w:rPr>
        <w:t> </w:t>
      </w:r>
      <w:r>
        <w:rPr/>
        <w:t>restrictive</w:t>
      </w:r>
      <w:r>
        <w:rPr>
          <w:spacing w:val="-5"/>
        </w:rPr>
        <w:t> </w:t>
      </w:r>
      <w:r>
        <w:rPr/>
        <w:t>criterion,</w:t>
      </w:r>
      <w:r>
        <w:rPr>
          <w:spacing w:val="-5"/>
        </w:rPr>
        <w:t> </w:t>
      </w:r>
      <w:r>
        <w:rPr/>
        <w:t>compared</w:t>
      </w:r>
      <w:r>
        <w:rPr>
          <w:spacing w:val="-5"/>
        </w:rPr>
        <w:t> </w:t>
      </w:r>
      <w:r>
        <w:rPr/>
        <w:t>with</w:t>
      </w:r>
      <w:r>
        <w:rPr>
          <w:spacing w:val="-4"/>
        </w:rPr>
        <w:t> </w:t>
      </w:r>
      <w:r>
        <w:rPr/>
        <w:t>60% (n=51)</w:t>
      </w:r>
      <w:r>
        <w:rPr>
          <w:spacing w:val="-8"/>
        </w:rPr>
        <w:t> </w:t>
      </w:r>
      <w:r>
        <w:rPr/>
        <w:t>of</w:t>
      </w:r>
      <w:r>
        <w:rPr>
          <w:spacing w:val="-10"/>
        </w:rPr>
        <w:t> </w:t>
      </w:r>
      <w:r>
        <w:rPr/>
        <w:t>the</w:t>
      </w:r>
      <w:r>
        <w:rPr>
          <w:spacing w:val="-9"/>
        </w:rPr>
        <w:t> </w:t>
      </w:r>
      <w:r>
        <w:rPr/>
        <w:t>cases</w:t>
      </w:r>
      <w:r>
        <w:rPr>
          <w:spacing w:val="-9"/>
        </w:rPr>
        <w:t> </w:t>
      </w:r>
      <w:r>
        <w:rPr/>
        <w:t>where</w:t>
      </w:r>
      <w:r>
        <w:rPr>
          <w:spacing w:val="-9"/>
        </w:rPr>
        <w:t> </w:t>
      </w:r>
      <w:r>
        <w:rPr/>
        <w:t>capacity</w:t>
      </w:r>
      <w:r>
        <w:rPr>
          <w:spacing w:val="-8"/>
        </w:rPr>
        <w:t> </w:t>
      </w:r>
      <w:r>
        <w:rPr/>
        <w:t>was</w:t>
      </w:r>
      <w:r>
        <w:rPr>
          <w:spacing w:val="-9"/>
        </w:rPr>
        <w:t> </w:t>
      </w:r>
      <w:r>
        <w:rPr/>
        <w:t>not</w:t>
      </w:r>
      <w:r>
        <w:rPr>
          <w:spacing w:val="-10"/>
        </w:rPr>
        <w:t> </w:t>
      </w:r>
      <w:r>
        <w:rPr/>
        <w:t>explicitly</w:t>
      </w:r>
      <w:r>
        <w:rPr>
          <w:spacing w:val="-8"/>
        </w:rPr>
        <w:t> </w:t>
      </w:r>
      <w:r>
        <w:rPr/>
        <w:t>considered</w:t>
      </w:r>
      <w:r>
        <w:rPr>
          <w:spacing w:val="-8"/>
        </w:rPr>
        <w:t> </w:t>
      </w:r>
      <w:r>
        <w:rPr/>
        <w:t>and</w:t>
      </w:r>
      <w:r>
        <w:rPr>
          <w:spacing w:val="-8"/>
        </w:rPr>
        <w:t> </w:t>
      </w:r>
      <w:r>
        <w:rPr/>
        <w:t>an</w:t>
      </w:r>
      <w:r>
        <w:rPr>
          <w:spacing w:val="-8"/>
        </w:rPr>
        <w:t> </w:t>
      </w:r>
      <w:r>
        <w:rPr/>
        <w:t>order</w:t>
      </w:r>
      <w:r>
        <w:rPr>
          <w:spacing w:val="-9"/>
        </w:rPr>
        <w:t> </w:t>
      </w:r>
      <w:r>
        <w:rPr/>
        <w:t>was</w:t>
      </w:r>
      <w:r>
        <w:rPr>
          <w:spacing w:val="-9"/>
        </w:rPr>
        <w:t> </w:t>
      </w:r>
      <w:r>
        <w:rPr/>
        <w:t>not made</w:t>
      </w:r>
      <w:r>
        <w:rPr>
          <w:spacing w:val="-14"/>
        </w:rPr>
        <w:t> </w:t>
      </w:r>
      <w:r>
        <w:rPr/>
        <w:t>(n=85).</w:t>
      </w:r>
      <w:r>
        <w:rPr>
          <w:spacing w:val="-13"/>
        </w:rPr>
        <w:t> </w:t>
      </w:r>
      <w:r>
        <w:rPr/>
        <w:t>This</w:t>
      </w:r>
      <w:r>
        <w:rPr>
          <w:spacing w:val="-13"/>
        </w:rPr>
        <w:t> </w:t>
      </w:r>
      <w:r>
        <w:rPr/>
        <w:t>suggests</w:t>
      </w:r>
      <w:r>
        <w:rPr>
          <w:spacing w:val="-13"/>
        </w:rPr>
        <w:t> </w:t>
      </w:r>
      <w:r>
        <w:rPr/>
        <w:t>some</w:t>
      </w:r>
      <w:r>
        <w:rPr>
          <w:spacing w:val="-13"/>
        </w:rPr>
        <w:t> </w:t>
      </w:r>
      <w:r>
        <w:rPr/>
        <w:t>relationship</w:t>
      </w:r>
      <w:r>
        <w:rPr>
          <w:spacing w:val="-13"/>
        </w:rPr>
        <w:t> </w:t>
      </w:r>
      <w:r>
        <w:rPr/>
        <w:t>between</w:t>
      </w:r>
      <w:r>
        <w:rPr>
          <w:spacing w:val="-13"/>
        </w:rPr>
        <w:t> </w:t>
      </w:r>
      <w:r>
        <w:rPr/>
        <w:t>the</w:t>
      </w:r>
      <w:r>
        <w:rPr>
          <w:spacing w:val="-13"/>
        </w:rPr>
        <w:t> </w:t>
      </w:r>
      <w:r>
        <w:rPr/>
        <w:t>way</w:t>
      </w:r>
      <w:r>
        <w:rPr>
          <w:spacing w:val="-13"/>
        </w:rPr>
        <w:t> </w:t>
      </w:r>
      <w:r>
        <w:rPr/>
        <w:t>the</w:t>
      </w:r>
      <w:r>
        <w:rPr>
          <w:spacing w:val="-13"/>
        </w:rPr>
        <w:t> </w:t>
      </w:r>
      <w:r>
        <w:rPr/>
        <w:t>Tribunal</w:t>
      </w:r>
      <w:r>
        <w:rPr>
          <w:spacing w:val="-15"/>
        </w:rPr>
        <w:t> </w:t>
      </w:r>
      <w:r>
        <w:rPr/>
        <w:t>considers capacity and the least restrictive</w:t>
      </w:r>
      <w:r>
        <w:rPr>
          <w:spacing w:val="-16"/>
        </w:rPr>
        <w:t> </w:t>
      </w:r>
      <w:r>
        <w:rPr/>
        <w:t>criterion.</w:t>
      </w:r>
    </w:p>
    <w:p>
      <w:pPr>
        <w:pStyle w:val="BodyText"/>
        <w:spacing w:before="10"/>
        <w:rPr>
          <w:sz w:val="23"/>
        </w:rPr>
      </w:pPr>
    </w:p>
    <w:p>
      <w:pPr>
        <w:pStyle w:val="BodyText"/>
        <w:ind w:left="100" w:right="109"/>
        <w:jc w:val="both"/>
      </w:pPr>
      <w:r>
        <w:rPr/>
        <w:t>The different approach and parameters used for the second study add support to the results of the first study. For example, the second study identified an explicit rejection</w:t>
      </w:r>
    </w:p>
    <w:p>
      <w:pPr>
        <w:spacing w:after="0"/>
        <w:jc w:val="both"/>
        <w:sectPr>
          <w:footerReference w:type="default" r:id="rId7"/>
          <w:pgSz w:w="11910" w:h="16840"/>
          <w:pgMar w:footer="1025" w:header="763" w:top="980" w:bottom="1220" w:left="1240" w:right="1320"/>
        </w:sectPr>
      </w:pPr>
    </w:p>
    <w:p>
      <w:pPr>
        <w:pStyle w:val="BodyText"/>
        <w:spacing w:before="3"/>
        <w:rPr>
          <w:sz w:val="20"/>
        </w:rPr>
      </w:pPr>
    </w:p>
    <w:p>
      <w:pPr>
        <w:pStyle w:val="BodyText"/>
        <w:spacing w:line="237" w:lineRule="auto" w:before="106"/>
        <w:ind w:left="120" w:right="109"/>
        <w:jc w:val="both"/>
      </w:pPr>
      <w:r>
        <w:rPr/>
        <w:t>of the notion that the Tribunal should consider capacity, in </w:t>
      </w:r>
      <w:r>
        <w:rPr>
          <w:i/>
          <w:sz w:val="25"/>
        </w:rPr>
        <w:t>BFW</w:t>
      </w:r>
      <w:hyperlink w:history="true" w:anchor="_bookmark44">
        <w:r>
          <w:rPr>
            <w:i/>
            <w:position w:val="8"/>
            <w:sz w:val="17"/>
          </w:rPr>
          <w:t>45</w:t>
        </w:r>
      </w:hyperlink>
      <w:r>
        <w:rPr/>
        <w:t>; ‘the Tribunal does not</w:t>
      </w:r>
      <w:r>
        <w:rPr>
          <w:spacing w:val="-10"/>
        </w:rPr>
        <w:t> </w:t>
      </w:r>
      <w:r>
        <w:rPr/>
        <w:t>have</w:t>
      </w:r>
      <w:r>
        <w:rPr>
          <w:spacing w:val="-9"/>
        </w:rPr>
        <w:t> </w:t>
      </w:r>
      <w:r>
        <w:rPr/>
        <w:t>to</w:t>
      </w:r>
      <w:r>
        <w:rPr>
          <w:spacing w:val="-10"/>
        </w:rPr>
        <w:t> </w:t>
      </w:r>
      <w:r>
        <w:rPr/>
        <w:t>decide</w:t>
      </w:r>
      <w:r>
        <w:rPr>
          <w:spacing w:val="-9"/>
        </w:rPr>
        <w:t> </w:t>
      </w:r>
      <w:r>
        <w:rPr/>
        <w:t>whether</w:t>
      </w:r>
      <w:r>
        <w:rPr>
          <w:spacing w:val="-9"/>
        </w:rPr>
        <w:t> </w:t>
      </w:r>
      <w:r>
        <w:rPr/>
        <w:t>BFW</w:t>
      </w:r>
      <w:r>
        <w:rPr>
          <w:spacing w:val="-10"/>
        </w:rPr>
        <w:t> </w:t>
      </w:r>
      <w:r>
        <w:rPr/>
        <w:t>is</w:t>
      </w:r>
      <w:r>
        <w:rPr>
          <w:spacing w:val="-9"/>
        </w:rPr>
        <w:t> </w:t>
      </w:r>
      <w:r>
        <w:rPr/>
        <w:t>refusing</w:t>
      </w:r>
      <w:r>
        <w:rPr>
          <w:spacing w:val="-10"/>
        </w:rPr>
        <w:t> </w:t>
      </w:r>
      <w:r>
        <w:rPr/>
        <w:t>treatment</w:t>
      </w:r>
      <w:r>
        <w:rPr>
          <w:spacing w:val="-9"/>
        </w:rPr>
        <w:t> </w:t>
      </w:r>
      <w:r>
        <w:rPr/>
        <w:t>or</w:t>
      </w:r>
      <w:r>
        <w:rPr>
          <w:spacing w:val="-9"/>
        </w:rPr>
        <w:t> </w:t>
      </w:r>
      <w:r>
        <w:rPr/>
        <w:t>is</w:t>
      </w:r>
      <w:r>
        <w:rPr>
          <w:spacing w:val="-9"/>
        </w:rPr>
        <w:t> </w:t>
      </w:r>
      <w:r>
        <w:rPr/>
        <w:t>incapable</w:t>
      </w:r>
      <w:r>
        <w:rPr>
          <w:spacing w:val="-9"/>
        </w:rPr>
        <w:t> </w:t>
      </w:r>
      <w:r>
        <w:rPr/>
        <w:t>of</w:t>
      </w:r>
      <w:r>
        <w:rPr>
          <w:spacing w:val="-9"/>
        </w:rPr>
        <w:t> </w:t>
      </w:r>
      <w:r>
        <w:rPr/>
        <w:t>giving</w:t>
      </w:r>
      <w:r>
        <w:rPr>
          <w:spacing w:val="-11"/>
        </w:rPr>
        <w:t> </w:t>
      </w:r>
      <w:r>
        <w:rPr/>
        <w:t>consent to treatment, as was the case under the previous Act.’ This approach was repeated in </w:t>
      </w:r>
      <w:r>
        <w:rPr>
          <w:i/>
          <w:sz w:val="25"/>
        </w:rPr>
        <w:t>LAO</w:t>
      </w:r>
      <w:hyperlink w:history="true" w:anchor="_bookmark45">
        <w:r>
          <w:rPr>
            <w:i/>
            <w:position w:val="8"/>
            <w:sz w:val="17"/>
          </w:rPr>
          <w:t>46</w:t>
        </w:r>
        <w:r>
          <w:rPr>
            <w:i/>
            <w:spacing w:val="-17"/>
            <w:position w:val="8"/>
            <w:sz w:val="17"/>
          </w:rPr>
          <w:t> </w:t>
        </w:r>
      </w:hyperlink>
      <w:r>
        <w:rPr/>
        <w:t>in</w:t>
      </w:r>
      <w:r>
        <w:rPr>
          <w:spacing w:val="-20"/>
        </w:rPr>
        <w:t> </w:t>
      </w:r>
      <w:r>
        <w:rPr/>
        <w:t>which</w:t>
      </w:r>
      <w:r>
        <w:rPr>
          <w:spacing w:val="-20"/>
        </w:rPr>
        <w:t> </w:t>
      </w:r>
      <w:r>
        <w:rPr/>
        <w:t>it</w:t>
      </w:r>
      <w:r>
        <w:rPr>
          <w:spacing w:val="-22"/>
        </w:rPr>
        <w:t> </w:t>
      </w:r>
      <w:r>
        <w:rPr/>
        <w:t>was</w:t>
      </w:r>
      <w:r>
        <w:rPr>
          <w:spacing w:val="-21"/>
        </w:rPr>
        <w:t> </w:t>
      </w:r>
      <w:r>
        <w:rPr/>
        <w:t>found</w:t>
      </w:r>
      <w:r>
        <w:rPr>
          <w:spacing w:val="-22"/>
        </w:rPr>
        <w:t> </w:t>
      </w:r>
      <w:r>
        <w:rPr/>
        <w:t>that</w:t>
      </w:r>
      <w:r>
        <w:rPr>
          <w:spacing w:val="-22"/>
        </w:rPr>
        <w:t> </w:t>
      </w:r>
      <w:r>
        <w:rPr/>
        <w:t>unlike</w:t>
      </w:r>
      <w:r>
        <w:rPr>
          <w:spacing w:val="-21"/>
        </w:rPr>
        <w:t> </w:t>
      </w:r>
      <w:r>
        <w:rPr/>
        <w:t>under</w:t>
      </w:r>
      <w:r>
        <w:rPr>
          <w:spacing w:val="-21"/>
        </w:rPr>
        <w:t> </w:t>
      </w:r>
      <w:r>
        <w:rPr/>
        <w:t>the</w:t>
      </w:r>
      <w:r>
        <w:rPr>
          <w:spacing w:val="-21"/>
        </w:rPr>
        <w:t> </w:t>
      </w:r>
      <w:r>
        <w:rPr/>
        <w:t>1986</w:t>
      </w:r>
      <w:r>
        <w:rPr>
          <w:spacing w:val="-21"/>
        </w:rPr>
        <w:t> </w:t>
      </w:r>
      <w:r>
        <w:rPr/>
        <w:t>Act,</w:t>
      </w:r>
      <w:r>
        <w:rPr>
          <w:spacing w:val="-20"/>
        </w:rPr>
        <w:t> </w:t>
      </w:r>
      <w:r>
        <w:rPr/>
        <w:t>under</w:t>
      </w:r>
      <w:r>
        <w:rPr>
          <w:spacing w:val="-21"/>
        </w:rPr>
        <w:t> </w:t>
      </w:r>
      <w:r>
        <w:rPr/>
        <w:t>the</w:t>
      </w:r>
      <w:r>
        <w:rPr>
          <w:spacing w:val="-22"/>
        </w:rPr>
        <w:t> </w:t>
      </w:r>
      <w:r>
        <w:rPr/>
        <w:t>2014</w:t>
      </w:r>
      <w:r>
        <w:rPr>
          <w:spacing w:val="-21"/>
        </w:rPr>
        <w:t> </w:t>
      </w:r>
      <w:r>
        <w:rPr/>
        <w:t>Act</w:t>
      </w:r>
      <w:r>
        <w:rPr>
          <w:spacing w:val="-21"/>
        </w:rPr>
        <w:t> </w:t>
      </w:r>
      <w:r>
        <w:rPr/>
        <w:t>‘capacity to give informed consent is no longer a determining factor for the Tribunal.’ Despite this, the second study found that the Tribunal did occasionally consider a person’s decision-making capacity in its consideration of the least restrictive criterion, such as </w:t>
      </w:r>
      <w:r>
        <w:rPr>
          <w:i/>
          <w:sz w:val="25"/>
        </w:rPr>
        <w:t>EPK</w:t>
      </w:r>
      <w:hyperlink w:history="true" w:anchor="_bookmark46">
        <w:r>
          <w:rPr>
            <w:position w:val="8"/>
            <w:sz w:val="16"/>
          </w:rPr>
          <w:t>47</w:t>
        </w:r>
      </w:hyperlink>
      <w:r>
        <w:rPr/>
        <w:t>,</w:t>
      </w:r>
      <w:r>
        <w:rPr>
          <w:spacing w:val="-4"/>
        </w:rPr>
        <w:t> </w:t>
      </w:r>
      <w:r>
        <w:rPr/>
        <w:t>where</w:t>
      </w:r>
      <w:r>
        <w:rPr>
          <w:spacing w:val="-5"/>
        </w:rPr>
        <w:t> </w:t>
      </w:r>
      <w:r>
        <w:rPr/>
        <w:t>the</w:t>
      </w:r>
      <w:r>
        <w:rPr>
          <w:spacing w:val="-4"/>
        </w:rPr>
        <w:t> </w:t>
      </w:r>
      <w:r>
        <w:rPr/>
        <w:t>patient</w:t>
      </w:r>
      <w:r>
        <w:rPr>
          <w:spacing w:val="-5"/>
        </w:rPr>
        <w:t> </w:t>
      </w:r>
      <w:r>
        <w:rPr/>
        <w:t>was</w:t>
      </w:r>
      <w:r>
        <w:rPr>
          <w:spacing w:val="-5"/>
        </w:rPr>
        <w:t> </w:t>
      </w:r>
      <w:r>
        <w:rPr/>
        <w:t>found</w:t>
      </w:r>
      <w:r>
        <w:rPr>
          <w:spacing w:val="-5"/>
        </w:rPr>
        <w:t> </w:t>
      </w:r>
      <w:r>
        <w:rPr/>
        <w:t>to</w:t>
      </w:r>
      <w:r>
        <w:rPr>
          <w:spacing w:val="-4"/>
        </w:rPr>
        <w:t> </w:t>
      </w:r>
      <w:r>
        <w:rPr/>
        <w:t>be</w:t>
      </w:r>
      <w:r>
        <w:rPr>
          <w:spacing w:val="-5"/>
        </w:rPr>
        <w:t> </w:t>
      </w:r>
      <w:r>
        <w:rPr/>
        <w:t>‘ready</w:t>
      </w:r>
      <w:r>
        <w:rPr>
          <w:spacing w:val="-4"/>
        </w:rPr>
        <w:t> </w:t>
      </w:r>
      <w:r>
        <w:rPr/>
        <w:t>and</w:t>
      </w:r>
      <w:r>
        <w:rPr>
          <w:spacing w:val="-5"/>
        </w:rPr>
        <w:t> </w:t>
      </w:r>
      <w:r>
        <w:rPr/>
        <w:t>willing</w:t>
      </w:r>
      <w:r>
        <w:rPr>
          <w:spacing w:val="-4"/>
        </w:rPr>
        <w:t> </w:t>
      </w:r>
      <w:r>
        <w:rPr/>
        <w:t>to</w:t>
      </w:r>
      <w:r>
        <w:rPr>
          <w:spacing w:val="-4"/>
        </w:rPr>
        <w:t> </w:t>
      </w:r>
      <w:r>
        <w:rPr/>
        <w:t>consent</w:t>
      </w:r>
      <w:r>
        <w:rPr>
          <w:spacing w:val="-4"/>
        </w:rPr>
        <w:t> </w:t>
      </w:r>
      <w:r>
        <w:rPr/>
        <w:t>to</w:t>
      </w:r>
      <w:r>
        <w:rPr>
          <w:spacing w:val="-4"/>
        </w:rPr>
        <w:t> </w:t>
      </w:r>
      <w:r>
        <w:rPr/>
        <w:t>the</w:t>
      </w:r>
      <w:r>
        <w:rPr>
          <w:spacing w:val="-4"/>
        </w:rPr>
        <w:t> </w:t>
      </w:r>
      <w:r>
        <w:rPr/>
        <w:t>required treatment as a voluntary patient and would remain in the</w:t>
      </w:r>
      <w:r>
        <w:rPr>
          <w:spacing w:val="-16"/>
        </w:rPr>
        <w:t> </w:t>
      </w:r>
      <w:r>
        <w:rPr/>
        <w:t>ward.’</w:t>
      </w:r>
    </w:p>
    <w:p>
      <w:pPr>
        <w:pStyle w:val="BodyText"/>
        <w:spacing w:before="11"/>
        <w:rPr>
          <w:sz w:val="23"/>
        </w:rPr>
      </w:pPr>
    </w:p>
    <w:p>
      <w:pPr>
        <w:pStyle w:val="BodyText"/>
        <w:spacing w:before="1"/>
        <w:ind w:left="120" w:right="112"/>
        <w:jc w:val="both"/>
      </w:pPr>
      <w:r>
        <w:rPr/>
        <w:t>The</w:t>
      </w:r>
      <w:r>
        <w:rPr>
          <w:spacing w:val="-15"/>
        </w:rPr>
        <w:t> </w:t>
      </w:r>
      <w:r>
        <w:rPr/>
        <w:t>second</w:t>
      </w:r>
      <w:r>
        <w:rPr>
          <w:spacing w:val="-16"/>
        </w:rPr>
        <w:t> </w:t>
      </w:r>
      <w:r>
        <w:rPr/>
        <w:t>study</w:t>
      </w:r>
      <w:r>
        <w:rPr>
          <w:spacing w:val="-15"/>
        </w:rPr>
        <w:t> </w:t>
      </w:r>
      <w:r>
        <w:rPr/>
        <w:t>also</w:t>
      </w:r>
      <w:r>
        <w:rPr>
          <w:spacing w:val="-16"/>
        </w:rPr>
        <w:t> </w:t>
      </w:r>
      <w:r>
        <w:rPr/>
        <w:t>examined</w:t>
      </w:r>
      <w:r>
        <w:rPr>
          <w:spacing w:val="-15"/>
        </w:rPr>
        <w:t> </w:t>
      </w:r>
      <w:r>
        <w:rPr/>
        <w:t>the</w:t>
      </w:r>
      <w:r>
        <w:rPr>
          <w:spacing w:val="-15"/>
        </w:rPr>
        <w:t> </w:t>
      </w:r>
      <w:r>
        <w:rPr/>
        <w:t>notion</w:t>
      </w:r>
      <w:r>
        <w:rPr>
          <w:spacing w:val="-15"/>
        </w:rPr>
        <w:t> </w:t>
      </w:r>
      <w:r>
        <w:rPr/>
        <w:t>of</w:t>
      </w:r>
      <w:r>
        <w:rPr>
          <w:spacing w:val="-15"/>
        </w:rPr>
        <w:t> </w:t>
      </w:r>
      <w:r>
        <w:rPr/>
        <w:t>capacity</w:t>
      </w:r>
      <w:r>
        <w:rPr>
          <w:spacing w:val="-16"/>
        </w:rPr>
        <w:t> </w:t>
      </w:r>
      <w:r>
        <w:rPr/>
        <w:t>irrespective</w:t>
      </w:r>
      <w:r>
        <w:rPr>
          <w:spacing w:val="-15"/>
        </w:rPr>
        <w:t> </w:t>
      </w:r>
      <w:r>
        <w:rPr/>
        <w:t>of</w:t>
      </w:r>
      <w:r>
        <w:rPr>
          <w:spacing w:val="-15"/>
        </w:rPr>
        <w:t> </w:t>
      </w:r>
      <w:r>
        <w:rPr/>
        <w:t>who</w:t>
      </w:r>
      <w:r>
        <w:rPr>
          <w:spacing w:val="-16"/>
        </w:rPr>
        <w:t> </w:t>
      </w:r>
      <w:r>
        <w:rPr/>
        <w:t>it</w:t>
      </w:r>
      <w:r>
        <w:rPr>
          <w:spacing w:val="-15"/>
        </w:rPr>
        <w:t> </w:t>
      </w:r>
      <w:r>
        <w:rPr/>
        <w:t>was</w:t>
      </w:r>
      <w:r>
        <w:rPr>
          <w:spacing w:val="-15"/>
        </w:rPr>
        <w:t> </w:t>
      </w:r>
      <w:r>
        <w:rPr/>
        <w:t>raised by, rather than just considering the decision-making process of the</w:t>
      </w:r>
      <w:r>
        <w:rPr>
          <w:spacing w:val="-29"/>
        </w:rPr>
        <w:t> </w:t>
      </w:r>
      <w:r>
        <w:rPr/>
        <w:t>Tribunal.</w:t>
      </w:r>
    </w:p>
    <w:p>
      <w:pPr>
        <w:pStyle w:val="BodyText"/>
        <w:spacing w:before="2"/>
        <w:rPr>
          <w:sz w:val="23"/>
        </w:rPr>
      </w:pPr>
    </w:p>
    <w:p>
      <w:pPr>
        <w:pStyle w:val="BodyText"/>
        <w:ind w:left="120" w:right="108"/>
        <w:jc w:val="both"/>
      </w:pPr>
      <w:r>
        <w:rPr/>
        <w:t>For example, in </w:t>
      </w:r>
      <w:r>
        <w:rPr>
          <w:i/>
          <w:sz w:val="25"/>
        </w:rPr>
        <w:t>QDE</w:t>
      </w:r>
      <w:hyperlink w:history="true" w:anchor="_bookmark47">
        <w:r>
          <w:rPr>
            <w:i/>
            <w:position w:val="8"/>
            <w:sz w:val="17"/>
          </w:rPr>
          <w:t>48</w:t>
        </w:r>
      </w:hyperlink>
      <w:r>
        <w:rPr/>
        <w:t>, where the treating team asked for the order to be made so that, among other things, the patient’s capacity to consent to treatment could be assessed. QDE’s solicitor countered that QDE ‘was capable of making an informed decision as to her future treatment’. Legal representatives often raised the issue, such as </w:t>
      </w:r>
      <w:r>
        <w:rPr>
          <w:i/>
          <w:sz w:val="25"/>
        </w:rPr>
        <w:t>MKP</w:t>
      </w:r>
      <w:hyperlink w:history="true" w:anchor="_bookmark48">
        <w:r>
          <w:rPr>
            <w:i/>
            <w:position w:val="8"/>
            <w:sz w:val="17"/>
          </w:rPr>
          <w:t>49</w:t>
        </w:r>
      </w:hyperlink>
      <w:r>
        <w:rPr/>
        <w:t>, in which the solicitor ‘…submitted that MKP could be treated voluntarily because she was consenting to treatment.’ In response, the Tribunal considered this submission, but ‘was not satisfied that MKP was able to sustain consent’. In the Tribunal’s view, MKP’s understanding of her illness and her acceptance of treatment were not sufficiently consistent for her to agree to treatment.’ This is a clear example of the Tribunal engaging in the reasoning laid out above making an assessment of a person's capacity, and making a decision based, in part, on this assessment.</w:t>
      </w:r>
    </w:p>
    <w:p>
      <w:pPr>
        <w:pStyle w:val="BodyText"/>
        <w:spacing w:before="11"/>
        <w:rPr>
          <w:sz w:val="23"/>
        </w:rPr>
      </w:pPr>
    </w:p>
    <w:p>
      <w:pPr>
        <w:pStyle w:val="BodyText"/>
        <w:spacing w:before="1"/>
        <w:ind w:left="120" w:right="109"/>
        <w:jc w:val="both"/>
      </w:pPr>
      <w:r>
        <w:rPr/>
        <w:t>The second study was also not limited to the Tribunal’s considerations of the least restrictive</w:t>
      </w:r>
      <w:r>
        <w:rPr>
          <w:spacing w:val="-10"/>
        </w:rPr>
        <w:t> </w:t>
      </w:r>
      <w:r>
        <w:rPr/>
        <w:t>criterion.</w:t>
      </w:r>
      <w:r>
        <w:rPr>
          <w:spacing w:val="-10"/>
        </w:rPr>
        <w:t> </w:t>
      </w:r>
      <w:r>
        <w:rPr/>
        <w:t>This</w:t>
      </w:r>
      <w:r>
        <w:rPr>
          <w:spacing w:val="-10"/>
        </w:rPr>
        <w:t> </w:t>
      </w:r>
      <w:r>
        <w:rPr/>
        <w:t>meant</w:t>
      </w:r>
      <w:r>
        <w:rPr>
          <w:spacing w:val="-10"/>
        </w:rPr>
        <w:t> </w:t>
      </w:r>
      <w:r>
        <w:rPr/>
        <w:t>that</w:t>
      </w:r>
      <w:r>
        <w:rPr>
          <w:spacing w:val="-10"/>
        </w:rPr>
        <w:t> </w:t>
      </w:r>
      <w:r>
        <w:rPr/>
        <w:t>while</w:t>
      </w:r>
      <w:r>
        <w:rPr>
          <w:spacing w:val="-12"/>
        </w:rPr>
        <w:t> </w:t>
      </w:r>
      <w:r>
        <w:rPr/>
        <w:t>it</w:t>
      </w:r>
      <w:r>
        <w:rPr>
          <w:spacing w:val="-10"/>
        </w:rPr>
        <w:t> </w:t>
      </w:r>
      <w:r>
        <w:rPr/>
        <w:t>reinforces</w:t>
      </w:r>
      <w:r>
        <w:rPr>
          <w:spacing w:val="-10"/>
        </w:rPr>
        <w:t> </w:t>
      </w:r>
      <w:r>
        <w:rPr/>
        <w:t>the</w:t>
      </w:r>
      <w:r>
        <w:rPr>
          <w:spacing w:val="-10"/>
        </w:rPr>
        <w:t> </w:t>
      </w:r>
      <w:r>
        <w:rPr/>
        <w:t>conclusion</w:t>
      </w:r>
      <w:r>
        <w:rPr>
          <w:spacing w:val="-11"/>
        </w:rPr>
        <w:t> </w:t>
      </w:r>
      <w:r>
        <w:rPr/>
        <w:t>of</w:t>
      </w:r>
      <w:r>
        <w:rPr>
          <w:spacing w:val="-11"/>
        </w:rPr>
        <w:t> </w:t>
      </w:r>
      <w:r>
        <w:rPr/>
        <w:t>the</w:t>
      </w:r>
      <w:r>
        <w:rPr>
          <w:spacing w:val="-11"/>
        </w:rPr>
        <w:t> </w:t>
      </w:r>
      <w:r>
        <w:rPr/>
        <w:t>first</w:t>
      </w:r>
      <w:r>
        <w:rPr>
          <w:spacing w:val="-10"/>
        </w:rPr>
        <w:t> </w:t>
      </w:r>
      <w:r>
        <w:rPr/>
        <w:t>study, that the Tribunal is only rarely considering capacity in determining if treatment is restrictive,</w:t>
      </w:r>
      <w:r>
        <w:rPr>
          <w:spacing w:val="-8"/>
        </w:rPr>
        <w:t> </w:t>
      </w:r>
      <w:r>
        <w:rPr/>
        <w:t>it</w:t>
      </w:r>
      <w:r>
        <w:rPr>
          <w:spacing w:val="-7"/>
        </w:rPr>
        <w:t> </w:t>
      </w:r>
      <w:r>
        <w:rPr/>
        <w:t>uncovered</w:t>
      </w:r>
      <w:r>
        <w:rPr>
          <w:spacing w:val="-7"/>
        </w:rPr>
        <w:t> </w:t>
      </w:r>
      <w:r>
        <w:rPr/>
        <w:t>a</w:t>
      </w:r>
      <w:r>
        <w:rPr>
          <w:spacing w:val="-8"/>
        </w:rPr>
        <w:t> </w:t>
      </w:r>
      <w:r>
        <w:rPr/>
        <w:t>tendency</w:t>
      </w:r>
      <w:r>
        <w:rPr>
          <w:spacing w:val="-7"/>
        </w:rPr>
        <w:t> </w:t>
      </w:r>
      <w:r>
        <w:rPr/>
        <w:t>to</w:t>
      </w:r>
      <w:r>
        <w:rPr>
          <w:spacing w:val="-7"/>
        </w:rPr>
        <w:t> </w:t>
      </w:r>
      <w:r>
        <w:rPr/>
        <w:t>consider</w:t>
      </w:r>
      <w:r>
        <w:rPr>
          <w:spacing w:val="-8"/>
        </w:rPr>
        <w:t> </w:t>
      </w:r>
      <w:r>
        <w:rPr/>
        <w:t>capacity</w:t>
      </w:r>
      <w:r>
        <w:rPr>
          <w:spacing w:val="-7"/>
        </w:rPr>
        <w:t> </w:t>
      </w:r>
      <w:r>
        <w:rPr/>
        <w:t>in</w:t>
      </w:r>
      <w:r>
        <w:rPr>
          <w:spacing w:val="-7"/>
        </w:rPr>
        <w:t> </w:t>
      </w:r>
      <w:r>
        <w:rPr/>
        <w:t>relation</w:t>
      </w:r>
      <w:r>
        <w:rPr>
          <w:spacing w:val="-7"/>
        </w:rPr>
        <w:t> </w:t>
      </w:r>
      <w:r>
        <w:rPr/>
        <w:t>to</w:t>
      </w:r>
      <w:r>
        <w:rPr>
          <w:spacing w:val="-8"/>
        </w:rPr>
        <w:t> </w:t>
      </w:r>
      <w:r>
        <w:rPr/>
        <w:t>other</w:t>
      </w:r>
      <w:r>
        <w:rPr>
          <w:spacing w:val="-8"/>
        </w:rPr>
        <w:t> </w:t>
      </w:r>
      <w:r>
        <w:rPr/>
        <w:t>criteria.</w:t>
      </w:r>
      <w:r>
        <w:rPr>
          <w:spacing w:val="-7"/>
        </w:rPr>
        <w:t> </w:t>
      </w:r>
      <w:r>
        <w:rPr/>
        <w:t>Up until this point, we have focused on a person’s decision-making capacity to refuse treatment, however the Tribunal considered a person’s decision-making capacity in a number of different ways, not just in relation to their ability to refuse</w:t>
      </w:r>
      <w:r>
        <w:rPr>
          <w:spacing w:val="-33"/>
        </w:rPr>
        <w:t> </w:t>
      </w:r>
      <w:r>
        <w:rPr/>
        <w:t>treatment.</w:t>
      </w:r>
    </w:p>
    <w:p>
      <w:pPr>
        <w:pStyle w:val="BodyText"/>
      </w:pPr>
    </w:p>
    <w:p>
      <w:pPr>
        <w:pStyle w:val="BodyText"/>
        <w:ind w:left="120" w:right="110"/>
        <w:jc w:val="both"/>
      </w:pPr>
      <w:r>
        <w:rPr/>
        <w:t>Poor or impaired judgement was raised in 12% (n=35) of cases, and insight, lacking or otherwise, was considered in 48% (n=141) of cases.</w:t>
      </w:r>
    </w:p>
    <w:p>
      <w:pPr>
        <w:pStyle w:val="BodyText"/>
        <w:spacing w:before="11"/>
        <w:rPr>
          <w:sz w:val="23"/>
        </w:rPr>
      </w:pPr>
    </w:p>
    <w:p>
      <w:pPr>
        <w:pStyle w:val="BodyText"/>
        <w:spacing w:before="1"/>
        <w:ind w:left="120" w:right="110"/>
        <w:jc w:val="both"/>
      </w:pPr>
      <w:r>
        <w:rPr/>
        <w:t>A notable finding of the second study is that the different themes related to capacity were considered under different criteria. As Figure 1 below illustrates, the theme of capacity was most often considered under the least restrictive criterion, whereas, of these three, insight was the factor most often considered in establishing if a person had a mental illness.</w:t>
      </w:r>
    </w:p>
    <w:p>
      <w:pPr>
        <w:pStyle w:val="BodyText"/>
        <w:rPr>
          <w:sz w:val="20"/>
        </w:rPr>
      </w:pPr>
    </w:p>
    <w:p>
      <w:pPr>
        <w:pStyle w:val="BodyText"/>
        <w:rPr>
          <w:sz w:val="20"/>
        </w:rPr>
      </w:pPr>
    </w:p>
    <w:p>
      <w:pPr>
        <w:pStyle w:val="BodyText"/>
        <w:spacing w:before="4"/>
        <w:rPr>
          <w:sz w:val="20"/>
        </w:rPr>
      </w:pPr>
      <w:r>
        <w:rPr/>
        <w:pict>
          <v:line style="position:absolute;mso-position-horizontal-relative:page;mso-position-vertical-relative:paragraph;z-index:1312;mso-wrap-distance-left:0;mso-wrap-distance-right:0" from="67.019997pt,14.51177pt" to="211.019997pt,14.51177pt" stroked="true" strokeweight=".54pt" strokecolor="#000000">
            <v:stroke dashstyle="solid"/>
            <w10:wrap type="topAndBottom"/>
          </v:line>
        </w:pict>
      </w:r>
    </w:p>
    <w:p>
      <w:pPr>
        <w:spacing w:line="248" w:lineRule="exact" w:before="54"/>
        <w:ind w:left="120" w:right="0" w:firstLine="0"/>
        <w:jc w:val="left"/>
        <w:rPr>
          <w:sz w:val="20"/>
        </w:rPr>
      </w:pPr>
      <w:bookmarkStart w:name="_bookmark44" w:id="46"/>
      <w:bookmarkEnd w:id="46"/>
      <w:r>
        <w:rPr/>
      </w:r>
      <w:r>
        <w:rPr>
          <w:position w:val="7"/>
          <w:sz w:val="13"/>
        </w:rPr>
        <w:t>45 </w:t>
      </w:r>
      <w:r>
        <w:rPr>
          <w:i/>
          <w:sz w:val="21"/>
        </w:rPr>
        <w:t>BFW </w:t>
      </w:r>
      <w:r>
        <w:rPr>
          <w:sz w:val="20"/>
        </w:rPr>
        <w:t>[2014] VMHT 17.</w:t>
      </w:r>
    </w:p>
    <w:p>
      <w:pPr>
        <w:spacing w:line="242" w:lineRule="exact" w:before="0"/>
        <w:ind w:left="120" w:right="0" w:firstLine="0"/>
        <w:jc w:val="left"/>
        <w:rPr>
          <w:sz w:val="20"/>
        </w:rPr>
      </w:pPr>
      <w:bookmarkStart w:name="_bookmark45" w:id="47"/>
      <w:bookmarkEnd w:id="47"/>
      <w:r>
        <w:rPr/>
      </w:r>
      <w:r>
        <w:rPr>
          <w:position w:val="7"/>
          <w:sz w:val="13"/>
        </w:rPr>
        <w:t>46 </w:t>
      </w:r>
      <w:r>
        <w:rPr>
          <w:i/>
          <w:sz w:val="21"/>
        </w:rPr>
        <w:t>LAO  </w:t>
      </w:r>
      <w:r>
        <w:rPr>
          <w:sz w:val="20"/>
        </w:rPr>
        <w:t>[2015] VMHT 116.</w:t>
      </w:r>
    </w:p>
    <w:p>
      <w:pPr>
        <w:spacing w:line="241" w:lineRule="exact" w:before="0"/>
        <w:ind w:left="120" w:right="0" w:firstLine="0"/>
        <w:jc w:val="left"/>
        <w:rPr>
          <w:sz w:val="20"/>
        </w:rPr>
      </w:pPr>
      <w:bookmarkStart w:name="_bookmark46" w:id="48"/>
      <w:bookmarkEnd w:id="48"/>
      <w:r>
        <w:rPr/>
      </w:r>
      <w:r>
        <w:rPr>
          <w:position w:val="7"/>
          <w:sz w:val="13"/>
        </w:rPr>
        <w:t>47 </w:t>
      </w:r>
      <w:r>
        <w:rPr>
          <w:i/>
          <w:sz w:val="21"/>
        </w:rPr>
        <w:t>EPK  </w:t>
      </w:r>
      <w:r>
        <w:rPr>
          <w:sz w:val="20"/>
        </w:rPr>
        <w:t>[2015] VMHT 47.</w:t>
      </w:r>
    </w:p>
    <w:p>
      <w:pPr>
        <w:spacing w:line="241" w:lineRule="exact" w:before="0"/>
        <w:ind w:left="120" w:right="0" w:firstLine="0"/>
        <w:jc w:val="left"/>
        <w:rPr>
          <w:sz w:val="20"/>
        </w:rPr>
      </w:pPr>
      <w:bookmarkStart w:name="_bookmark47" w:id="49"/>
      <w:bookmarkEnd w:id="49"/>
      <w:r>
        <w:rPr/>
      </w:r>
      <w:r>
        <w:rPr>
          <w:position w:val="7"/>
          <w:sz w:val="13"/>
        </w:rPr>
        <w:t>48 </w:t>
      </w:r>
      <w:r>
        <w:rPr>
          <w:i/>
          <w:sz w:val="21"/>
        </w:rPr>
        <w:t>QDE </w:t>
      </w:r>
      <w:r>
        <w:rPr>
          <w:sz w:val="20"/>
        </w:rPr>
        <w:t>[2015] VMHT 207.</w:t>
      </w:r>
    </w:p>
    <w:p>
      <w:pPr>
        <w:spacing w:line="247" w:lineRule="exact" w:before="0"/>
        <w:ind w:left="120" w:right="0" w:firstLine="0"/>
        <w:jc w:val="left"/>
        <w:rPr>
          <w:sz w:val="20"/>
        </w:rPr>
      </w:pPr>
      <w:bookmarkStart w:name="_bookmark48" w:id="50"/>
      <w:bookmarkEnd w:id="50"/>
      <w:r>
        <w:rPr/>
      </w:r>
      <w:r>
        <w:rPr>
          <w:position w:val="7"/>
          <w:sz w:val="13"/>
        </w:rPr>
        <w:t>49 </w:t>
      </w:r>
      <w:r>
        <w:rPr>
          <w:i/>
          <w:sz w:val="21"/>
        </w:rPr>
        <w:t>MKP </w:t>
      </w:r>
      <w:r>
        <w:rPr>
          <w:sz w:val="20"/>
        </w:rPr>
        <w:t>[2015] VMHT 108.</w:t>
      </w:r>
    </w:p>
    <w:p>
      <w:pPr>
        <w:spacing w:after="0" w:line="247" w:lineRule="exact"/>
        <w:jc w:val="left"/>
        <w:rPr>
          <w:sz w:val="20"/>
        </w:rPr>
        <w:sectPr>
          <w:footerReference w:type="default" r:id="rId8"/>
          <w:pgSz w:w="11910" w:h="16840"/>
          <w:pgMar w:footer="1025" w:header="763" w:top="980" w:bottom="1220" w:left="1220" w:right="1320"/>
          <w:pgNumType w:start="101"/>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1"/>
        </w:rPr>
      </w:pPr>
    </w:p>
    <w:p>
      <w:pPr>
        <w:spacing w:before="0"/>
        <w:ind w:left="2427" w:right="3635" w:firstLine="0"/>
        <w:jc w:val="center"/>
        <w:rPr>
          <w:i/>
          <w:sz w:val="13"/>
        </w:rPr>
      </w:pPr>
      <w:r>
        <w:rPr/>
        <w:pict>
          <v:group style="position:absolute;margin-left:127.349998pt;margin-top:-212.909988pt;width:340.9pt;height:213.1pt;mso-position-horizontal-relative:page;mso-position-vertical-relative:paragraph;z-index:-24736" coordorigin="2547,-4258" coordsize="6818,4262">
            <v:shape style="position:absolute;left:3549;top:-1730;width:5589;height:249" coordorigin="3549,-1729" coordsize="5589,249" path="m8782,-1481l9138,-1481m8369,-1481l8456,-1481m7956,-1481l8044,-1481m3549,-1481l7631,-1481m7956,-1729l8456,-1729m3549,-1729l7631,-1729e" filled="false" stroked="true" strokeweight=".75pt" strokecolor="#dadada">
              <v:path arrowok="t"/>
              <v:stroke dashstyle="solid"/>
            </v:shape>
            <v:rect style="position:absolute;left:7630;top:-1854;width:326;height:622" filled="true" fillcolor="#4f81bd" stroked="false">
              <v:fill type="solid"/>
            </v:rect>
            <v:line style="position:absolute" from="4318,-1264" to="4643,-1264" stroked="true" strokeweight="3.102pt" strokecolor="#c0504d">
              <v:stroke dashstyle="solid"/>
            </v:line>
            <v:shape style="position:absolute;left:6181;top:-1618;width:2188;height:385" coordorigin="6181,-1618" coordsize="2188,385" path="m6506,-1457l6181,-1457,6181,-1233,6506,-1233,6506,-1457m8369,-1618l8044,-1618,8044,-1233,8369,-1233,8369,-1618e" filled="true" fillcolor="#c0504d" stroked="false">
              <v:path arrowok="t"/>
              <v:fill type="solid"/>
            </v:shape>
            <v:shape style="position:absolute;left:4730;top:-1383;width:2189;height:150" coordorigin="4730,-1382" coordsize="2189,150" path="m5056,-1332l4730,-1332,4730,-1233,5056,-1233,5056,-1332m6919,-1382l6594,-1382,6594,-1233,6919,-1233,6919,-1382e" filled="true" fillcolor="#9bbb59" stroked="false">
              <v:path arrowok="t"/>
              <v:fill type="solid"/>
            </v:shape>
            <v:shape style="position:absolute;left:3549;top:-2723;width:5589;height:994" coordorigin="3549,-2723" coordsize="5589,994" path="m8782,-1729l9138,-1729m8782,-1977l9138,-1977m3549,-1977l8456,-1977m8782,-2226l9138,-2226m3549,-2226l8456,-2226m8782,-2474l9138,-2474m3549,-2474l8456,-2474m8782,-2723l9138,-2723m3549,-2723l8456,-2723e" filled="false" stroked="true" strokeweight=".75pt" strokecolor="#dadada">
              <v:path arrowok="t"/>
              <v:stroke dashstyle="solid"/>
            </v:shape>
            <v:rect style="position:absolute;left:8456;top:-2799;width:326;height:1566" filled="true" fillcolor="#9bbb59" stroked="false">
              <v:fill type="solid"/>
            </v:rect>
            <v:rect style="position:absolute;left:5768;top:-1395;width:326;height:162" filled="true" fillcolor="#4f81bd" stroked="false">
              <v:fill type="solid"/>
            </v:rect>
            <v:line style="position:absolute" from="3549,-1233" to="9138,-1233" stroked="true" strokeweight=".75pt" strokecolor="#dadada">
              <v:stroke dashstyle="solid"/>
            </v:line>
            <v:line style="position:absolute" from="3549,-2972" to="9138,-2972" stroked="true" strokeweight=".75pt" strokecolor="#dadada">
              <v:stroke dashstyle="solid"/>
            </v:line>
            <v:line style="position:absolute" from="3762,-649" to="3762,-551" stroked="true" strokeweight="4.943pt" strokecolor="#4f81bd">
              <v:stroke dashstyle="solid"/>
            </v:line>
            <v:line style="position:absolute" from="6070,-649" to="6070,-551" stroked="true" strokeweight="4.943pt" strokecolor="#c0504d">
              <v:stroke dashstyle="solid"/>
            </v:line>
            <v:line style="position:absolute" from="3762,-312" to="3762,-213" stroked="true" strokeweight="4.943pt" strokecolor="#9bbb59">
              <v:stroke dashstyle="solid"/>
            </v:line>
            <v:rect style="position:absolute;left:2554;top:-4251;width:6803;height:4247" filled="false" stroked="true" strokeweight=".75pt" strokecolor="#dadada">
              <v:stroke dashstyle="solid"/>
            </v:rect>
            <v:shape style="position:absolute;left:3742;top:-4028;width:4445;height:800" type="#_x0000_t202" filled="false" stroked="false">
              <v:textbox inset="0,0,0,0">
                <w:txbxContent>
                  <w:p>
                    <w:pPr>
                      <w:spacing w:line="367" w:lineRule="exact" w:before="0"/>
                      <w:ind w:left="0" w:right="18" w:firstLine="0"/>
                      <w:jc w:val="center"/>
                      <w:rPr>
                        <w:rFonts w:ascii="Calibri"/>
                        <w:sz w:val="36"/>
                      </w:rPr>
                    </w:pPr>
                    <w:r>
                      <w:rPr>
                        <w:rFonts w:ascii="Calibri"/>
                        <w:color w:val="595958"/>
                        <w:sz w:val="36"/>
                      </w:rPr>
                      <w:t>Considerations under</w:t>
                    </w:r>
                    <w:r>
                      <w:rPr>
                        <w:rFonts w:ascii="Calibri"/>
                        <w:color w:val="595958"/>
                        <w:spacing w:val="-29"/>
                        <w:sz w:val="36"/>
                      </w:rPr>
                      <w:t> </w:t>
                    </w:r>
                    <w:r>
                      <w:rPr>
                        <w:rFonts w:ascii="Calibri"/>
                        <w:color w:val="595958"/>
                        <w:sz w:val="36"/>
                      </w:rPr>
                      <w:t>selected</w:t>
                    </w:r>
                  </w:p>
                  <w:p>
                    <w:pPr>
                      <w:spacing w:line="433" w:lineRule="exact" w:before="0"/>
                      <w:ind w:left="0" w:right="14" w:firstLine="0"/>
                      <w:jc w:val="center"/>
                      <w:rPr>
                        <w:rFonts w:ascii="Calibri"/>
                        <w:sz w:val="36"/>
                      </w:rPr>
                    </w:pPr>
                    <w:r>
                      <w:rPr>
                        <w:rFonts w:ascii="Calibri"/>
                        <w:color w:val="595958"/>
                        <w:sz w:val="36"/>
                      </w:rPr>
                      <w:t>criteria</w:t>
                    </w:r>
                  </w:p>
                </w:txbxContent>
              </v:textbox>
              <w10:wrap type="none"/>
            </v:shape>
            <v:shape style="position:absolute;left:3108;top:-3055;width:294;height:1919" type="#_x0000_t202" filled="false" stroked="false">
              <v:textbox inset="0,0,0,0">
                <w:txbxContent>
                  <w:p>
                    <w:pPr>
                      <w:spacing w:line="183" w:lineRule="exact" w:before="0"/>
                      <w:ind w:left="0" w:right="18" w:firstLine="0"/>
                      <w:jc w:val="center"/>
                      <w:rPr>
                        <w:rFonts w:ascii="Calibri"/>
                        <w:sz w:val="18"/>
                      </w:rPr>
                    </w:pPr>
                    <w:r>
                      <w:rPr>
                        <w:rFonts w:ascii="Calibri"/>
                        <w:color w:val="595958"/>
                        <w:sz w:val="18"/>
                      </w:rPr>
                      <w:t>140</w:t>
                    </w:r>
                  </w:p>
                  <w:p>
                    <w:pPr>
                      <w:spacing w:before="28"/>
                      <w:ind w:left="0" w:right="18" w:firstLine="0"/>
                      <w:jc w:val="center"/>
                      <w:rPr>
                        <w:rFonts w:ascii="Calibri"/>
                        <w:sz w:val="18"/>
                      </w:rPr>
                    </w:pPr>
                    <w:r>
                      <w:rPr>
                        <w:rFonts w:ascii="Calibri"/>
                        <w:color w:val="595958"/>
                        <w:sz w:val="18"/>
                      </w:rPr>
                      <w:t>120</w:t>
                    </w:r>
                  </w:p>
                  <w:p>
                    <w:pPr>
                      <w:spacing w:before="28"/>
                      <w:ind w:left="0" w:right="18" w:firstLine="0"/>
                      <w:jc w:val="center"/>
                      <w:rPr>
                        <w:rFonts w:ascii="Calibri"/>
                        <w:sz w:val="18"/>
                      </w:rPr>
                    </w:pPr>
                    <w:r>
                      <w:rPr>
                        <w:rFonts w:ascii="Calibri"/>
                        <w:color w:val="595958"/>
                        <w:sz w:val="18"/>
                      </w:rPr>
                      <w:t>100</w:t>
                    </w:r>
                  </w:p>
                  <w:p>
                    <w:pPr>
                      <w:spacing w:before="28"/>
                      <w:ind w:left="91" w:right="0" w:firstLine="0"/>
                      <w:jc w:val="left"/>
                      <w:rPr>
                        <w:rFonts w:ascii="Calibri"/>
                        <w:sz w:val="18"/>
                      </w:rPr>
                    </w:pPr>
                    <w:r>
                      <w:rPr>
                        <w:rFonts w:ascii="Calibri"/>
                        <w:color w:val="595958"/>
                        <w:sz w:val="18"/>
                      </w:rPr>
                      <w:t>80</w:t>
                    </w:r>
                  </w:p>
                  <w:p>
                    <w:pPr>
                      <w:spacing w:before="28"/>
                      <w:ind w:left="91" w:right="0" w:firstLine="0"/>
                      <w:jc w:val="left"/>
                      <w:rPr>
                        <w:rFonts w:ascii="Calibri"/>
                        <w:sz w:val="18"/>
                      </w:rPr>
                    </w:pPr>
                    <w:r>
                      <w:rPr>
                        <w:rFonts w:ascii="Calibri"/>
                        <w:color w:val="595958"/>
                        <w:sz w:val="18"/>
                      </w:rPr>
                      <w:t>60</w:t>
                    </w:r>
                  </w:p>
                  <w:p>
                    <w:pPr>
                      <w:spacing w:before="28"/>
                      <w:ind w:left="91" w:right="0" w:firstLine="0"/>
                      <w:jc w:val="left"/>
                      <w:rPr>
                        <w:rFonts w:ascii="Calibri"/>
                        <w:sz w:val="18"/>
                      </w:rPr>
                    </w:pPr>
                    <w:r>
                      <w:rPr>
                        <w:rFonts w:ascii="Calibri"/>
                        <w:color w:val="595958"/>
                        <w:sz w:val="18"/>
                      </w:rPr>
                      <w:t>40</w:t>
                    </w:r>
                  </w:p>
                  <w:p>
                    <w:pPr>
                      <w:spacing w:before="28"/>
                      <w:ind w:left="91" w:right="0" w:firstLine="0"/>
                      <w:jc w:val="left"/>
                      <w:rPr>
                        <w:rFonts w:ascii="Calibri"/>
                        <w:sz w:val="18"/>
                      </w:rPr>
                    </w:pPr>
                    <w:r>
                      <w:rPr>
                        <w:rFonts w:ascii="Calibri"/>
                        <w:color w:val="595958"/>
                        <w:sz w:val="18"/>
                      </w:rPr>
                      <w:t>20</w:t>
                    </w:r>
                  </w:p>
                  <w:p>
                    <w:pPr>
                      <w:spacing w:line="216" w:lineRule="exact" w:before="28"/>
                      <w:ind w:left="162" w:right="0" w:firstLine="0"/>
                      <w:jc w:val="center"/>
                      <w:rPr>
                        <w:rFonts w:ascii="Calibri"/>
                        <w:sz w:val="18"/>
                      </w:rPr>
                    </w:pPr>
                    <w:r>
                      <w:rPr>
                        <w:rFonts w:ascii="Calibri"/>
                        <w:color w:val="595958"/>
                        <w:sz w:val="18"/>
                      </w:rPr>
                      <w:t>0</w:t>
                    </w:r>
                  </w:p>
                </w:txbxContent>
              </v:textbox>
              <w10:wrap type="none"/>
            </v:shape>
            <v:shape style="position:absolute;left:4169;top:-1082;width:643;height:180" type="#_x0000_t202" filled="false" stroked="false">
              <v:textbox inset="0,0,0,0">
                <w:txbxContent>
                  <w:p>
                    <w:pPr>
                      <w:spacing w:line="180" w:lineRule="exact" w:before="0"/>
                      <w:ind w:left="0" w:right="0" w:firstLine="0"/>
                      <w:jc w:val="left"/>
                      <w:rPr>
                        <w:rFonts w:ascii="Calibri"/>
                        <w:sz w:val="18"/>
                      </w:rPr>
                    </w:pPr>
                    <w:r>
                      <w:rPr>
                        <w:rFonts w:ascii="Calibri"/>
                        <w:color w:val="595958"/>
                        <w:sz w:val="18"/>
                      </w:rPr>
                      <w:t>Capacity</w:t>
                    </w:r>
                  </w:p>
                </w:txbxContent>
              </v:textbox>
              <w10:wrap type="none"/>
            </v:shape>
            <v:shape style="position:absolute;left:5596;top:-1082;width:1515;height:180" type="#_x0000_t202" filled="false" stroked="false">
              <v:textbox inset="0,0,0,0">
                <w:txbxContent>
                  <w:p>
                    <w:pPr>
                      <w:spacing w:line="180" w:lineRule="exact" w:before="0"/>
                      <w:ind w:left="0" w:right="0" w:firstLine="0"/>
                      <w:jc w:val="left"/>
                      <w:rPr>
                        <w:rFonts w:ascii="Calibri"/>
                        <w:sz w:val="18"/>
                      </w:rPr>
                    </w:pPr>
                    <w:r>
                      <w:rPr>
                        <w:rFonts w:ascii="Calibri"/>
                        <w:color w:val="595958"/>
                        <w:sz w:val="18"/>
                      </w:rPr>
                      <w:t>Impaired judgement</w:t>
                    </w:r>
                  </w:p>
                </w:txbxContent>
              </v:textbox>
              <w10:wrap type="none"/>
            </v:shape>
            <v:shape style="position:absolute;left:7960;top:-1082;width:512;height:180" type="#_x0000_t202" filled="false" stroked="false">
              <v:textbox inset="0,0,0,0">
                <w:txbxContent>
                  <w:p>
                    <w:pPr>
                      <w:spacing w:line="180" w:lineRule="exact" w:before="0"/>
                      <w:ind w:left="0" w:right="0" w:firstLine="0"/>
                      <w:jc w:val="left"/>
                      <w:rPr>
                        <w:rFonts w:ascii="Calibri"/>
                        <w:sz w:val="18"/>
                      </w:rPr>
                    </w:pPr>
                    <w:r>
                      <w:rPr>
                        <w:rFonts w:ascii="Calibri"/>
                        <w:color w:val="595958"/>
                        <w:sz w:val="18"/>
                      </w:rPr>
                      <w:t>Insight</w:t>
                    </w:r>
                  </w:p>
                </w:txbxContent>
              </v:textbox>
              <w10:wrap type="none"/>
            </v:shape>
            <v:shape style="position:absolute;left:3853;top:-684;width:1768;height:518" type="#_x0000_t202" filled="false" stroked="false">
              <v:textbox inset="0,0,0,0">
                <w:txbxContent>
                  <w:p>
                    <w:pPr>
                      <w:spacing w:line="183" w:lineRule="exact" w:before="0"/>
                      <w:ind w:left="0" w:right="0" w:firstLine="0"/>
                      <w:jc w:val="left"/>
                      <w:rPr>
                        <w:rFonts w:ascii="Calibri"/>
                        <w:sz w:val="18"/>
                      </w:rPr>
                    </w:pPr>
                    <w:r>
                      <w:rPr>
                        <w:rFonts w:ascii="Calibri"/>
                        <w:color w:val="595958"/>
                        <w:sz w:val="18"/>
                      </w:rPr>
                      <w:t>Mental illness criterion</w:t>
                    </w:r>
                  </w:p>
                  <w:p>
                    <w:pPr>
                      <w:spacing w:line="216" w:lineRule="exact" w:before="117"/>
                      <w:ind w:left="0" w:right="0" w:firstLine="0"/>
                      <w:jc w:val="left"/>
                      <w:rPr>
                        <w:rFonts w:ascii="Calibri"/>
                        <w:sz w:val="18"/>
                      </w:rPr>
                    </w:pPr>
                    <w:r>
                      <w:rPr>
                        <w:rFonts w:ascii="Calibri"/>
                        <w:color w:val="595958"/>
                        <w:sz w:val="18"/>
                      </w:rPr>
                      <w:t>Less restrictive criterion</w:t>
                    </w:r>
                  </w:p>
                </w:txbxContent>
              </v:textbox>
              <w10:wrap type="none"/>
            </v:shape>
            <v:shape style="position:absolute;left:6161;top:-684;width:2130;height:180" type="#_x0000_t202" filled="false" stroked="false">
              <v:textbox inset="0,0,0,0">
                <w:txbxContent>
                  <w:p>
                    <w:pPr>
                      <w:spacing w:line="180" w:lineRule="exact" w:before="0"/>
                      <w:ind w:left="0" w:right="0" w:firstLine="0"/>
                      <w:jc w:val="left"/>
                      <w:rPr>
                        <w:rFonts w:ascii="Calibri"/>
                        <w:sz w:val="18"/>
                      </w:rPr>
                    </w:pPr>
                    <w:r>
                      <w:rPr>
                        <w:rFonts w:ascii="Calibri"/>
                        <w:color w:val="595958"/>
                        <w:sz w:val="18"/>
                      </w:rPr>
                      <w:t>Treatment required criterion</w:t>
                    </w:r>
                  </w:p>
                </w:txbxContent>
              </v:textbox>
              <w10:wrap type="none"/>
            </v:shape>
            <w10:wrap type="none"/>
          </v:group>
        </w:pict>
      </w:r>
      <w:r>
        <w:rPr/>
        <w:pict>
          <v:shape style="position:absolute;margin-left:141.250107pt;margin-top:-141.696732pt;width:12.05pt;height:73.3pt;mso-position-horizontal-relative:page;mso-position-vertical-relative:paragraph;z-index:1744" type="#_x0000_t202" filled="false" stroked="false">
            <v:textbox inset="0,0,0,0" style="layout-flow:vertical;mso-layout-flow-alt:bottom-to-top">
              <w:txbxContent>
                <w:p>
                  <w:pPr>
                    <w:spacing w:line="224" w:lineRule="exact" w:before="0"/>
                    <w:ind w:left="20" w:right="-693" w:firstLine="0"/>
                    <w:jc w:val="left"/>
                    <w:rPr>
                      <w:rFonts w:ascii="Calibri"/>
                      <w:sz w:val="20"/>
                    </w:rPr>
                  </w:pPr>
                  <w:r>
                    <w:rPr>
                      <w:rFonts w:ascii="Calibri"/>
                      <w:color w:val="595958"/>
                      <w:spacing w:val="-1"/>
                      <w:w w:val="100"/>
                      <w:sz w:val="20"/>
                    </w:rPr>
                    <w:t>Time</w:t>
                  </w:r>
                  <w:r>
                    <w:rPr>
                      <w:rFonts w:ascii="Calibri"/>
                      <w:color w:val="595958"/>
                      <w:w w:val="100"/>
                      <w:sz w:val="20"/>
                    </w:rPr>
                    <w:t>s</w:t>
                  </w:r>
                  <w:r>
                    <w:rPr>
                      <w:rFonts w:ascii="Calibri"/>
                      <w:color w:val="595958"/>
                      <w:sz w:val="20"/>
                    </w:rPr>
                    <w:t> </w:t>
                  </w:r>
                  <w:r>
                    <w:rPr>
                      <w:rFonts w:ascii="Calibri"/>
                      <w:color w:val="595958"/>
                      <w:w w:val="100"/>
                      <w:sz w:val="20"/>
                    </w:rPr>
                    <w:t>c</w:t>
                  </w:r>
                  <w:r>
                    <w:rPr>
                      <w:rFonts w:ascii="Calibri"/>
                      <w:color w:val="595958"/>
                      <w:spacing w:val="-1"/>
                      <w:w w:val="100"/>
                      <w:sz w:val="20"/>
                    </w:rPr>
                    <w:t>o</w:t>
                  </w:r>
                  <w:r>
                    <w:rPr>
                      <w:rFonts w:ascii="Calibri"/>
                      <w:color w:val="595958"/>
                      <w:w w:val="100"/>
                      <w:sz w:val="20"/>
                    </w:rPr>
                    <w:t>n</w:t>
                  </w:r>
                  <w:r>
                    <w:rPr>
                      <w:rFonts w:ascii="Calibri"/>
                      <w:color w:val="595958"/>
                      <w:spacing w:val="-1"/>
                      <w:w w:val="100"/>
                      <w:sz w:val="20"/>
                    </w:rPr>
                    <w:t>si</w:t>
                  </w:r>
                  <w:r>
                    <w:rPr>
                      <w:rFonts w:ascii="Calibri"/>
                      <w:color w:val="595958"/>
                      <w:w w:val="100"/>
                      <w:sz w:val="20"/>
                    </w:rPr>
                    <w:t>d</w:t>
                  </w:r>
                  <w:r>
                    <w:rPr>
                      <w:rFonts w:ascii="Calibri"/>
                      <w:color w:val="595958"/>
                      <w:spacing w:val="-1"/>
                      <w:w w:val="100"/>
                      <w:sz w:val="20"/>
                    </w:rPr>
                    <w:t>ere</w:t>
                  </w:r>
                  <w:r>
                    <w:rPr>
                      <w:rFonts w:ascii="Calibri"/>
                      <w:color w:val="595958"/>
                      <w:w w:val="100"/>
                      <w:sz w:val="20"/>
                    </w:rPr>
                    <w:t>d</w:t>
                  </w:r>
                </w:p>
              </w:txbxContent>
            </v:textbox>
            <w10:wrap type="none"/>
          </v:shape>
        </w:pict>
      </w:r>
      <w:bookmarkStart w:name="_bookmark49" w:id="51"/>
      <w:bookmarkEnd w:id="51"/>
      <w:r>
        <w:rPr/>
      </w:r>
      <w:r>
        <w:rPr>
          <w:i/>
          <w:sz w:val="21"/>
        </w:rPr>
        <w:t>Figure 1 - Considerations under selected criteria</w:t>
      </w:r>
      <w:hyperlink w:history="true" w:anchor="_bookmark51">
        <w:r>
          <w:rPr>
            <w:i/>
            <w:position w:val="7"/>
            <w:sz w:val="13"/>
          </w:rPr>
          <w:t>50</w:t>
        </w:r>
      </w:hyperlink>
    </w:p>
    <w:p>
      <w:pPr>
        <w:pStyle w:val="BodyText"/>
        <w:spacing w:before="197"/>
        <w:ind w:left="120" w:right="1430"/>
        <w:jc w:val="both"/>
      </w:pPr>
      <w:r>
        <w:rPr/>
        <w:pict>
          <v:group style="position:absolute;margin-left:127.349998pt;margin-top:168.77887pt;width:340.9pt;height:215.55pt;mso-position-horizontal-relative:page;mso-position-vertical-relative:paragraph;z-index:-24544" coordorigin="2547,3376" coordsize="6818,4311">
            <v:line style="position:absolute" from="3163,4125" to="9138,4125" stroked="true" strokeweight=".75pt" strokecolor="#dadada">
              <v:stroke dashstyle="solid"/>
            </v:line>
            <v:rect style="position:absolute;left:3409;top:7033;width:384;height:99" filled="true" fillcolor="#4f81bd" stroked="false">
              <v:fill type="solid"/>
            </v:rect>
            <v:rect style="position:absolute;left:6019;top:7033;width:384;height:99" filled="true" fillcolor="#c0504d" stroked="false">
              <v:fill type="solid"/>
            </v:rect>
            <v:line style="position:absolute" from="3409,7420" to="3793,7420" stroked="true" strokeweight="2.25pt" strokecolor="#376092">
              <v:stroke dashstyle="solid"/>
            </v:line>
            <v:line style="position:absolute" from="6019,7420" to="6403,7420" stroked="true" strokeweight="2.25pt" strokecolor="#953735">
              <v:stroke dashstyle="solid"/>
            </v:line>
            <v:rect style="position:absolute;left:2554;top:3383;width:6803;height:4296" filled="false" stroked="true" strokeweight=".75pt" strokecolor="#dadada">
              <v:stroke dashstyle="solid"/>
            </v:rect>
            <v:shape style="position:absolute;left:4290;top:3589;width:3351;height:280" type="#_x0000_t202" filled="false" stroked="false">
              <v:textbox inset="0,0,0,0">
                <w:txbxContent>
                  <w:p>
                    <w:pPr>
                      <w:spacing w:line="280" w:lineRule="exact" w:before="0"/>
                      <w:ind w:left="0" w:right="0" w:firstLine="0"/>
                      <w:jc w:val="left"/>
                      <w:rPr>
                        <w:rFonts w:ascii="Calibri"/>
                        <w:sz w:val="28"/>
                      </w:rPr>
                    </w:pPr>
                    <w:r>
                      <w:rPr>
                        <w:rFonts w:ascii="Calibri"/>
                        <w:color w:val="595958"/>
                        <w:sz w:val="28"/>
                      </w:rPr>
                      <w:t>Outcome by issue considered</w:t>
                    </w:r>
                  </w:p>
                </w:txbxContent>
              </v:textbox>
              <w10:wrap type="none"/>
            </v:shape>
            <v:shape style="position:absolute;left:2684;top:4042;width:332;height:2505" type="#_x0000_t202" filled="false" stroked="false">
              <v:textbox inset="0,0,0,0">
                <w:txbxContent>
                  <w:p>
                    <w:pPr>
                      <w:spacing w:line="183" w:lineRule="exact" w:before="0"/>
                      <w:ind w:left="0" w:right="0" w:firstLine="0"/>
                      <w:jc w:val="left"/>
                      <w:rPr>
                        <w:rFonts w:ascii="Calibri"/>
                        <w:sz w:val="18"/>
                      </w:rPr>
                    </w:pPr>
                    <w:r>
                      <w:rPr>
                        <w:rFonts w:ascii="Calibri"/>
                        <w:color w:val="595958"/>
                        <w:sz w:val="18"/>
                      </w:rPr>
                      <w:t>90%</w:t>
                    </w:r>
                  </w:p>
                  <w:p>
                    <w:pPr>
                      <w:spacing w:before="38"/>
                      <w:ind w:left="0" w:right="0" w:firstLine="0"/>
                      <w:jc w:val="left"/>
                      <w:rPr>
                        <w:rFonts w:ascii="Calibri"/>
                        <w:sz w:val="18"/>
                      </w:rPr>
                    </w:pPr>
                    <w:r>
                      <w:rPr>
                        <w:rFonts w:ascii="Calibri"/>
                        <w:color w:val="595958"/>
                        <w:sz w:val="18"/>
                      </w:rPr>
                      <w:t>80%</w:t>
                    </w:r>
                  </w:p>
                  <w:p>
                    <w:pPr>
                      <w:spacing w:before="38"/>
                      <w:ind w:left="0" w:right="0" w:firstLine="0"/>
                      <w:jc w:val="left"/>
                      <w:rPr>
                        <w:rFonts w:ascii="Calibri"/>
                        <w:sz w:val="18"/>
                      </w:rPr>
                    </w:pPr>
                    <w:r>
                      <w:rPr>
                        <w:rFonts w:ascii="Calibri"/>
                        <w:color w:val="595958"/>
                        <w:sz w:val="18"/>
                      </w:rPr>
                      <w:t>70%</w:t>
                    </w:r>
                  </w:p>
                  <w:p>
                    <w:pPr>
                      <w:spacing w:before="38"/>
                      <w:ind w:left="0" w:right="0" w:firstLine="0"/>
                      <w:jc w:val="left"/>
                      <w:rPr>
                        <w:rFonts w:ascii="Calibri"/>
                        <w:sz w:val="18"/>
                      </w:rPr>
                    </w:pPr>
                    <w:r>
                      <w:rPr>
                        <w:rFonts w:ascii="Calibri"/>
                        <w:color w:val="595958"/>
                        <w:sz w:val="18"/>
                      </w:rPr>
                      <w:t>60%</w:t>
                    </w:r>
                  </w:p>
                  <w:p>
                    <w:pPr>
                      <w:spacing w:before="38"/>
                      <w:ind w:left="0" w:right="0" w:firstLine="0"/>
                      <w:jc w:val="left"/>
                      <w:rPr>
                        <w:rFonts w:ascii="Calibri"/>
                        <w:sz w:val="18"/>
                      </w:rPr>
                    </w:pPr>
                    <w:r>
                      <w:rPr>
                        <w:rFonts w:ascii="Calibri"/>
                        <w:color w:val="595958"/>
                        <w:sz w:val="18"/>
                      </w:rPr>
                      <w:t>50%</w:t>
                    </w:r>
                  </w:p>
                  <w:p>
                    <w:pPr>
                      <w:spacing w:before="38"/>
                      <w:ind w:left="0" w:right="0" w:firstLine="0"/>
                      <w:jc w:val="left"/>
                      <w:rPr>
                        <w:rFonts w:ascii="Calibri"/>
                        <w:sz w:val="18"/>
                      </w:rPr>
                    </w:pPr>
                    <w:r>
                      <w:rPr>
                        <w:rFonts w:ascii="Calibri"/>
                        <w:color w:val="595958"/>
                        <w:sz w:val="18"/>
                      </w:rPr>
                      <w:t>40%</w:t>
                    </w:r>
                  </w:p>
                  <w:p>
                    <w:pPr>
                      <w:spacing w:before="38"/>
                      <w:ind w:left="0" w:right="0" w:firstLine="0"/>
                      <w:jc w:val="left"/>
                      <w:rPr>
                        <w:rFonts w:ascii="Calibri"/>
                        <w:sz w:val="18"/>
                      </w:rPr>
                    </w:pPr>
                    <w:r>
                      <w:rPr>
                        <w:rFonts w:ascii="Calibri"/>
                        <w:color w:val="595958"/>
                        <w:sz w:val="18"/>
                      </w:rPr>
                      <w:t>30%</w:t>
                    </w:r>
                  </w:p>
                  <w:p>
                    <w:pPr>
                      <w:spacing w:before="38"/>
                      <w:ind w:left="0" w:right="0" w:firstLine="0"/>
                      <w:jc w:val="left"/>
                      <w:rPr>
                        <w:rFonts w:ascii="Calibri"/>
                        <w:sz w:val="18"/>
                      </w:rPr>
                    </w:pPr>
                    <w:r>
                      <w:rPr>
                        <w:rFonts w:ascii="Calibri"/>
                        <w:color w:val="595958"/>
                        <w:sz w:val="18"/>
                      </w:rPr>
                      <w:t>20%</w:t>
                    </w:r>
                  </w:p>
                  <w:p>
                    <w:pPr>
                      <w:spacing w:before="38"/>
                      <w:ind w:left="0" w:right="0" w:firstLine="0"/>
                      <w:jc w:val="left"/>
                      <w:rPr>
                        <w:rFonts w:ascii="Calibri"/>
                        <w:sz w:val="18"/>
                      </w:rPr>
                    </w:pPr>
                    <w:r>
                      <w:rPr>
                        <w:rFonts w:ascii="Calibri"/>
                        <w:color w:val="595958"/>
                        <w:sz w:val="18"/>
                      </w:rPr>
                      <w:t>10%</w:t>
                    </w:r>
                  </w:p>
                  <w:p>
                    <w:pPr>
                      <w:spacing w:line="216" w:lineRule="exact" w:before="38"/>
                      <w:ind w:left="91" w:right="0" w:firstLine="0"/>
                      <w:jc w:val="left"/>
                      <w:rPr>
                        <w:rFonts w:ascii="Calibri"/>
                        <w:sz w:val="18"/>
                      </w:rPr>
                    </w:pPr>
                    <w:r>
                      <w:rPr>
                        <w:rFonts w:ascii="Calibri"/>
                        <w:color w:val="595958"/>
                        <w:sz w:val="18"/>
                      </w:rPr>
                      <w:t>0%</w:t>
                    </w:r>
                  </w:p>
                </w:txbxContent>
              </v:textbox>
              <w10:wrap type="none"/>
            </v:shape>
            <v:shape style="position:absolute;left:3847;top:6601;width:643;height:180" type="#_x0000_t202" filled="false" stroked="false">
              <v:textbox inset="0,0,0,0">
                <w:txbxContent>
                  <w:p>
                    <w:pPr>
                      <w:spacing w:line="180" w:lineRule="exact" w:before="0"/>
                      <w:ind w:left="0" w:right="0" w:firstLine="0"/>
                      <w:jc w:val="left"/>
                      <w:rPr>
                        <w:rFonts w:ascii="Calibri"/>
                        <w:sz w:val="18"/>
                      </w:rPr>
                    </w:pPr>
                    <w:r>
                      <w:rPr>
                        <w:rFonts w:ascii="Calibri"/>
                        <w:color w:val="595958"/>
                        <w:sz w:val="18"/>
                      </w:rPr>
                      <w:t>Capacity</w:t>
                    </w:r>
                  </w:p>
                </w:txbxContent>
              </v:textbox>
              <w10:wrap type="none"/>
            </v:shape>
            <v:shape style="position:absolute;left:5402;top:6601;width:1515;height:180" type="#_x0000_t202" filled="false" stroked="false">
              <v:textbox inset="0,0,0,0">
                <w:txbxContent>
                  <w:p>
                    <w:pPr>
                      <w:spacing w:line="180" w:lineRule="exact" w:before="0"/>
                      <w:ind w:left="0" w:right="0" w:firstLine="0"/>
                      <w:jc w:val="left"/>
                      <w:rPr>
                        <w:rFonts w:ascii="Calibri"/>
                        <w:sz w:val="18"/>
                      </w:rPr>
                    </w:pPr>
                    <w:r>
                      <w:rPr>
                        <w:rFonts w:ascii="Calibri"/>
                        <w:color w:val="595958"/>
                        <w:sz w:val="18"/>
                      </w:rPr>
                      <w:t>Impaired judgement</w:t>
                    </w:r>
                  </w:p>
                </w:txbxContent>
              </v:textbox>
              <w10:wrap type="none"/>
            </v:shape>
            <v:shape style="position:absolute;left:7895;top:6601;width:512;height:180" type="#_x0000_t202" filled="false" stroked="false">
              <v:textbox inset="0,0,0,0">
                <w:txbxContent>
                  <w:p>
                    <w:pPr>
                      <w:spacing w:line="180" w:lineRule="exact" w:before="0"/>
                      <w:ind w:left="0" w:right="0" w:firstLine="0"/>
                      <w:jc w:val="left"/>
                      <w:rPr>
                        <w:rFonts w:ascii="Calibri"/>
                        <w:sz w:val="18"/>
                      </w:rPr>
                    </w:pPr>
                    <w:r>
                      <w:rPr>
                        <w:rFonts w:ascii="Calibri"/>
                        <w:color w:val="595958"/>
                        <w:sz w:val="18"/>
                      </w:rPr>
                      <w:t>Insight</w:t>
                    </w:r>
                  </w:p>
                </w:txbxContent>
              </v:textbox>
              <w10:wrap type="none"/>
            </v:shape>
            <v:shape style="position:absolute;left:3833;top:6999;width:1860;height:518" type="#_x0000_t202" filled="false" stroked="false">
              <v:textbox inset="0,0,0,0">
                <w:txbxContent>
                  <w:p>
                    <w:pPr>
                      <w:spacing w:line="183" w:lineRule="exact" w:before="0"/>
                      <w:ind w:left="0" w:right="0" w:firstLine="0"/>
                      <w:jc w:val="left"/>
                      <w:rPr>
                        <w:rFonts w:ascii="Calibri"/>
                        <w:sz w:val="18"/>
                      </w:rPr>
                    </w:pPr>
                    <w:r>
                      <w:rPr>
                        <w:rFonts w:ascii="Calibri"/>
                        <w:color w:val="595958"/>
                        <w:sz w:val="18"/>
                      </w:rPr>
                      <w:t>Order made</w:t>
                    </w:r>
                  </w:p>
                  <w:p>
                    <w:pPr>
                      <w:spacing w:line="216" w:lineRule="exact" w:before="117"/>
                      <w:ind w:left="0" w:right="0" w:firstLine="0"/>
                      <w:jc w:val="left"/>
                      <w:rPr>
                        <w:rFonts w:ascii="Calibri"/>
                        <w:sz w:val="18"/>
                      </w:rPr>
                    </w:pPr>
                    <w:r>
                      <w:rPr>
                        <w:rFonts w:ascii="Calibri"/>
                        <w:color w:val="595958"/>
                        <w:sz w:val="18"/>
                      </w:rPr>
                      <w:t>Typical % of orders made</w:t>
                    </w:r>
                  </w:p>
                </w:txbxContent>
              </v:textbox>
              <w10:wrap type="none"/>
            </v:shape>
            <v:shape style="position:absolute;left:6443;top:6999;width:2150;height:518" type="#_x0000_t202" filled="false" stroked="false">
              <v:textbox inset="0,0,0,0">
                <w:txbxContent>
                  <w:p>
                    <w:pPr>
                      <w:spacing w:line="183" w:lineRule="exact" w:before="0"/>
                      <w:ind w:left="0" w:right="0" w:firstLine="0"/>
                      <w:jc w:val="left"/>
                      <w:rPr>
                        <w:rFonts w:ascii="Calibri"/>
                        <w:sz w:val="18"/>
                      </w:rPr>
                    </w:pPr>
                    <w:r>
                      <w:rPr>
                        <w:rFonts w:ascii="Calibri"/>
                        <w:color w:val="595958"/>
                        <w:sz w:val="18"/>
                      </w:rPr>
                      <w:t>Order not made</w:t>
                    </w:r>
                  </w:p>
                  <w:p>
                    <w:pPr>
                      <w:spacing w:line="216" w:lineRule="exact" w:before="117"/>
                      <w:ind w:left="0" w:right="0" w:firstLine="0"/>
                      <w:jc w:val="left"/>
                      <w:rPr>
                        <w:rFonts w:ascii="Calibri"/>
                        <w:sz w:val="18"/>
                      </w:rPr>
                    </w:pPr>
                    <w:r>
                      <w:rPr>
                        <w:rFonts w:ascii="Calibri"/>
                        <w:color w:val="595958"/>
                        <w:sz w:val="18"/>
                      </w:rPr>
                      <w:t>Typical % of orders not made</w:t>
                    </w:r>
                  </w:p>
                </w:txbxContent>
              </v:textbox>
              <w10:wrap type="none"/>
            </v:shape>
            <w10:wrap type="none"/>
          </v:group>
        </w:pict>
      </w:r>
      <w:r>
        <w:rPr/>
        <w:t>Judgement was considered relatively evenly, but more often in the treatment required criterion. This supports the hypothesis that capacity, or at least a person’s judgement or insight, is being considered, but it is being considered when establishing the presence of a mental illness, not as a protective factor in recognising a person’s right to competent refusal. It was not possible to clearly determine how the presence of capacity,</w:t>
      </w:r>
      <w:r>
        <w:rPr>
          <w:spacing w:val="-10"/>
        </w:rPr>
        <w:t> </w:t>
      </w:r>
      <w:r>
        <w:rPr/>
        <w:t>‘good’</w:t>
      </w:r>
      <w:r>
        <w:rPr>
          <w:spacing w:val="-10"/>
        </w:rPr>
        <w:t> </w:t>
      </w:r>
      <w:r>
        <w:rPr/>
        <w:t>judgement</w:t>
      </w:r>
      <w:r>
        <w:rPr>
          <w:spacing w:val="-10"/>
        </w:rPr>
        <w:t> </w:t>
      </w:r>
      <w:r>
        <w:rPr/>
        <w:t>or</w:t>
      </w:r>
      <w:r>
        <w:rPr>
          <w:spacing w:val="-9"/>
        </w:rPr>
        <w:t> </w:t>
      </w:r>
      <w:r>
        <w:rPr/>
        <w:t>insight</w:t>
      </w:r>
      <w:r>
        <w:rPr>
          <w:spacing w:val="-10"/>
        </w:rPr>
        <w:t> </w:t>
      </w:r>
      <w:r>
        <w:rPr/>
        <w:t>was</w:t>
      </w:r>
      <w:r>
        <w:rPr>
          <w:spacing w:val="-9"/>
        </w:rPr>
        <w:t> </w:t>
      </w:r>
      <w:r>
        <w:rPr/>
        <w:t>related</w:t>
      </w:r>
      <w:r>
        <w:rPr>
          <w:spacing w:val="-8"/>
        </w:rPr>
        <w:t> </w:t>
      </w:r>
      <w:r>
        <w:rPr/>
        <w:t>to</w:t>
      </w:r>
      <w:r>
        <w:rPr>
          <w:spacing w:val="-8"/>
        </w:rPr>
        <w:t> </w:t>
      </w:r>
      <w:r>
        <w:rPr/>
        <w:t>the</w:t>
      </w:r>
      <w:r>
        <w:rPr>
          <w:spacing w:val="-10"/>
        </w:rPr>
        <w:t> </w:t>
      </w:r>
      <w:r>
        <w:rPr/>
        <w:t>decision,</w:t>
      </w:r>
      <w:r>
        <w:rPr>
          <w:spacing w:val="-8"/>
        </w:rPr>
        <w:t> </w:t>
      </w:r>
      <w:r>
        <w:rPr/>
        <w:t>as</w:t>
      </w:r>
      <w:r>
        <w:rPr>
          <w:spacing w:val="-10"/>
        </w:rPr>
        <w:t> </w:t>
      </w:r>
      <w:r>
        <w:rPr/>
        <w:t>when</w:t>
      </w:r>
      <w:r>
        <w:rPr>
          <w:spacing w:val="-10"/>
        </w:rPr>
        <w:t> </w:t>
      </w:r>
      <w:r>
        <w:rPr/>
        <w:t>these</w:t>
      </w:r>
      <w:r>
        <w:rPr>
          <w:spacing w:val="-9"/>
        </w:rPr>
        <w:t> </w:t>
      </w:r>
      <w:r>
        <w:rPr/>
        <w:t>issues were</w:t>
      </w:r>
      <w:r>
        <w:rPr>
          <w:spacing w:val="-19"/>
        </w:rPr>
        <w:t> </w:t>
      </w:r>
      <w:r>
        <w:rPr/>
        <w:t>raised,</w:t>
      </w:r>
      <w:r>
        <w:rPr>
          <w:spacing w:val="-18"/>
        </w:rPr>
        <w:t> </w:t>
      </w:r>
      <w:r>
        <w:rPr/>
        <w:t>they</w:t>
      </w:r>
      <w:r>
        <w:rPr>
          <w:spacing w:val="-19"/>
        </w:rPr>
        <w:t> </w:t>
      </w:r>
      <w:r>
        <w:rPr/>
        <w:t>were</w:t>
      </w:r>
      <w:r>
        <w:rPr>
          <w:spacing w:val="-19"/>
        </w:rPr>
        <w:t> </w:t>
      </w:r>
      <w:r>
        <w:rPr/>
        <w:t>usually</w:t>
      </w:r>
      <w:r>
        <w:rPr>
          <w:spacing w:val="-18"/>
        </w:rPr>
        <w:t> </w:t>
      </w:r>
      <w:r>
        <w:rPr/>
        <w:t>raised</w:t>
      </w:r>
      <w:r>
        <w:rPr>
          <w:spacing w:val="-18"/>
        </w:rPr>
        <w:t> </w:t>
      </w:r>
      <w:r>
        <w:rPr/>
        <w:t>in</w:t>
      </w:r>
      <w:r>
        <w:rPr>
          <w:spacing w:val="-18"/>
        </w:rPr>
        <w:t> </w:t>
      </w:r>
      <w:r>
        <w:rPr/>
        <w:t>the</w:t>
      </w:r>
      <w:r>
        <w:rPr>
          <w:spacing w:val="-19"/>
        </w:rPr>
        <w:t> </w:t>
      </w:r>
      <w:r>
        <w:rPr/>
        <w:t>context</w:t>
      </w:r>
      <w:r>
        <w:rPr>
          <w:spacing w:val="-19"/>
        </w:rPr>
        <w:t> </w:t>
      </w:r>
      <w:r>
        <w:rPr/>
        <w:t>of</w:t>
      </w:r>
      <w:r>
        <w:rPr>
          <w:spacing w:val="-19"/>
        </w:rPr>
        <w:t> </w:t>
      </w:r>
      <w:r>
        <w:rPr/>
        <w:t>a</w:t>
      </w:r>
      <w:r>
        <w:rPr>
          <w:spacing w:val="-20"/>
        </w:rPr>
        <w:t> </w:t>
      </w:r>
      <w:r>
        <w:rPr/>
        <w:t>disagreement,</w:t>
      </w:r>
      <w:r>
        <w:rPr>
          <w:spacing w:val="-18"/>
        </w:rPr>
        <w:t> </w:t>
      </w:r>
      <w:r>
        <w:rPr/>
        <w:t>and</w:t>
      </w:r>
      <w:r>
        <w:rPr>
          <w:spacing w:val="-19"/>
        </w:rPr>
        <w:t> </w:t>
      </w:r>
      <w:r>
        <w:rPr/>
        <w:t>the</w:t>
      </w:r>
      <w:r>
        <w:rPr>
          <w:spacing w:val="-19"/>
        </w:rPr>
        <w:t> </w:t>
      </w:r>
      <w:r>
        <w:rPr/>
        <w:t>Tribunal only rarely made a specific finding one way or the other. What is clear, is that when these issues were considered, they had some correlation with the outcome of the hearing.</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6"/>
        </w:rPr>
      </w:pPr>
    </w:p>
    <w:tbl>
      <w:tblPr>
        <w:tblW w:w="0" w:type="auto"/>
        <w:jc w:val="left"/>
        <w:tblInd w:w="1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0"/>
        <w:gridCol w:w="475"/>
        <w:gridCol w:w="475"/>
        <w:gridCol w:w="1042"/>
        <w:gridCol w:w="475"/>
        <w:gridCol w:w="475"/>
        <w:gridCol w:w="1042"/>
        <w:gridCol w:w="475"/>
        <w:gridCol w:w="475"/>
        <w:gridCol w:w="520"/>
      </w:tblGrid>
      <w:tr>
        <w:trPr>
          <w:trHeight w:val="240" w:hRule="atLeast"/>
        </w:trPr>
        <w:tc>
          <w:tcPr>
            <w:tcW w:w="2512" w:type="dxa"/>
            <w:gridSpan w:val="4"/>
            <w:tcBorders>
              <w:top w:val="single" w:sz="6" w:space="0" w:color="DADADA"/>
              <w:bottom w:val="single" w:sz="24" w:space="0" w:color="376092"/>
            </w:tcBorders>
          </w:tcPr>
          <w:p>
            <w:pPr>
              <w:pStyle w:val="TableParagraph"/>
              <w:rPr>
                <w:sz w:val="18"/>
              </w:rPr>
            </w:pPr>
          </w:p>
        </w:tc>
        <w:tc>
          <w:tcPr>
            <w:tcW w:w="475" w:type="dxa"/>
            <w:tcBorders>
              <w:bottom w:val="single" w:sz="18" w:space="0" w:color="376092"/>
            </w:tcBorders>
            <w:shd w:val="clear" w:color="auto" w:fill="4F81BD"/>
          </w:tcPr>
          <w:p>
            <w:pPr>
              <w:pStyle w:val="TableParagraph"/>
              <w:rPr>
                <w:sz w:val="18"/>
              </w:rPr>
            </w:pPr>
          </w:p>
        </w:tc>
        <w:tc>
          <w:tcPr>
            <w:tcW w:w="2988" w:type="dxa"/>
            <w:gridSpan w:val="5"/>
            <w:tcBorders>
              <w:top w:val="single" w:sz="6" w:space="0" w:color="DADADA"/>
              <w:bottom w:val="single" w:sz="24" w:space="0" w:color="376092"/>
            </w:tcBorders>
          </w:tcPr>
          <w:p>
            <w:pPr>
              <w:pStyle w:val="TableParagraph"/>
              <w:rPr>
                <w:sz w:val="18"/>
              </w:rPr>
            </w:pPr>
          </w:p>
        </w:tc>
      </w:tr>
      <w:tr>
        <w:trPr>
          <w:trHeight w:val="160" w:hRule="atLeast"/>
        </w:trPr>
        <w:tc>
          <w:tcPr>
            <w:tcW w:w="520" w:type="dxa"/>
            <w:tcBorders>
              <w:top w:val="single" w:sz="24" w:space="0" w:color="376092"/>
              <w:bottom w:val="single" w:sz="6" w:space="0" w:color="DADADA"/>
            </w:tcBorders>
          </w:tcPr>
          <w:p>
            <w:pPr>
              <w:pStyle w:val="TableParagraph"/>
              <w:rPr>
                <w:sz w:val="12"/>
              </w:rPr>
            </w:pPr>
          </w:p>
        </w:tc>
        <w:tc>
          <w:tcPr>
            <w:tcW w:w="475" w:type="dxa"/>
            <w:vMerge w:val="restart"/>
            <w:tcBorders>
              <w:top w:val="single" w:sz="24" w:space="0" w:color="376092"/>
              <w:bottom w:val="single" w:sz="18" w:space="0" w:color="953735"/>
            </w:tcBorders>
            <w:shd w:val="clear" w:color="auto" w:fill="4F81BD"/>
          </w:tcPr>
          <w:p>
            <w:pPr>
              <w:pStyle w:val="TableParagraph"/>
              <w:rPr>
                <w:sz w:val="22"/>
              </w:rPr>
            </w:pPr>
          </w:p>
        </w:tc>
        <w:tc>
          <w:tcPr>
            <w:tcW w:w="1517" w:type="dxa"/>
            <w:gridSpan w:val="2"/>
            <w:tcBorders>
              <w:top w:val="single" w:sz="24" w:space="0" w:color="376092"/>
              <w:bottom w:val="single" w:sz="6" w:space="0" w:color="DADADA"/>
            </w:tcBorders>
          </w:tcPr>
          <w:p>
            <w:pPr>
              <w:pStyle w:val="TableParagraph"/>
              <w:rPr>
                <w:sz w:val="12"/>
              </w:rPr>
            </w:pPr>
          </w:p>
        </w:tc>
        <w:tc>
          <w:tcPr>
            <w:tcW w:w="475" w:type="dxa"/>
            <w:vMerge w:val="restart"/>
            <w:tcBorders>
              <w:top w:val="single" w:sz="18" w:space="0" w:color="376092"/>
              <w:bottom w:val="single" w:sz="18" w:space="0" w:color="953735"/>
            </w:tcBorders>
            <w:shd w:val="clear" w:color="auto" w:fill="4F81BD"/>
          </w:tcPr>
          <w:p>
            <w:pPr>
              <w:pStyle w:val="TableParagraph"/>
              <w:rPr>
                <w:sz w:val="22"/>
              </w:rPr>
            </w:pPr>
          </w:p>
        </w:tc>
        <w:tc>
          <w:tcPr>
            <w:tcW w:w="2988" w:type="dxa"/>
            <w:gridSpan w:val="5"/>
            <w:tcBorders>
              <w:top w:val="single" w:sz="24" w:space="0" w:color="376092"/>
              <w:bottom w:val="single" w:sz="6" w:space="0" w:color="DADADA"/>
            </w:tcBorders>
          </w:tcPr>
          <w:p>
            <w:pPr>
              <w:pStyle w:val="TableParagraph"/>
              <w:rPr>
                <w:sz w:val="12"/>
              </w:rPr>
            </w:pPr>
          </w:p>
        </w:tc>
      </w:tr>
      <w:tr>
        <w:trPr>
          <w:trHeight w:val="200" w:hRule="atLeast"/>
        </w:trPr>
        <w:tc>
          <w:tcPr>
            <w:tcW w:w="520" w:type="dxa"/>
            <w:tcBorders>
              <w:top w:val="single" w:sz="6" w:space="0" w:color="DADADA"/>
              <w:bottom w:val="single" w:sz="6" w:space="0" w:color="DADADA"/>
            </w:tcBorders>
          </w:tcPr>
          <w:p>
            <w:pPr>
              <w:pStyle w:val="TableParagraph"/>
              <w:rPr>
                <w:sz w:val="14"/>
              </w:rPr>
            </w:pPr>
          </w:p>
        </w:tc>
        <w:tc>
          <w:tcPr>
            <w:tcW w:w="475" w:type="dxa"/>
            <w:vMerge/>
            <w:tcBorders>
              <w:top w:val="nil"/>
              <w:bottom w:val="single" w:sz="18" w:space="0" w:color="953735"/>
            </w:tcBorders>
            <w:shd w:val="clear" w:color="auto" w:fill="4F81BD"/>
          </w:tcPr>
          <w:p>
            <w:pPr>
              <w:rPr>
                <w:sz w:val="2"/>
                <w:szCs w:val="2"/>
              </w:rPr>
            </w:pPr>
          </w:p>
        </w:tc>
        <w:tc>
          <w:tcPr>
            <w:tcW w:w="1517" w:type="dxa"/>
            <w:gridSpan w:val="2"/>
            <w:tcBorders>
              <w:top w:val="single" w:sz="6" w:space="0" w:color="DADADA"/>
              <w:bottom w:val="single" w:sz="6" w:space="0" w:color="DADADA"/>
            </w:tcBorders>
          </w:tcPr>
          <w:p>
            <w:pPr>
              <w:pStyle w:val="TableParagraph"/>
              <w:rPr>
                <w:sz w:val="14"/>
              </w:rPr>
            </w:pPr>
          </w:p>
        </w:tc>
        <w:tc>
          <w:tcPr>
            <w:tcW w:w="475" w:type="dxa"/>
            <w:vMerge/>
            <w:tcBorders>
              <w:top w:val="nil"/>
              <w:bottom w:val="single" w:sz="18" w:space="0" w:color="953735"/>
            </w:tcBorders>
            <w:shd w:val="clear" w:color="auto" w:fill="4F81BD"/>
          </w:tcPr>
          <w:p>
            <w:pPr>
              <w:rPr>
                <w:sz w:val="2"/>
                <w:szCs w:val="2"/>
              </w:rPr>
            </w:pPr>
          </w:p>
        </w:tc>
        <w:tc>
          <w:tcPr>
            <w:tcW w:w="1517" w:type="dxa"/>
            <w:gridSpan w:val="2"/>
            <w:tcBorders>
              <w:top w:val="single" w:sz="6" w:space="0" w:color="DADADA"/>
              <w:bottom w:val="single" w:sz="6" w:space="0" w:color="DADADA"/>
            </w:tcBorders>
          </w:tcPr>
          <w:p>
            <w:pPr>
              <w:pStyle w:val="TableParagraph"/>
              <w:rPr>
                <w:sz w:val="14"/>
              </w:rPr>
            </w:pPr>
          </w:p>
        </w:tc>
        <w:tc>
          <w:tcPr>
            <w:tcW w:w="475" w:type="dxa"/>
            <w:vMerge w:val="restart"/>
            <w:tcBorders>
              <w:bottom w:val="single" w:sz="18" w:space="0" w:color="953735"/>
            </w:tcBorders>
            <w:shd w:val="clear" w:color="auto" w:fill="4F81BD"/>
          </w:tcPr>
          <w:p>
            <w:pPr>
              <w:pStyle w:val="TableParagraph"/>
              <w:rPr>
                <w:sz w:val="22"/>
              </w:rPr>
            </w:pPr>
          </w:p>
        </w:tc>
        <w:tc>
          <w:tcPr>
            <w:tcW w:w="996" w:type="dxa"/>
            <w:gridSpan w:val="2"/>
            <w:tcBorders>
              <w:top w:val="single" w:sz="6" w:space="0" w:color="DADADA"/>
              <w:bottom w:val="single" w:sz="6" w:space="0" w:color="DADADA"/>
            </w:tcBorders>
          </w:tcPr>
          <w:p>
            <w:pPr>
              <w:pStyle w:val="TableParagraph"/>
              <w:rPr>
                <w:sz w:val="14"/>
              </w:rPr>
            </w:pPr>
          </w:p>
        </w:tc>
      </w:tr>
      <w:tr>
        <w:trPr>
          <w:trHeight w:val="200" w:hRule="atLeast"/>
        </w:trPr>
        <w:tc>
          <w:tcPr>
            <w:tcW w:w="520" w:type="dxa"/>
            <w:tcBorders>
              <w:top w:val="single" w:sz="6" w:space="0" w:color="DADADA"/>
              <w:bottom w:val="single" w:sz="6" w:space="0" w:color="DADADA"/>
            </w:tcBorders>
          </w:tcPr>
          <w:p>
            <w:pPr>
              <w:pStyle w:val="TableParagraph"/>
              <w:rPr>
                <w:sz w:val="14"/>
              </w:rPr>
            </w:pPr>
          </w:p>
        </w:tc>
        <w:tc>
          <w:tcPr>
            <w:tcW w:w="475" w:type="dxa"/>
            <w:vMerge/>
            <w:tcBorders>
              <w:top w:val="nil"/>
              <w:bottom w:val="single" w:sz="18" w:space="0" w:color="953735"/>
            </w:tcBorders>
            <w:shd w:val="clear" w:color="auto" w:fill="4F81BD"/>
          </w:tcPr>
          <w:p>
            <w:pPr>
              <w:rPr>
                <w:sz w:val="2"/>
                <w:szCs w:val="2"/>
              </w:rPr>
            </w:pPr>
          </w:p>
        </w:tc>
        <w:tc>
          <w:tcPr>
            <w:tcW w:w="1517" w:type="dxa"/>
            <w:gridSpan w:val="2"/>
            <w:tcBorders>
              <w:top w:val="single" w:sz="6" w:space="0" w:color="DADADA"/>
              <w:bottom w:val="single" w:sz="6" w:space="0" w:color="DADADA"/>
            </w:tcBorders>
          </w:tcPr>
          <w:p>
            <w:pPr>
              <w:pStyle w:val="TableParagraph"/>
              <w:rPr>
                <w:sz w:val="14"/>
              </w:rPr>
            </w:pPr>
          </w:p>
        </w:tc>
        <w:tc>
          <w:tcPr>
            <w:tcW w:w="475" w:type="dxa"/>
            <w:vMerge/>
            <w:tcBorders>
              <w:top w:val="nil"/>
              <w:bottom w:val="single" w:sz="18" w:space="0" w:color="953735"/>
            </w:tcBorders>
            <w:shd w:val="clear" w:color="auto" w:fill="4F81BD"/>
          </w:tcPr>
          <w:p>
            <w:pPr>
              <w:rPr>
                <w:sz w:val="2"/>
                <w:szCs w:val="2"/>
              </w:rPr>
            </w:pPr>
          </w:p>
        </w:tc>
        <w:tc>
          <w:tcPr>
            <w:tcW w:w="1517" w:type="dxa"/>
            <w:gridSpan w:val="2"/>
            <w:tcBorders>
              <w:top w:val="single" w:sz="6" w:space="0" w:color="DADADA"/>
              <w:bottom w:val="single" w:sz="6" w:space="0" w:color="DADADA"/>
            </w:tcBorders>
          </w:tcPr>
          <w:p>
            <w:pPr>
              <w:pStyle w:val="TableParagraph"/>
              <w:rPr>
                <w:sz w:val="14"/>
              </w:rPr>
            </w:pPr>
          </w:p>
        </w:tc>
        <w:tc>
          <w:tcPr>
            <w:tcW w:w="475" w:type="dxa"/>
            <w:vMerge/>
            <w:tcBorders>
              <w:top w:val="nil"/>
              <w:bottom w:val="single" w:sz="18" w:space="0" w:color="953735"/>
            </w:tcBorders>
            <w:shd w:val="clear" w:color="auto" w:fill="4F81BD"/>
          </w:tcPr>
          <w:p>
            <w:pPr>
              <w:rPr>
                <w:sz w:val="2"/>
                <w:szCs w:val="2"/>
              </w:rPr>
            </w:pPr>
          </w:p>
        </w:tc>
        <w:tc>
          <w:tcPr>
            <w:tcW w:w="996" w:type="dxa"/>
            <w:gridSpan w:val="2"/>
            <w:tcBorders>
              <w:top w:val="single" w:sz="6" w:space="0" w:color="DADADA"/>
              <w:bottom w:val="single" w:sz="6" w:space="0" w:color="DADADA"/>
            </w:tcBorders>
          </w:tcPr>
          <w:p>
            <w:pPr>
              <w:pStyle w:val="TableParagraph"/>
              <w:rPr>
                <w:sz w:val="14"/>
              </w:rPr>
            </w:pPr>
          </w:p>
        </w:tc>
      </w:tr>
      <w:tr>
        <w:trPr>
          <w:trHeight w:val="160" w:hRule="atLeast"/>
        </w:trPr>
        <w:tc>
          <w:tcPr>
            <w:tcW w:w="520" w:type="dxa"/>
            <w:tcBorders>
              <w:top w:val="single" w:sz="6" w:space="0" w:color="DADADA"/>
              <w:bottom w:val="single" w:sz="24" w:space="0" w:color="953735"/>
            </w:tcBorders>
          </w:tcPr>
          <w:p>
            <w:pPr>
              <w:pStyle w:val="TableParagraph"/>
              <w:rPr>
                <w:sz w:val="12"/>
              </w:rPr>
            </w:pPr>
          </w:p>
        </w:tc>
        <w:tc>
          <w:tcPr>
            <w:tcW w:w="475" w:type="dxa"/>
            <w:vMerge/>
            <w:tcBorders>
              <w:top w:val="nil"/>
              <w:bottom w:val="single" w:sz="18" w:space="0" w:color="953735"/>
            </w:tcBorders>
            <w:shd w:val="clear" w:color="auto" w:fill="4F81BD"/>
          </w:tcPr>
          <w:p>
            <w:pPr>
              <w:rPr>
                <w:sz w:val="2"/>
                <w:szCs w:val="2"/>
              </w:rPr>
            </w:pPr>
          </w:p>
        </w:tc>
        <w:tc>
          <w:tcPr>
            <w:tcW w:w="1517" w:type="dxa"/>
            <w:gridSpan w:val="2"/>
            <w:tcBorders>
              <w:top w:val="single" w:sz="6" w:space="0" w:color="DADADA"/>
              <w:bottom w:val="single" w:sz="24" w:space="0" w:color="953735"/>
            </w:tcBorders>
          </w:tcPr>
          <w:p>
            <w:pPr>
              <w:pStyle w:val="TableParagraph"/>
              <w:rPr>
                <w:sz w:val="12"/>
              </w:rPr>
            </w:pPr>
          </w:p>
        </w:tc>
        <w:tc>
          <w:tcPr>
            <w:tcW w:w="475" w:type="dxa"/>
            <w:vMerge/>
            <w:tcBorders>
              <w:top w:val="nil"/>
              <w:bottom w:val="single" w:sz="18" w:space="0" w:color="953735"/>
            </w:tcBorders>
            <w:shd w:val="clear" w:color="auto" w:fill="4F81BD"/>
          </w:tcPr>
          <w:p>
            <w:pPr>
              <w:rPr>
                <w:sz w:val="2"/>
                <w:szCs w:val="2"/>
              </w:rPr>
            </w:pPr>
          </w:p>
        </w:tc>
        <w:tc>
          <w:tcPr>
            <w:tcW w:w="1517" w:type="dxa"/>
            <w:gridSpan w:val="2"/>
            <w:tcBorders>
              <w:top w:val="single" w:sz="6" w:space="0" w:color="DADADA"/>
              <w:bottom w:val="single" w:sz="24" w:space="0" w:color="953735"/>
            </w:tcBorders>
          </w:tcPr>
          <w:p>
            <w:pPr>
              <w:pStyle w:val="TableParagraph"/>
              <w:rPr>
                <w:sz w:val="12"/>
              </w:rPr>
            </w:pPr>
          </w:p>
        </w:tc>
        <w:tc>
          <w:tcPr>
            <w:tcW w:w="475" w:type="dxa"/>
            <w:vMerge/>
            <w:tcBorders>
              <w:top w:val="nil"/>
              <w:bottom w:val="single" w:sz="18" w:space="0" w:color="953735"/>
            </w:tcBorders>
            <w:shd w:val="clear" w:color="auto" w:fill="4F81BD"/>
          </w:tcPr>
          <w:p>
            <w:pPr>
              <w:rPr>
                <w:sz w:val="2"/>
                <w:szCs w:val="2"/>
              </w:rPr>
            </w:pPr>
          </w:p>
        </w:tc>
        <w:tc>
          <w:tcPr>
            <w:tcW w:w="475" w:type="dxa"/>
            <w:tcBorders>
              <w:top w:val="single" w:sz="6" w:space="0" w:color="DADADA"/>
              <w:bottom w:val="single" w:sz="18" w:space="0" w:color="953735"/>
            </w:tcBorders>
            <w:shd w:val="clear" w:color="auto" w:fill="C0504D"/>
          </w:tcPr>
          <w:p>
            <w:pPr>
              <w:pStyle w:val="TableParagraph"/>
              <w:rPr>
                <w:sz w:val="12"/>
              </w:rPr>
            </w:pPr>
          </w:p>
        </w:tc>
        <w:tc>
          <w:tcPr>
            <w:tcW w:w="520" w:type="dxa"/>
            <w:tcBorders>
              <w:top w:val="single" w:sz="6" w:space="0" w:color="DADADA"/>
              <w:bottom w:val="single" w:sz="24" w:space="0" w:color="953735"/>
            </w:tcBorders>
          </w:tcPr>
          <w:p>
            <w:pPr>
              <w:pStyle w:val="TableParagraph"/>
              <w:rPr>
                <w:sz w:val="12"/>
              </w:rPr>
            </w:pPr>
          </w:p>
        </w:tc>
      </w:tr>
      <w:tr>
        <w:trPr>
          <w:trHeight w:val="240" w:hRule="atLeast"/>
        </w:trPr>
        <w:tc>
          <w:tcPr>
            <w:tcW w:w="520" w:type="dxa"/>
            <w:tcBorders>
              <w:top w:val="single" w:sz="24" w:space="0" w:color="953735"/>
              <w:bottom w:val="single" w:sz="6" w:space="0" w:color="DADADA"/>
            </w:tcBorders>
          </w:tcPr>
          <w:p>
            <w:pPr>
              <w:pStyle w:val="TableParagraph"/>
              <w:rPr>
                <w:sz w:val="16"/>
              </w:rPr>
            </w:pPr>
          </w:p>
        </w:tc>
        <w:tc>
          <w:tcPr>
            <w:tcW w:w="475" w:type="dxa"/>
            <w:vMerge w:val="restart"/>
            <w:tcBorders>
              <w:top w:val="single" w:sz="18" w:space="0" w:color="953735"/>
              <w:bottom w:val="single" w:sz="6" w:space="0" w:color="DADADA"/>
            </w:tcBorders>
            <w:shd w:val="clear" w:color="auto" w:fill="4F81BD"/>
          </w:tcPr>
          <w:p>
            <w:pPr>
              <w:pStyle w:val="TableParagraph"/>
              <w:rPr>
                <w:sz w:val="22"/>
              </w:rPr>
            </w:pPr>
          </w:p>
        </w:tc>
        <w:tc>
          <w:tcPr>
            <w:tcW w:w="475" w:type="dxa"/>
            <w:vMerge w:val="restart"/>
            <w:tcBorders>
              <w:top w:val="single" w:sz="18" w:space="0" w:color="953735"/>
              <w:bottom w:val="single" w:sz="6" w:space="0" w:color="DADADA"/>
            </w:tcBorders>
            <w:shd w:val="clear" w:color="auto" w:fill="C0504D"/>
          </w:tcPr>
          <w:p>
            <w:pPr>
              <w:pStyle w:val="TableParagraph"/>
              <w:rPr>
                <w:sz w:val="22"/>
              </w:rPr>
            </w:pPr>
          </w:p>
        </w:tc>
        <w:tc>
          <w:tcPr>
            <w:tcW w:w="1042" w:type="dxa"/>
            <w:tcBorders>
              <w:top w:val="single" w:sz="24" w:space="0" w:color="953735"/>
              <w:bottom w:val="single" w:sz="6" w:space="0" w:color="DADADA"/>
            </w:tcBorders>
          </w:tcPr>
          <w:p>
            <w:pPr>
              <w:pStyle w:val="TableParagraph"/>
              <w:rPr>
                <w:sz w:val="16"/>
              </w:rPr>
            </w:pPr>
          </w:p>
        </w:tc>
        <w:tc>
          <w:tcPr>
            <w:tcW w:w="475" w:type="dxa"/>
            <w:vMerge w:val="restart"/>
            <w:tcBorders>
              <w:top w:val="single" w:sz="18" w:space="0" w:color="953735"/>
              <w:bottom w:val="single" w:sz="6" w:space="0" w:color="DADADA"/>
            </w:tcBorders>
            <w:shd w:val="clear" w:color="auto" w:fill="4F81BD"/>
          </w:tcPr>
          <w:p>
            <w:pPr>
              <w:pStyle w:val="TableParagraph"/>
              <w:rPr>
                <w:sz w:val="22"/>
              </w:rPr>
            </w:pPr>
          </w:p>
        </w:tc>
        <w:tc>
          <w:tcPr>
            <w:tcW w:w="1517" w:type="dxa"/>
            <w:gridSpan w:val="2"/>
            <w:tcBorders>
              <w:top w:val="single" w:sz="24" w:space="0" w:color="953735"/>
              <w:bottom w:val="single" w:sz="6" w:space="0" w:color="DADADA"/>
            </w:tcBorders>
          </w:tcPr>
          <w:p>
            <w:pPr>
              <w:pStyle w:val="TableParagraph"/>
              <w:rPr>
                <w:sz w:val="16"/>
              </w:rPr>
            </w:pPr>
          </w:p>
        </w:tc>
        <w:tc>
          <w:tcPr>
            <w:tcW w:w="475" w:type="dxa"/>
            <w:vMerge w:val="restart"/>
            <w:tcBorders>
              <w:top w:val="single" w:sz="18" w:space="0" w:color="953735"/>
              <w:bottom w:val="single" w:sz="6" w:space="0" w:color="DADADA"/>
            </w:tcBorders>
            <w:shd w:val="clear" w:color="auto" w:fill="4F81BD"/>
          </w:tcPr>
          <w:p>
            <w:pPr>
              <w:pStyle w:val="TableParagraph"/>
              <w:rPr>
                <w:sz w:val="22"/>
              </w:rPr>
            </w:pPr>
          </w:p>
        </w:tc>
        <w:tc>
          <w:tcPr>
            <w:tcW w:w="475" w:type="dxa"/>
            <w:vMerge w:val="restart"/>
            <w:tcBorders>
              <w:top w:val="single" w:sz="18" w:space="0" w:color="953735"/>
              <w:bottom w:val="single" w:sz="6" w:space="0" w:color="DADADA"/>
            </w:tcBorders>
            <w:shd w:val="clear" w:color="auto" w:fill="C0504D"/>
          </w:tcPr>
          <w:p>
            <w:pPr>
              <w:pStyle w:val="TableParagraph"/>
              <w:rPr>
                <w:sz w:val="22"/>
              </w:rPr>
            </w:pPr>
          </w:p>
        </w:tc>
        <w:tc>
          <w:tcPr>
            <w:tcW w:w="520" w:type="dxa"/>
            <w:tcBorders>
              <w:top w:val="single" w:sz="24" w:space="0" w:color="953735"/>
              <w:bottom w:val="single" w:sz="6" w:space="0" w:color="DADADA"/>
            </w:tcBorders>
          </w:tcPr>
          <w:p>
            <w:pPr>
              <w:pStyle w:val="TableParagraph"/>
              <w:rPr>
                <w:sz w:val="16"/>
              </w:rPr>
            </w:pPr>
          </w:p>
        </w:tc>
      </w:tr>
      <w:tr>
        <w:trPr>
          <w:trHeight w:val="240" w:hRule="atLeast"/>
        </w:trPr>
        <w:tc>
          <w:tcPr>
            <w:tcW w:w="520" w:type="dxa"/>
            <w:tcBorders>
              <w:top w:val="single" w:sz="6" w:space="0" w:color="DADADA"/>
              <w:bottom w:val="single" w:sz="6" w:space="0" w:color="DADADA"/>
            </w:tcBorders>
          </w:tcPr>
          <w:p>
            <w:pPr>
              <w:pStyle w:val="TableParagraph"/>
              <w:rPr>
                <w:sz w:val="16"/>
              </w:rPr>
            </w:pPr>
          </w:p>
        </w:tc>
        <w:tc>
          <w:tcPr>
            <w:tcW w:w="475" w:type="dxa"/>
            <w:vMerge/>
            <w:tcBorders>
              <w:top w:val="nil"/>
              <w:bottom w:val="single" w:sz="6" w:space="0" w:color="DADADA"/>
            </w:tcBorders>
            <w:shd w:val="clear" w:color="auto" w:fill="4F81BD"/>
          </w:tcPr>
          <w:p>
            <w:pPr>
              <w:rPr>
                <w:sz w:val="2"/>
                <w:szCs w:val="2"/>
              </w:rPr>
            </w:pPr>
          </w:p>
        </w:tc>
        <w:tc>
          <w:tcPr>
            <w:tcW w:w="475" w:type="dxa"/>
            <w:vMerge/>
            <w:tcBorders>
              <w:top w:val="nil"/>
              <w:bottom w:val="single" w:sz="6" w:space="0" w:color="DADADA"/>
            </w:tcBorders>
            <w:shd w:val="clear" w:color="auto" w:fill="C0504D"/>
          </w:tcPr>
          <w:p>
            <w:pPr>
              <w:rPr>
                <w:sz w:val="2"/>
                <w:szCs w:val="2"/>
              </w:rPr>
            </w:pPr>
          </w:p>
        </w:tc>
        <w:tc>
          <w:tcPr>
            <w:tcW w:w="1042" w:type="dxa"/>
            <w:tcBorders>
              <w:top w:val="single" w:sz="6" w:space="0" w:color="DADADA"/>
              <w:bottom w:val="single" w:sz="6" w:space="0" w:color="DADADA"/>
            </w:tcBorders>
          </w:tcPr>
          <w:p>
            <w:pPr>
              <w:pStyle w:val="TableParagraph"/>
              <w:rPr>
                <w:sz w:val="16"/>
              </w:rPr>
            </w:pPr>
          </w:p>
        </w:tc>
        <w:tc>
          <w:tcPr>
            <w:tcW w:w="475" w:type="dxa"/>
            <w:vMerge/>
            <w:tcBorders>
              <w:top w:val="nil"/>
              <w:bottom w:val="single" w:sz="6" w:space="0" w:color="DADADA"/>
            </w:tcBorders>
            <w:shd w:val="clear" w:color="auto" w:fill="4F81BD"/>
          </w:tcPr>
          <w:p>
            <w:pPr>
              <w:rPr>
                <w:sz w:val="2"/>
                <w:szCs w:val="2"/>
              </w:rPr>
            </w:pPr>
          </w:p>
        </w:tc>
        <w:tc>
          <w:tcPr>
            <w:tcW w:w="475" w:type="dxa"/>
            <w:vMerge w:val="restart"/>
            <w:tcBorders>
              <w:top w:val="single" w:sz="6" w:space="0" w:color="DADADA"/>
              <w:bottom w:val="single" w:sz="6" w:space="0" w:color="DADADA"/>
            </w:tcBorders>
            <w:shd w:val="clear" w:color="auto" w:fill="C0504D"/>
          </w:tcPr>
          <w:p>
            <w:pPr>
              <w:pStyle w:val="TableParagraph"/>
              <w:rPr>
                <w:sz w:val="22"/>
              </w:rPr>
            </w:pPr>
          </w:p>
        </w:tc>
        <w:tc>
          <w:tcPr>
            <w:tcW w:w="1042" w:type="dxa"/>
            <w:tcBorders>
              <w:top w:val="single" w:sz="6" w:space="0" w:color="DADADA"/>
              <w:bottom w:val="single" w:sz="6" w:space="0" w:color="DADADA"/>
            </w:tcBorders>
          </w:tcPr>
          <w:p>
            <w:pPr>
              <w:pStyle w:val="TableParagraph"/>
              <w:rPr>
                <w:sz w:val="16"/>
              </w:rPr>
            </w:pPr>
          </w:p>
        </w:tc>
        <w:tc>
          <w:tcPr>
            <w:tcW w:w="475" w:type="dxa"/>
            <w:vMerge/>
            <w:tcBorders>
              <w:top w:val="nil"/>
              <w:bottom w:val="single" w:sz="6" w:space="0" w:color="DADADA"/>
            </w:tcBorders>
            <w:shd w:val="clear" w:color="auto" w:fill="4F81BD"/>
          </w:tcPr>
          <w:p>
            <w:pPr>
              <w:rPr>
                <w:sz w:val="2"/>
                <w:szCs w:val="2"/>
              </w:rPr>
            </w:pPr>
          </w:p>
        </w:tc>
        <w:tc>
          <w:tcPr>
            <w:tcW w:w="475" w:type="dxa"/>
            <w:vMerge/>
            <w:tcBorders>
              <w:top w:val="nil"/>
              <w:bottom w:val="single" w:sz="6" w:space="0" w:color="DADADA"/>
            </w:tcBorders>
            <w:shd w:val="clear" w:color="auto" w:fill="C0504D"/>
          </w:tcPr>
          <w:p>
            <w:pPr>
              <w:rPr>
                <w:sz w:val="2"/>
                <w:szCs w:val="2"/>
              </w:rPr>
            </w:pPr>
          </w:p>
        </w:tc>
        <w:tc>
          <w:tcPr>
            <w:tcW w:w="520" w:type="dxa"/>
            <w:tcBorders>
              <w:top w:val="single" w:sz="6" w:space="0" w:color="DADADA"/>
              <w:bottom w:val="single" w:sz="6" w:space="0" w:color="DADADA"/>
            </w:tcBorders>
          </w:tcPr>
          <w:p>
            <w:pPr>
              <w:pStyle w:val="TableParagraph"/>
              <w:rPr>
                <w:sz w:val="16"/>
              </w:rPr>
            </w:pPr>
          </w:p>
        </w:tc>
      </w:tr>
      <w:tr>
        <w:trPr>
          <w:trHeight w:val="240" w:hRule="atLeast"/>
        </w:trPr>
        <w:tc>
          <w:tcPr>
            <w:tcW w:w="520" w:type="dxa"/>
            <w:tcBorders>
              <w:top w:val="single" w:sz="6" w:space="0" w:color="DADADA"/>
              <w:bottom w:val="single" w:sz="6" w:space="0" w:color="DADADA"/>
            </w:tcBorders>
          </w:tcPr>
          <w:p>
            <w:pPr>
              <w:pStyle w:val="TableParagraph"/>
              <w:rPr>
                <w:sz w:val="16"/>
              </w:rPr>
            </w:pPr>
          </w:p>
        </w:tc>
        <w:tc>
          <w:tcPr>
            <w:tcW w:w="475" w:type="dxa"/>
            <w:vMerge/>
            <w:tcBorders>
              <w:top w:val="nil"/>
              <w:bottom w:val="single" w:sz="6" w:space="0" w:color="DADADA"/>
            </w:tcBorders>
            <w:shd w:val="clear" w:color="auto" w:fill="4F81BD"/>
          </w:tcPr>
          <w:p>
            <w:pPr>
              <w:rPr>
                <w:sz w:val="2"/>
                <w:szCs w:val="2"/>
              </w:rPr>
            </w:pPr>
          </w:p>
        </w:tc>
        <w:tc>
          <w:tcPr>
            <w:tcW w:w="475" w:type="dxa"/>
            <w:vMerge/>
            <w:tcBorders>
              <w:top w:val="nil"/>
              <w:bottom w:val="single" w:sz="6" w:space="0" w:color="DADADA"/>
            </w:tcBorders>
            <w:shd w:val="clear" w:color="auto" w:fill="C0504D"/>
          </w:tcPr>
          <w:p>
            <w:pPr>
              <w:rPr>
                <w:sz w:val="2"/>
                <w:szCs w:val="2"/>
              </w:rPr>
            </w:pPr>
          </w:p>
        </w:tc>
        <w:tc>
          <w:tcPr>
            <w:tcW w:w="1042" w:type="dxa"/>
            <w:tcBorders>
              <w:top w:val="single" w:sz="6" w:space="0" w:color="DADADA"/>
              <w:bottom w:val="single" w:sz="6" w:space="0" w:color="DADADA"/>
            </w:tcBorders>
          </w:tcPr>
          <w:p>
            <w:pPr>
              <w:pStyle w:val="TableParagraph"/>
              <w:rPr>
                <w:sz w:val="16"/>
              </w:rPr>
            </w:pPr>
          </w:p>
        </w:tc>
        <w:tc>
          <w:tcPr>
            <w:tcW w:w="475" w:type="dxa"/>
            <w:vMerge/>
            <w:tcBorders>
              <w:top w:val="nil"/>
              <w:bottom w:val="single" w:sz="6" w:space="0" w:color="DADADA"/>
            </w:tcBorders>
            <w:shd w:val="clear" w:color="auto" w:fill="4F81BD"/>
          </w:tcPr>
          <w:p>
            <w:pPr>
              <w:rPr>
                <w:sz w:val="2"/>
                <w:szCs w:val="2"/>
              </w:rPr>
            </w:pPr>
          </w:p>
        </w:tc>
        <w:tc>
          <w:tcPr>
            <w:tcW w:w="475" w:type="dxa"/>
            <w:vMerge/>
            <w:tcBorders>
              <w:top w:val="nil"/>
              <w:bottom w:val="single" w:sz="6" w:space="0" w:color="DADADA"/>
            </w:tcBorders>
            <w:shd w:val="clear" w:color="auto" w:fill="C0504D"/>
          </w:tcPr>
          <w:p>
            <w:pPr>
              <w:rPr>
                <w:sz w:val="2"/>
                <w:szCs w:val="2"/>
              </w:rPr>
            </w:pPr>
          </w:p>
        </w:tc>
        <w:tc>
          <w:tcPr>
            <w:tcW w:w="1042" w:type="dxa"/>
            <w:tcBorders>
              <w:top w:val="single" w:sz="6" w:space="0" w:color="DADADA"/>
              <w:bottom w:val="single" w:sz="6" w:space="0" w:color="DADADA"/>
            </w:tcBorders>
          </w:tcPr>
          <w:p>
            <w:pPr>
              <w:pStyle w:val="TableParagraph"/>
              <w:rPr>
                <w:sz w:val="16"/>
              </w:rPr>
            </w:pPr>
          </w:p>
        </w:tc>
        <w:tc>
          <w:tcPr>
            <w:tcW w:w="475" w:type="dxa"/>
            <w:vMerge/>
            <w:tcBorders>
              <w:top w:val="nil"/>
              <w:bottom w:val="single" w:sz="6" w:space="0" w:color="DADADA"/>
            </w:tcBorders>
            <w:shd w:val="clear" w:color="auto" w:fill="4F81BD"/>
          </w:tcPr>
          <w:p>
            <w:pPr>
              <w:rPr>
                <w:sz w:val="2"/>
                <w:szCs w:val="2"/>
              </w:rPr>
            </w:pPr>
          </w:p>
        </w:tc>
        <w:tc>
          <w:tcPr>
            <w:tcW w:w="475" w:type="dxa"/>
            <w:vMerge/>
            <w:tcBorders>
              <w:top w:val="nil"/>
              <w:bottom w:val="single" w:sz="6" w:space="0" w:color="DADADA"/>
            </w:tcBorders>
            <w:shd w:val="clear" w:color="auto" w:fill="C0504D"/>
          </w:tcPr>
          <w:p>
            <w:pPr>
              <w:rPr>
                <w:sz w:val="2"/>
                <w:szCs w:val="2"/>
              </w:rPr>
            </w:pPr>
          </w:p>
        </w:tc>
        <w:tc>
          <w:tcPr>
            <w:tcW w:w="520" w:type="dxa"/>
            <w:tcBorders>
              <w:top w:val="single" w:sz="6" w:space="0" w:color="DADADA"/>
              <w:bottom w:val="single" w:sz="6" w:space="0" w:color="DADADA"/>
            </w:tcBorders>
          </w:tcPr>
          <w:p>
            <w:pPr>
              <w:pStyle w:val="TableParagraph"/>
              <w:rPr>
                <w:sz w:val="16"/>
              </w:rPr>
            </w:pPr>
          </w:p>
        </w:tc>
      </w:tr>
    </w:tbl>
    <w:p>
      <w:pPr>
        <w:pStyle w:val="BodyText"/>
        <w:rPr>
          <w:sz w:val="28"/>
        </w:rPr>
      </w:pPr>
    </w:p>
    <w:p>
      <w:pPr>
        <w:pStyle w:val="BodyText"/>
        <w:rPr>
          <w:sz w:val="28"/>
        </w:rPr>
      </w:pPr>
    </w:p>
    <w:p>
      <w:pPr>
        <w:pStyle w:val="BodyText"/>
        <w:rPr>
          <w:sz w:val="28"/>
        </w:rPr>
      </w:pPr>
    </w:p>
    <w:p>
      <w:pPr>
        <w:spacing w:before="222"/>
        <w:ind w:left="2427" w:right="3635" w:firstLine="0"/>
        <w:jc w:val="center"/>
        <w:rPr>
          <w:i/>
          <w:sz w:val="21"/>
        </w:rPr>
      </w:pPr>
      <w:bookmarkStart w:name="_bookmark50" w:id="52"/>
      <w:bookmarkEnd w:id="52"/>
      <w:r>
        <w:rPr/>
      </w:r>
      <w:r>
        <w:rPr>
          <w:i/>
          <w:sz w:val="21"/>
        </w:rPr>
        <w:t>Figure 2 - Outcome by issue considered</w:t>
      </w:r>
    </w:p>
    <w:p>
      <w:pPr>
        <w:pStyle w:val="BodyText"/>
        <w:spacing w:before="198"/>
        <w:ind w:left="120" w:right="1429"/>
        <w:jc w:val="both"/>
      </w:pPr>
      <w:r>
        <w:rPr/>
        <w:t>As </w:t>
      </w:r>
      <w:hyperlink w:history="true" w:anchor="_bookmark50">
        <w:r>
          <w:rPr/>
          <w:t>Figure 2 </w:t>
        </w:r>
      </w:hyperlink>
      <w:r>
        <w:rPr/>
        <w:t>shows, where a person’s judgement was considered by the Tribunal, it made 12% more orders than it made on average. In cases where their insight was  in</w:t>
      </w:r>
    </w:p>
    <w:p>
      <w:pPr>
        <w:pStyle w:val="BodyText"/>
        <w:spacing w:before="5"/>
        <w:rPr>
          <w:sz w:val="28"/>
        </w:rPr>
      </w:pPr>
      <w:r>
        <w:rPr/>
        <w:pict>
          <v:line style="position:absolute;mso-position-horizontal-relative:page;mso-position-vertical-relative:paragraph;z-index:1336;mso-wrap-distance-left:0;mso-wrap-distance-right:0" from="67.019997pt,19.400711pt" to="211.019997pt,19.400711pt" stroked="true" strokeweight=".54pt" strokecolor="#000000">
            <v:stroke dashstyle="solid"/>
            <w10:wrap type="topAndBottom"/>
          </v:line>
        </w:pict>
      </w:r>
    </w:p>
    <w:p>
      <w:pPr>
        <w:spacing w:before="65"/>
        <w:ind w:left="120" w:right="0" w:firstLine="0"/>
        <w:jc w:val="left"/>
        <w:rPr>
          <w:sz w:val="20"/>
        </w:rPr>
      </w:pPr>
      <w:bookmarkStart w:name="_bookmark51" w:id="53"/>
      <w:bookmarkEnd w:id="53"/>
      <w:r>
        <w:rPr/>
      </w:r>
      <w:r>
        <w:rPr>
          <w:position w:val="7"/>
          <w:sz w:val="13"/>
        </w:rPr>
        <w:t>50 </w:t>
      </w:r>
      <w:r>
        <w:rPr>
          <w:sz w:val="20"/>
        </w:rPr>
        <w:t>Note that these considerations may have occurred multiple times in a single statement of reasons.</w:t>
      </w:r>
    </w:p>
    <w:p>
      <w:pPr>
        <w:spacing w:after="0"/>
        <w:jc w:val="left"/>
        <w:rPr>
          <w:sz w:val="20"/>
        </w:rPr>
        <w:sectPr>
          <w:pgSz w:w="11910" w:h="16840"/>
          <w:pgMar w:header="763" w:footer="1025" w:top="980" w:bottom="1220" w:left="1220" w:right="0"/>
        </w:sectPr>
      </w:pPr>
    </w:p>
    <w:p>
      <w:pPr>
        <w:pStyle w:val="BodyText"/>
        <w:spacing w:before="4"/>
        <w:rPr>
          <w:sz w:val="21"/>
        </w:rPr>
      </w:pPr>
    </w:p>
    <w:p>
      <w:pPr>
        <w:pStyle w:val="BodyText"/>
        <w:spacing w:before="100"/>
        <w:ind w:left="120" w:right="109"/>
        <w:jc w:val="both"/>
      </w:pPr>
      <w:r>
        <w:rPr/>
        <w:t>question, it made 7% fewer orders than it made on average. When the tribunal explicitly considered capacity the outcomes reflected the average frequencies. Again the relatively small numbers mean that these figures did not reach statistical significance.</w:t>
      </w:r>
    </w:p>
    <w:p>
      <w:pPr>
        <w:pStyle w:val="BodyText"/>
        <w:spacing w:before="5"/>
        <w:rPr>
          <w:sz w:val="23"/>
        </w:rPr>
      </w:pPr>
    </w:p>
    <w:p>
      <w:pPr>
        <w:pStyle w:val="BodyText"/>
        <w:spacing w:line="237" w:lineRule="auto"/>
        <w:ind w:left="120" w:right="109"/>
        <w:jc w:val="both"/>
      </w:pPr>
      <w:r>
        <w:rPr/>
        <w:t>As </w:t>
      </w:r>
      <w:hyperlink w:history="true" w:anchor="_bookmark49">
        <w:r>
          <w:rPr/>
          <w:t>Figure 1 </w:t>
        </w:r>
      </w:hyperlink>
      <w:r>
        <w:rPr/>
        <w:t>illustrates, a person’s judgement was regularly (n=43) used to establish the first criterion, that a person had a mental illness. This was evident in </w:t>
      </w:r>
      <w:r>
        <w:rPr>
          <w:i/>
          <w:sz w:val="25"/>
        </w:rPr>
        <w:t>TLX</w:t>
      </w:r>
      <w:hyperlink w:history="true" w:anchor="_bookmark52">
        <w:r>
          <w:rPr>
            <w:i/>
            <w:position w:val="8"/>
            <w:sz w:val="17"/>
          </w:rPr>
          <w:t>51</w:t>
        </w:r>
      </w:hyperlink>
      <w:r>
        <w:rPr/>
        <w:t>,</w:t>
      </w:r>
      <w:r>
        <w:rPr>
          <w:spacing w:val="-50"/>
        </w:rPr>
        <w:t> </w:t>
      </w:r>
      <w:r>
        <w:rPr/>
        <w:t>where both poor decision-making and lack of insight was one of the symptoms identified</w:t>
      </w:r>
      <w:r>
        <w:rPr>
          <w:spacing w:val="-34"/>
        </w:rPr>
        <w:t> </w:t>
      </w:r>
      <w:r>
        <w:rPr/>
        <w:t>and relied on as evidence that TLX had a mental</w:t>
      </w:r>
      <w:r>
        <w:rPr>
          <w:spacing w:val="-19"/>
        </w:rPr>
        <w:t> </w:t>
      </w:r>
      <w:r>
        <w:rPr/>
        <w:t>illness:</w:t>
      </w:r>
    </w:p>
    <w:p>
      <w:pPr>
        <w:pStyle w:val="BodyText"/>
        <w:spacing w:before="4"/>
        <w:rPr>
          <w:sz w:val="23"/>
        </w:rPr>
      </w:pPr>
    </w:p>
    <w:p>
      <w:pPr>
        <w:spacing w:line="228" w:lineRule="auto" w:before="0"/>
        <w:ind w:left="687" w:right="109" w:firstLine="0"/>
        <w:jc w:val="both"/>
        <w:rPr>
          <w:i/>
          <w:sz w:val="21"/>
        </w:rPr>
      </w:pPr>
      <w:r>
        <w:rPr>
          <w:i/>
          <w:sz w:val="21"/>
        </w:rPr>
        <w:t>He</w:t>
      </w:r>
      <w:r>
        <w:rPr>
          <w:i/>
          <w:spacing w:val="-29"/>
          <w:sz w:val="21"/>
        </w:rPr>
        <w:t> </w:t>
      </w:r>
      <w:r>
        <w:rPr>
          <w:i/>
          <w:sz w:val="21"/>
        </w:rPr>
        <w:t>was</w:t>
      </w:r>
      <w:r>
        <w:rPr>
          <w:i/>
          <w:spacing w:val="-29"/>
          <w:sz w:val="21"/>
        </w:rPr>
        <w:t> </w:t>
      </w:r>
      <w:r>
        <w:rPr>
          <w:i/>
          <w:sz w:val="21"/>
        </w:rPr>
        <w:t>again</w:t>
      </w:r>
      <w:r>
        <w:rPr>
          <w:i/>
          <w:spacing w:val="-30"/>
          <w:sz w:val="21"/>
        </w:rPr>
        <w:t> </w:t>
      </w:r>
      <w:r>
        <w:rPr>
          <w:i/>
          <w:sz w:val="21"/>
        </w:rPr>
        <w:t>admitted</w:t>
      </w:r>
      <w:r>
        <w:rPr>
          <w:i/>
          <w:spacing w:val="-30"/>
          <w:sz w:val="21"/>
        </w:rPr>
        <w:t> </w:t>
      </w:r>
      <w:r>
        <w:rPr>
          <w:i/>
          <w:sz w:val="21"/>
        </w:rPr>
        <w:t>to</w:t>
      </w:r>
      <w:r>
        <w:rPr>
          <w:i/>
          <w:spacing w:val="-29"/>
          <w:sz w:val="21"/>
        </w:rPr>
        <w:t> </w:t>
      </w:r>
      <w:r>
        <w:rPr>
          <w:i/>
          <w:sz w:val="21"/>
        </w:rPr>
        <w:t>hospital</w:t>
      </w:r>
      <w:r>
        <w:rPr>
          <w:i/>
          <w:spacing w:val="-29"/>
          <w:sz w:val="21"/>
        </w:rPr>
        <w:t> </w:t>
      </w:r>
      <w:r>
        <w:rPr>
          <w:i/>
          <w:sz w:val="21"/>
        </w:rPr>
        <w:t>as</w:t>
      </w:r>
      <w:r>
        <w:rPr>
          <w:i/>
          <w:spacing w:val="-29"/>
          <w:sz w:val="21"/>
        </w:rPr>
        <w:t> </w:t>
      </w:r>
      <w:r>
        <w:rPr>
          <w:i/>
          <w:sz w:val="21"/>
        </w:rPr>
        <w:t>an</w:t>
      </w:r>
      <w:r>
        <w:rPr>
          <w:i/>
          <w:spacing w:val="-30"/>
          <w:sz w:val="21"/>
        </w:rPr>
        <w:t> </w:t>
      </w:r>
      <w:r>
        <w:rPr>
          <w:i/>
          <w:sz w:val="21"/>
        </w:rPr>
        <w:t>involuntary</w:t>
      </w:r>
      <w:r>
        <w:rPr>
          <w:i/>
          <w:spacing w:val="-30"/>
          <w:sz w:val="21"/>
        </w:rPr>
        <w:t> </w:t>
      </w:r>
      <w:r>
        <w:rPr>
          <w:i/>
          <w:sz w:val="21"/>
        </w:rPr>
        <w:t>patient.</w:t>
      </w:r>
      <w:r>
        <w:rPr>
          <w:i/>
          <w:spacing w:val="-29"/>
          <w:sz w:val="21"/>
        </w:rPr>
        <w:t> </w:t>
      </w:r>
      <w:r>
        <w:rPr>
          <w:i/>
          <w:sz w:val="21"/>
        </w:rPr>
        <w:t>He</w:t>
      </w:r>
      <w:r>
        <w:rPr>
          <w:i/>
          <w:spacing w:val="-29"/>
          <w:sz w:val="21"/>
        </w:rPr>
        <w:t> </w:t>
      </w:r>
      <w:r>
        <w:rPr>
          <w:i/>
          <w:sz w:val="21"/>
        </w:rPr>
        <w:t>presented</w:t>
      </w:r>
      <w:r>
        <w:rPr>
          <w:i/>
          <w:spacing w:val="-30"/>
          <w:sz w:val="21"/>
        </w:rPr>
        <w:t> </w:t>
      </w:r>
      <w:r>
        <w:rPr>
          <w:i/>
          <w:sz w:val="21"/>
        </w:rPr>
        <w:t>with</w:t>
      </w:r>
      <w:r>
        <w:rPr>
          <w:i/>
          <w:spacing w:val="-29"/>
          <w:sz w:val="21"/>
        </w:rPr>
        <w:t> </w:t>
      </w:r>
      <w:r>
        <w:rPr>
          <w:i/>
          <w:sz w:val="21"/>
        </w:rPr>
        <w:t>poor</w:t>
      </w:r>
      <w:r>
        <w:rPr>
          <w:i/>
          <w:spacing w:val="-30"/>
          <w:sz w:val="21"/>
        </w:rPr>
        <w:t> </w:t>
      </w:r>
      <w:r>
        <w:rPr>
          <w:i/>
          <w:sz w:val="21"/>
        </w:rPr>
        <w:t>judgement, risky</w:t>
      </w:r>
      <w:r>
        <w:rPr>
          <w:i/>
          <w:spacing w:val="-18"/>
          <w:sz w:val="21"/>
        </w:rPr>
        <w:t> </w:t>
      </w:r>
      <w:r>
        <w:rPr>
          <w:i/>
          <w:sz w:val="21"/>
        </w:rPr>
        <w:t>and</w:t>
      </w:r>
      <w:r>
        <w:rPr>
          <w:i/>
          <w:spacing w:val="-18"/>
          <w:sz w:val="21"/>
        </w:rPr>
        <w:t> </w:t>
      </w:r>
      <w:r>
        <w:rPr>
          <w:i/>
          <w:sz w:val="21"/>
        </w:rPr>
        <w:t>disinhibited</w:t>
      </w:r>
      <w:r>
        <w:rPr>
          <w:i/>
          <w:spacing w:val="-18"/>
          <w:sz w:val="21"/>
        </w:rPr>
        <w:t> </w:t>
      </w:r>
      <w:r>
        <w:rPr>
          <w:i/>
          <w:sz w:val="21"/>
        </w:rPr>
        <w:t>behaviour,</w:t>
      </w:r>
      <w:r>
        <w:rPr>
          <w:i/>
          <w:spacing w:val="-18"/>
          <w:sz w:val="21"/>
        </w:rPr>
        <w:t> </w:t>
      </w:r>
      <w:r>
        <w:rPr>
          <w:i/>
          <w:sz w:val="21"/>
        </w:rPr>
        <w:t>and</w:t>
      </w:r>
      <w:r>
        <w:rPr>
          <w:i/>
          <w:spacing w:val="-18"/>
          <w:sz w:val="21"/>
        </w:rPr>
        <w:t> </w:t>
      </w:r>
      <w:r>
        <w:rPr>
          <w:i/>
          <w:sz w:val="21"/>
        </w:rPr>
        <w:t>an</w:t>
      </w:r>
      <w:r>
        <w:rPr>
          <w:i/>
          <w:spacing w:val="-19"/>
          <w:sz w:val="21"/>
        </w:rPr>
        <w:t> </w:t>
      </w:r>
      <w:r>
        <w:rPr>
          <w:i/>
          <w:sz w:val="21"/>
        </w:rPr>
        <w:t>elevated</w:t>
      </w:r>
      <w:r>
        <w:rPr>
          <w:i/>
          <w:spacing w:val="-18"/>
          <w:sz w:val="21"/>
        </w:rPr>
        <w:t> </w:t>
      </w:r>
      <w:r>
        <w:rPr>
          <w:i/>
          <w:sz w:val="21"/>
        </w:rPr>
        <w:t>and</w:t>
      </w:r>
      <w:r>
        <w:rPr>
          <w:i/>
          <w:spacing w:val="-19"/>
          <w:sz w:val="21"/>
        </w:rPr>
        <w:t> </w:t>
      </w:r>
      <w:r>
        <w:rPr>
          <w:i/>
          <w:sz w:val="21"/>
        </w:rPr>
        <w:t>expansive</w:t>
      </w:r>
      <w:r>
        <w:rPr>
          <w:i/>
          <w:spacing w:val="-18"/>
          <w:sz w:val="21"/>
        </w:rPr>
        <w:t> </w:t>
      </w:r>
      <w:r>
        <w:rPr>
          <w:i/>
          <w:sz w:val="21"/>
        </w:rPr>
        <w:t>mood.</w:t>
      </w:r>
      <w:r>
        <w:rPr>
          <w:i/>
          <w:spacing w:val="-18"/>
          <w:sz w:val="21"/>
        </w:rPr>
        <w:t> </w:t>
      </w:r>
      <w:r>
        <w:rPr>
          <w:i/>
          <w:sz w:val="21"/>
        </w:rPr>
        <w:t>He</w:t>
      </w:r>
      <w:r>
        <w:rPr>
          <w:i/>
          <w:spacing w:val="-19"/>
          <w:sz w:val="21"/>
        </w:rPr>
        <w:t> </w:t>
      </w:r>
      <w:r>
        <w:rPr>
          <w:i/>
          <w:sz w:val="21"/>
        </w:rPr>
        <w:t>was</w:t>
      </w:r>
      <w:r>
        <w:rPr>
          <w:i/>
          <w:spacing w:val="-18"/>
          <w:sz w:val="21"/>
        </w:rPr>
        <w:t> </w:t>
      </w:r>
      <w:r>
        <w:rPr>
          <w:i/>
          <w:sz w:val="21"/>
        </w:rPr>
        <w:t>said</w:t>
      </w:r>
      <w:r>
        <w:rPr>
          <w:i/>
          <w:spacing w:val="-18"/>
          <w:sz w:val="21"/>
        </w:rPr>
        <w:t> </w:t>
      </w:r>
      <w:r>
        <w:rPr>
          <w:i/>
          <w:sz w:val="21"/>
        </w:rPr>
        <w:t>to</w:t>
      </w:r>
      <w:r>
        <w:rPr>
          <w:i/>
          <w:spacing w:val="-18"/>
          <w:sz w:val="21"/>
        </w:rPr>
        <w:t> </w:t>
      </w:r>
      <w:r>
        <w:rPr>
          <w:i/>
          <w:sz w:val="21"/>
        </w:rPr>
        <w:t>have</w:t>
      </w:r>
      <w:r>
        <w:rPr>
          <w:i/>
          <w:spacing w:val="-19"/>
          <w:sz w:val="21"/>
        </w:rPr>
        <w:t> </w:t>
      </w:r>
      <w:r>
        <w:rPr>
          <w:i/>
          <w:sz w:val="21"/>
        </w:rPr>
        <w:t>no insight.</w:t>
      </w:r>
      <w:r>
        <w:rPr>
          <w:i/>
          <w:spacing w:val="-42"/>
          <w:sz w:val="21"/>
        </w:rPr>
        <w:t> </w:t>
      </w:r>
      <w:r>
        <w:rPr>
          <w:i/>
          <w:sz w:val="21"/>
        </w:rPr>
        <w:t>After</w:t>
      </w:r>
      <w:r>
        <w:rPr>
          <w:i/>
          <w:spacing w:val="-43"/>
          <w:sz w:val="21"/>
        </w:rPr>
        <w:t> </w:t>
      </w:r>
      <w:r>
        <w:rPr>
          <w:i/>
          <w:sz w:val="21"/>
        </w:rPr>
        <w:t>two</w:t>
      </w:r>
      <w:r>
        <w:rPr>
          <w:i/>
          <w:spacing w:val="-42"/>
          <w:sz w:val="21"/>
        </w:rPr>
        <w:t> </w:t>
      </w:r>
      <w:r>
        <w:rPr>
          <w:i/>
          <w:sz w:val="21"/>
        </w:rPr>
        <w:t>weeks</w:t>
      </w:r>
      <w:r>
        <w:rPr>
          <w:i/>
          <w:spacing w:val="-42"/>
          <w:sz w:val="21"/>
        </w:rPr>
        <w:t> </w:t>
      </w:r>
      <w:r>
        <w:rPr>
          <w:i/>
          <w:sz w:val="21"/>
        </w:rPr>
        <w:t>TLX</w:t>
      </w:r>
      <w:r>
        <w:rPr>
          <w:i/>
          <w:spacing w:val="-42"/>
          <w:sz w:val="21"/>
        </w:rPr>
        <w:t> </w:t>
      </w:r>
      <w:r>
        <w:rPr>
          <w:i/>
          <w:sz w:val="21"/>
        </w:rPr>
        <w:t>left</w:t>
      </w:r>
      <w:r>
        <w:rPr>
          <w:i/>
          <w:spacing w:val="-42"/>
          <w:sz w:val="21"/>
        </w:rPr>
        <w:t> </w:t>
      </w:r>
      <w:r>
        <w:rPr>
          <w:i/>
          <w:sz w:val="21"/>
        </w:rPr>
        <w:t>hospital</w:t>
      </w:r>
      <w:r>
        <w:rPr>
          <w:i/>
          <w:spacing w:val="-42"/>
          <w:sz w:val="21"/>
        </w:rPr>
        <w:t> </w:t>
      </w:r>
      <w:r>
        <w:rPr>
          <w:i/>
          <w:sz w:val="21"/>
        </w:rPr>
        <w:t>against</w:t>
      </w:r>
      <w:r>
        <w:rPr>
          <w:i/>
          <w:spacing w:val="-42"/>
          <w:sz w:val="21"/>
        </w:rPr>
        <w:t> </w:t>
      </w:r>
      <w:r>
        <w:rPr>
          <w:i/>
          <w:sz w:val="21"/>
        </w:rPr>
        <w:t>medical</w:t>
      </w:r>
      <w:r>
        <w:rPr>
          <w:i/>
          <w:spacing w:val="-42"/>
          <w:sz w:val="21"/>
        </w:rPr>
        <w:t> </w:t>
      </w:r>
      <w:r>
        <w:rPr>
          <w:i/>
          <w:sz w:val="21"/>
        </w:rPr>
        <w:t>advice</w:t>
      </w:r>
      <w:r>
        <w:rPr>
          <w:i/>
          <w:spacing w:val="-42"/>
          <w:sz w:val="21"/>
        </w:rPr>
        <w:t> </w:t>
      </w:r>
      <w:r>
        <w:rPr>
          <w:i/>
          <w:sz w:val="21"/>
        </w:rPr>
        <w:t>and</w:t>
      </w:r>
      <w:r>
        <w:rPr>
          <w:i/>
          <w:spacing w:val="-42"/>
          <w:sz w:val="21"/>
        </w:rPr>
        <w:t> </w:t>
      </w:r>
      <w:r>
        <w:rPr>
          <w:i/>
          <w:sz w:val="21"/>
        </w:rPr>
        <w:t>declined</w:t>
      </w:r>
      <w:r>
        <w:rPr>
          <w:i/>
          <w:spacing w:val="-42"/>
          <w:sz w:val="21"/>
        </w:rPr>
        <w:t> </w:t>
      </w:r>
      <w:r>
        <w:rPr>
          <w:i/>
          <w:sz w:val="21"/>
        </w:rPr>
        <w:t>any</w:t>
      </w:r>
      <w:r>
        <w:rPr>
          <w:i/>
          <w:spacing w:val="-42"/>
          <w:sz w:val="21"/>
        </w:rPr>
        <w:t> </w:t>
      </w:r>
      <w:r>
        <w:rPr>
          <w:i/>
          <w:sz w:val="21"/>
        </w:rPr>
        <w:t>ongoing</w:t>
      </w:r>
      <w:r>
        <w:rPr>
          <w:i/>
          <w:spacing w:val="-42"/>
          <w:sz w:val="21"/>
        </w:rPr>
        <w:t> </w:t>
      </w:r>
      <w:r>
        <w:rPr>
          <w:i/>
          <w:sz w:val="21"/>
        </w:rPr>
        <w:t>contact with</w:t>
      </w:r>
      <w:r>
        <w:rPr>
          <w:i/>
          <w:spacing w:val="-22"/>
          <w:sz w:val="21"/>
        </w:rPr>
        <w:t> </w:t>
      </w:r>
      <w:r>
        <w:rPr>
          <w:i/>
          <w:sz w:val="21"/>
        </w:rPr>
        <w:t>the</w:t>
      </w:r>
      <w:r>
        <w:rPr>
          <w:i/>
          <w:spacing w:val="-22"/>
          <w:sz w:val="21"/>
        </w:rPr>
        <w:t> </w:t>
      </w:r>
      <w:r>
        <w:rPr>
          <w:i/>
          <w:sz w:val="21"/>
        </w:rPr>
        <w:t>community</w:t>
      </w:r>
      <w:r>
        <w:rPr>
          <w:i/>
          <w:spacing w:val="-22"/>
          <w:sz w:val="21"/>
        </w:rPr>
        <w:t> </w:t>
      </w:r>
      <w:r>
        <w:rPr>
          <w:i/>
          <w:sz w:val="21"/>
        </w:rPr>
        <w:t>mental</w:t>
      </w:r>
      <w:r>
        <w:rPr>
          <w:i/>
          <w:spacing w:val="-22"/>
          <w:sz w:val="21"/>
        </w:rPr>
        <w:t> </w:t>
      </w:r>
      <w:r>
        <w:rPr>
          <w:i/>
          <w:sz w:val="21"/>
        </w:rPr>
        <w:t>health</w:t>
      </w:r>
      <w:r>
        <w:rPr>
          <w:i/>
          <w:spacing w:val="-23"/>
          <w:sz w:val="21"/>
        </w:rPr>
        <w:t> </w:t>
      </w:r>
      <w:r>
        <w:rPr>
          <w:i/>
          <w:sz w:val="21"/>
        </w:rPr>
        <w:t>service.</w:t>
      </w:r>
      <w:r>
        <w:rPr>
          <w:i/>
          <w:spacing w:val="-22"/>
          <w:sz w:val="21"/>
        </w:rPr>
        <w:t> </w:t>
      </w:r>
      <w:r>
        <w:rPr>
          <w:i/>
          <w:sz w:val="21"/>
        </w:rPr>
        <w:t>After</w:t>
      </w:r>
      <w:r>
        <w:rPr>
          <w:i/>
          <w:spacing w:val="-22"/>
          <w:sz w:val="21"/>
        </w:rPr>
        <w:t> </w:t>
      </w:r>
      <w:r>
        <w:rPr>
          <w:i/>
          <w:sz w:val="21"/>
        </w:rPr>
        <w:t>one</w:t>
      </w:r>
      <w:r>
        <w:rPr>
          <w:i/>
          <w:spacing w:val="-23"/>
          <w:sz w:val="21"/>
        </w:rPr>
        <w:t> </w:t>
      </w:r>
      <w:r>
        <w:rPr>
          <w:i/>
          <w:sz w:val="21"/>
        </w:rPr>
        <w:t>week</w:t>
      </w:r>
      <w:r>
        <w:rPr>
          <w:i/>
          <w:spacing w:val="-22"/>
          <w:sz w:val="21"/>
        </w:rPr>
        <w:t> </w:t>
      </w:r>
      <w:r>
        <w:rPr>
          <w:i/>
          <w:sz w:val="21"/>
        </w:rPr>
        <w:t>his</w:t>
      </w:r>
      <w:r>
        <w:rPr>
          <w:i/>
          <w:spacing w:val="-22"/>
          <w:sz w:val="21"/>
        </w:rPr>
        <w:t> </w:t>
      </w:r>
      <w:r>
        <w:rPr>
          <w:i/>
          <w:sz w:val="21"/>
        </w:rPr>
        <w:t>wife</w:t>
      </w:r>
      <w:r>
        <w:rPr>
          <w:i/>
          <w:spacing w:val="-22"/>
          <w:sz w:val="21"/>
        </w:rPr>
        <w:t> </w:t>
      </w:r>
      <w:r>
        <w:rPr>
          <w:i/>
          <w:sz w:val="21"/>
        </w:rPr>
        <w:t>contacted</w:t>
      </w:r>
      <w:r>
        <w:rPr>
          <w:i/>
          <w:spacing w:val="-23"/>
          <w:sz w:val="21"/>
        </w:rPr>
        <w:t> </w:t>
      </w:r>
      <w:r>
        <w:rPr>
          <w:i/>
          <w:sz w:val="21"/>
        </w:rPr>
        <w:t>the</w:t>
      </w:r>
      <w:r>
        <w:rPr>
          <w:i/>
          <w:spacing w:val="-22"/>
          <w:sz w:val="21"/>
        </w:rPr>
        <w:t> </w:t>
      </w:r>
      <w:r>
        <w:rPr>
          <w:i/>
          <w:sz w:val="21"/>
        </w:rPr>
        <w:t>mental</w:t>
      </w:r>
      <w:r>
        <w:rPr>
          <w:i/>
          <w:spacing w:val="-22"/>
          <w:sz w:val="21"/>
        </w:rPr>
        <w:t> </w:t>
      </w:r>
      <w:r>
        <w:rPr>
          <w:i/>
          <w:sz w:val="21"/>
        </w:rPr>
        <w:t>health service</w:t>
      </w:r>
      <w:r>
        <w:rPr>
          <w:i/>
          <w:spacing w:val="-26"/>
          <w:sz w:val="21"/>
        </w:rPr>
        <w:t> </w:t>
      </w:r>
      <w:r>
        <w:rPr>
          <w:i/>
          <w:sz w:val="21"/>
        </w:rPr>
        <w:t>due</w:t>
      </w:r>
      <w:r>
        <w:rPr>
          <w:i/>
          <w:spacing w:val="-26"/>
          <w:sz w:val="21"/>
        </w:rPr>
        <w:t> </w:t>
      </w:r>
      <w:r>
        <w:rPr>
          <w:i/>
          <w:sz w:val="21"/>
        </w:rPr>
        <w:t>to</w:t>
      </w:r>
      <w:r>
        <w:rPr>
          <w:i/>
          <w:spacing w:val="-26"/>
          <w:sz w:val="21"/>
        </w:rPr>
        <w:t> </w:t>
      </w:r>
      <w:r>
        <w:rPr>
          <w:i/>
          <w:sz w:val="21"/>
        </w:rPr>
        <w:t>TLX</w:t>
      </w:r>
      <w:r>
        <w:rPr>
          <w:i/>
          <w:spacing w:val="-26"/>
          <w:sz w:val="21"/>
        </w:rPr>
        <w:t> </w:t>
      </w:r>
      <w:r>
        <w:rPr>
          <w:i/>
          <w:sz w:val="21"/>
        </w:rPr>
        <w:t>engaging</w:t>
      </w:r>
      <w:r>
        <w:rPr>
          <w:i/>
          <w:spacing w:val="-26"/>
          <w:sz w:val="21"/>
        </w:rPr>
        <w:t> </w:t>
      </w:r>
      <w:r>
        <w:rPr>
          <w:i/>
          <w:sz w:val="21"/>
        </w:rPr>
        <w:t>in</w:t>
      </w:r>
      <w:r>
        <w:rPr>
          <w:i/>
          <w:spacing w:val="-26"/>
          <w:sz w:val="21"/>
        </w:rPr>
        <w:t> </w:t>
      </w:r>
      <w:r>
        <w:rPr>
          <w:i/>
          <w:sz w:val="21"/>
        </w:rPr>
        <w:t>risk</w:t>
      </w:r>
      <w:r>
        <w:rPr>
          <w:i/>
          <w:spacing w:val="-26"/>
          <w:sz w:val="21"/>
        </w:rPr>
        <w:t> </w:t>
      </w:r>
      <w:r>
        <w:rPr>
          <w:i/>
          <w:sz w:val="21"/>
        </w:rPr>
        <w:t>taking</w:t>
      </w:r>
      <w:r>
        <w:rPr>
          <w:i/>
          <w:spacing w:val="-26"/>
          <w:sz w:val="21"/>
        </w:rPr>
        <w:t> </w:t>
      </w:r>
      <w:r>
        <w:rPr>
          <w:i/>
          <w:sz w:val="21"/>
        </w:rPr>
        <w:t>behaviours,</w:t>
      </w:r>
      <w:r>
        <w:rPr>
          <w:i/>
          <w:spacing w:val="-25"/>
          <w:sz w:val="21"/>
        </w:rPr>
        <w:t> </w:t>
      </w:r>
      <w:r>
        <w:rPr>
          <w:i/>
          <w:sz w:val="21"/>
        </w:rPr>
        <w:t>which</w:t>
      </w:r>
      <w:r>
        <w:rPr>
          <w:i/>
          <w:spacing w:val="-26"/>
          <w:sz w:val="21"/>
        </w:rPr>
        <w:t> </w:t>
      </w:r>
      <w:r>
        <w:rPr>
          <w:i/>
          <w:sz w:val="21"/>
        </w:rPr>
        <w:t>included</w:t>
      </w:r>
      <w:r>
        <w:rPr>
          <w:i/>
          <w:spacing w:val="-26"/>
          <w:sz w:val="21"/>
        </w:rPr>
        <w:t> </w:t>
      </w:r>
      <w:r>
        <w:rPr>
          <w:i/>
          <w:sz w:val="21"/>
        </w:rPr>
        <w:t>driving</w:t>
      </w:r>
      <w:r>
        <w:rPr>
          <w:i/>
          <w:spacing w:val="-26"/>
          <w:sz w:val="21"/>
        </w:rPr>
        <w:t> </w:t>
      </w:r>
      <w:r>
        <w:rPr>
          <w:i/>
          <w:sz w:val="21"/>
        </w:rPr>
        <w:t>at</w:t>
      </w:r>
      <w:r>
        <w:rPr>
          <w:i/>
          <w:spacing w:val="-26"/>
          <w:sz w:val="21"/>
        </w:rPr>
        <w:t> </w:t>
      </w:r>
      <w:r>
        <w:rPr>
          <w:i/>
          <w:sz w:val="21"/>
        </w:rPr>
        <w:t>high</w:t>
      </w:r>
      <w:r>
        <w:rPr>
          <w:i/>
          <w:spacing w:val="-26"/>
          <w:sz w:val="21"/>
        </w:rPr>
        <w:t> </w:t>
      </w:r>
      <w:r>
        <w:rPr>
          <w:i/>
          <w:sz w:val="21"/>
        </w:rPr>
        <w:t>speed</w:t>
      </w:r>
      <w:r>
        <w:rPr>
          <w:i/>
          <w:spacing w:val="-27"/>
          <w:sz w:val="21"/>
        </w:rPr>
        <w:t> </w:t>
      </w:r>
      <w:r>
        <w:rPr>
          <w:i/>
          <w:sz w:val="21"/>
        </w:rPr>
        <w:t>with passengers</w:t>
      </w:r>
      <w:r>
        <w:rPr>
          <w:i/>
          <w:spacing w:val="-13"/>
          <w:sz w:val="21"/>
        </w:rPr>
        <w:t> </w:t>
      </w:r>
      <w:r>
        <w:rPr>
          <w:i/>
          <w:sz w:val="21"/>
        </w:rPr>
        <w:t>in</w:t>
      </w:r>
      <w:r>
        <w:rPr>
          <w:i/>
          <w:spacing w:val="-15"/>
          <w:sz w:val="21"/>
        </w:rPr>
        <w:t> </w:t>
      </w:r>
      <w:r>
        <w:rPr>
          <w:i/>
          <w:sz w:val="21"/>
        </w:rPr>
        <w:t>his</w:t>
      </w:r>
      <w:r>
        <w:rPr>
          <w:i/>
          <w:spacing w:val="-13"/>
          <w:sz w:val="21"/>
        </w:rPr>
        <w:t> </w:t>
      </w:r>
      <w:r>
        <w:rPr>
          <w:i/>
          <w:sz w:val="21"/>
        </w:rPr>
        <w:t>car</w:t>
      </w:r>
      <w:r>
        <w:rPr>
          <w:i/>
          <w:spacing w:val="-15"/>
          <w:sz w:val="21"/>
        </w:rPr>
        <w:t> </w:t>
      </w:r>
      <w:r>
        <w:rPr>
          <w:i/>
          <w:sz w:val="21"/>
        </w:rPr>
        <w:t>and</w:t>
      </w:r>
      <w:r>
        <w:rPr>
          <w:i/>
          <w:spacing w:val="-14"/>
          <w:sz w:val="21"/>
        </w:rPr>
        <w:t> </w:t>
      </w:r>
      <w:r>
        <w:rPr>
          <w:i/>
          <w:sz w:val="21"/>
        </w:rPr>
        <w:t>running</w:t>
      </w:r>
      <w:r>
        <w:rPr>
          <w:i/>
          <w:spacing w:val="-14"/>
          <w:sz w:val="21"/>
        </w:rPr>
        <w:t> </w:t>
      </w:r>
      <w:r>
        <w:rPr>
          <w:i/>
          <w:sz w:val="21"/>
        </w:rPr>
        <w:t>red</w:t>
      </w:r>
      <w:r>
        <w:rPr>
          <w:i/>
          <w:spacing w:val="-14"/>
          <w:sz w:val="21"/>
        </w:rPr>
        <w:t> </w:t>
      </w:r>
      <w:r>
        <w:rPr>
          <w:i/>
          <w:sz w:val="21"/>
        </w:rPr>
        <w:t>lights.</w:t>
      </w:r>
      <w:r>
        <w:rPr>
          <w:i/>
          <w:spacing w:val="-14"/>
          <w:sz w:val="21"/>
        </w:rPr>
        <w:t> </w:t>
      </w:r>
      <w:r>
        <w:rPr>
          <w:i/>
          <w:sz w:val="21"/>
        </w:rPr>
        <w:t>Hs</w:t>
      </w:r>
      <w:r>
        <w:rPr>
          <w:i/>
          <w:spacing w:val="-13"/>
          <w:sz w:val="21"/>
        </w:rPr>
        <w:t> </w:t>
      </w:r>
      <w:r>
        <w:rPr>
          <w:i/>
          <w:sz w:val="21"/>
        </w:rPr>
        <w:t>mood</w:t>
      </w:r>
      <w:r>
        <w:rPr>
          <w:i/>
          <w:spacing w:val="-14"/>
          <w:sz w:val="21"/>
        </w:rPr>
        <w:t> </w:t>
      </w:r>
      <w:r>
        <w:rPr>
          <w:i/>
          <w:sz w:val="21"/>
        </w:rPr>
        <w:t>was</w:t>
      </w:r>
      <w:r>
        <w:rPr>
          <w:i/>
          <w:spacing w:val="-14"/>
          <w:sz w:val="21"/>
        </w:rPr>
        <w:t> </w:t>
      </w:r>
      <w:r>
        <w:rPr>
          <w:i/>
          <w:sz w:val="21"/>
        </w:rPr>
        <w:t>again</w:t>
      </w:r>
      <w:r>
        <w:rPr>
          <w:i/>
          <w:spacing w:val="-15"/>
          <w:sz w:val="21"/>
        </w:rPr>
        <w:t> </w:t>
      </w:r>
      <w:r>
        <w:rPr>
          <w:i/>
          <w:sz w:val="21"/>
        </w:rPr>
        <w:t>reported</w:t>
      </w:r>
      <w:r>
        <w:rPr>
          <w:i/>
          <w:spacing w:val="-14"/>
          <w:sz w:val="21"/>
        </w:rPr>
        <w:t> </w:t>
      </w:r>
      <w:r>
        <w:rPr>
          <w:i/>
          <w:sz w:val="21"/>
        </w:rPr>
        <w:t>to</w:t>
      </w:r>
      <w:r>
        <w:rPr>
          <w:i/>
          <w:spacing w:val="-13"/>
          <w:sz w:val="21"/>
        </w:rPr>
        <w:t> </w:t>
      </w:r>
      <w:r>
        <w:rPr>
          <w:i/>
          <w:sz w:val="21"/>
        </w:rPr>
        <w:t>be</w:t>
      </w:r>
      <w:r>
        <w:rPr>
          <w:i/>
          <w:spacing w:val="-13"/>
          <w:sz w:val="21"/>
        </w:rPr>
        <w:t> </w:t>
      </w:r>
      <w:r>
        <w:rPr>
          <w:i/>
          <w:sz w:val="21"/>
        </w:rPr>
        <w:t>elevated,</w:t>
      </w:r>
      <w:r>
        <w:rPr>
          <w:i/>
          <w:spacing w:val="-13"/>
          <w:sz w:val="21"/>
        </w:rPr>
        <w:t> </w:t>
      </w:r>
      <w:r>
        <w:rPr>
          <w:i/>
          <w:sz w:val="21"/>
        </w:rPr>
        <w:t>with poor</w:t>
      </w:r>
      <w:r>
        <w:rPr>
          <w:i/>
          <w:spacing w:val="-25"/>
          <w:sz w:val="21"/>
        </w:rPr>
        <w:t> </w:t>
      </w:r>
      <w:r>
        <w:rPr>
          <w:i/>
          <w:sz w:val="21"/>
        </w:rPr>
        <w:t>judgement</w:t>
      </w:r>
      <w:r>
        <w:rPr>
          <w:i/>
          <w:spacing w:val="-24"/>
          <w:sz w:val="21"/>
        </w:rPr>
        <w:t> </w:t>
      </w:r>
      <w:r>
        <w:rPr>
          <w:i/>
          <w:sz w:val="21"/>
        </w:rPr>
        <w:t>and</w:t>
      </w:r>
      <w:r>
        <w:rPr>
          <w:i/>
          <w:spacing w:val="-25"/>
          <w:sz w:val="21"/>
        </w:rPr>
        <w:t> </w:t>
      </w:r>
      <w:r>
        <w:rPr>
          <w:i/>
          <w:sz w:val="21"/>
        </w:rPr>
        <w:t>no</w:t>
      </w:r>
      <w:r>
        <w:rPr>
          <w:i/>
          <w:spacing w:val="-25"/>
          <w:sz w:val="21"/>
        </w:rPr>
        <w:t> </w:t>
      </w:r>
      <w:r>
        <w:rPr>
          <w:i/>
          <w:sz w:val="21"/>
        </w:rPr>
        <w:t>insight.</w:t>
      </w:r>
      <w:r>
        <w:rPr>
          <w:i/>
          <w:spacing w:val="-25"/>
          <w:sz w:val="21"/>
        </w:rPr>
        <w:t> </w:t>
      </w:r>
      <w:r>
        <w:rPr>
          <w:i/>
          <w:sz w:val="21"/>
        </w:rPr>
        <w:t>He</w:t>
      </w:r>
      <w:r>
        <w:rPr>
          <w:i/>
          <w:spacing w:val="-25"/>
          <w:sz w:val="21"/>
        </w:rPr>
        <w:t> </w:t>
      </w:r>
      <w:r>
        <w:rPr>
          <w:i/>
          <w:sz w:val="21"/>
        </w:rPr>
        <w:t>was</w:t>
      </w:r>
      <w:r>
        <w:rPr>
          <w:i/>
          <w:spacing w:val="-25"/>
          <w:sz w:val="21"/>
        </w:rPr>
        <w:t> </w:t>
      </w:r>
      <w:r>
        <w:rPr>
          <w:i/>
          <w:sz w:val="21"/>
        </w:rPr>
        <w:t>readmitted</w:t>
      </w:r>
      <w:r>
        <w:rPr>
          <w:i/>
          <w:spacing w:val="-25"/>
          <w:sz w:val="21"/>
        </w:rPr>
        <w:t> </w:t>
      </w:r>
      <w:r>
        <w:rPr>
          <w:i/>
          <w:sz w:val="21"/>
        </w:rPr>
        <w:t>to</w:t>
      </w:r>
      <w:r>
        <w:rPr>
          <w:i/>
          <w:spacing w:val="-24"/>
          <w:sz w:val="21"/>
        </w:rPr>
        <w:t> </w:t>
      </w:r>
      <w:r>
        <w:rPr>
          <w:i/>
          <w:sz w:val="21"/>
        </w:rPr>
        <w:t>hospital</w:t>
      </w:r>
      <w:r>
        <w:rPr>
          <w:i/>
          <w:spacing w:val="-25"/>
          <w:sz w:val="21"/>
        </w:rPr>
        <w:t> </w:t>
      </w:r>
      <w:r>
        <w:rPr>
          <w:i/>
          <w:sz w:val="21"/>
        </w:rPr>
        <w:t>and</w:t>
      </w:r>
      <w:r>
        <w:rPr>
          <w:i/>
          <w:spacing w:val="-25"/>
          <w:sz w:val="21"/>
        </w:rPr>
        <w:t> </w:t>
      </w:r>
      <w:r>
        <w:rPr>
          <w:i/>
          <w:sz w:val="21"/>
        </w:rPr>
        <w:t>commenced</w:t>
      </w:r>
      <w:r>
        <w:rPr>
          <w:i/>
          <w:spacing w:val="-25"/>
          <w:sz w:val="21"/>
        </w:rPr>
        <w:t> </w:t>
      </w:r>
      <w:r>
        <w:rPr>
          <w:i/>
          <w:sz w:val="21"/>
        </w:rPr>
        <w:t>on</w:t>
      </w:r>
      <w:r>
        <w:rPr>
          <w:i/>
          <w:spacing w:val="-25"/>
          <w:sz w:val="21"/>
        </w:rPr>
        <w:t> </w:t>
      </w:r>
      <w:r>
        <w:rPr>
          <w:i/>
          <w:sz w:val="21"/>
        </w:rPr>
        <w:t>a</w:t>
      </w:r>
      <w:r>
        <w:rPr>
          <w:i/>
          <w:spacing w:val="-24"/>
          <w:sz w:val="21"/>
        </w:rPr>
        <w:t> </w:t>
      </w:r>
      <w:r>
        <w:rPr>
          <w:i/>
          <w:sz w:val="21"/>
        </w:rPr>
        <w:t>depot</w:t>
      </w:r>
      <w:r>
        <w:rPr>
          <w:i/>
          <w:spacing w:val="-25"/>
          <w:sz w:val="21"/>
        </w:rPr>
        <w:t> </w:t>
      </w:r>
      <w:r>
        <w:rPr>
          <w:i/>
          <w:sz w:val="21"/>
        </w:rPr>
        <w:t>anti- </w:t>
      </w:r>
      <w:r>
        <w:rPr>
          <w:i/>
          <w:w w:val="95"/>
          <w:sz w:val="21"/>
        </w:rPr>
        <w:t>psychotic</w:t>
      </w:r>
      <w:r>
        <w:rPr>
          <w:i/>
          <w:spacing w:val="-5"/>
          <w:w w:val="95"/>
          <w:sz w:val="21"/>
        </w:rPr>
        <w:t> </w:t>
      </w:r>
      <w:r>
        <w:rPr>
          <w:i/>
          <w:w w:val="95"/>
          <w:sz w:val="21"/>
        </w:rPr>
        <w:t>medication.</w:t>
      </w:r>
    </w:p>
    <w:p>
      <w:pPr>
        <w:pStyle w:val="BodyText"/>
        <w:rPr>
          <w:i/>
          <w:sz w:val="23"/>
        </w:rPr>
      </w:pPr>
    </w:p>
    <w:p>
      <w:pPr>
        <w:pStyle w:val="BodyText"/>
        <w:spacing w:line="237" w:lineRule="auto"/>
        <w:ind w:left="120" w:right="108"/>
        <w:jc w:val="both"/>
      </w:pPr>
      <w:r>
        <w:rPr/>
        <w:t>At</w:t>
      </w:r>
      <w:r>
        <w:rPr>
          <w:spacing w:val="-21"/>
        </w:rPr>
        <w:t> </w:t>
      </w:r>
      <w:r>
        <w:rPr/>
        <w:t>other</w:t>
      </w:r>
      <w:r>
        <w:rPr>
          <w:spacing w:val="-21"/>
        </w:rPr>
        <w:t> </w:t>
      </w:r>
      <w:r>
        <w:rPr/>
        <w:t>times,</w:t>
      </w:r>
      <w:r>
        <w:rPr>
          <w:spacing w:val="-21"/>
        </w:rPr>
        <w:t> </w:t>
      </w:r>
      <w:r>
        <w:rPr/>
        <w:t>an</w:t>
      </w:r>
      <w:r>
        <w:rPr>
          <w:spacing w:val="-21"/>
        </w:rPr>
        <w:t> </w:t>
      </w:r>
      <w:r>
        <w:rPr/>
        <w:t>alleged</w:t>
      </w:r>
      <w:r>
        <w:rPr>
          <w:spacing w:val="-21"/>
        </w:rPr>
        <w:t> </w:t>
      </w:r>
      <w:r>
        <w:rPr/>
        <w:t>lack</w:t>
      </w:r>
      <w:r>
        <w:rPr>
          <w:spacing w:val="-21"/>
        </w:rPr>
        <w:t> </w:t>
      </w:r>
      <w:r>
        <w:rPr/>
        <w:t>of</w:t>
      </w:r>
      <w:r>
        <w:rPr>
          <w:spacing w:val="-21"/>
        </w:rPr>
        <w:t> </w:t>
      </w:r>
      <w:r>
        <w:rPr/>
        <w:t>capacity</w:t>
      </w:r>
      <w:r>
        <w:rPr>
          <w:spacing w:val="-21"/>
        </w:rPr>
        <w:t> </w:t>
      </w:r>
      <w:r>
        <w:rPr/>
        <w:t>was</w:t>
      </w:r>
      <w:r>
        <w:rPr>
          <w:spacing w:val="-21"/>
        </w:rPr>
        <w:t> </w:t>
      </w:r>
      <w:r>
        <w:rPr/>
        <w:t>used</w:t>
      </w:r>
      <w:r>
        <w:rPr>
          <w:spacing w:val="-21"/>
        </w:rPr>
        <w:t> </w:t>
      </w:r>
      <w:r>
        <w:rPr/>
        <w:t>to</w:t>
      </w:r>
      <w:r>
        <w:rPr>
          <w:spacing w:val="-22"/>
        </w:rPr>
        <w:t> </w:t>
      </w:r>
      <w:r>
        <w:rPr/>
        <w:t>explain</w:t>
      </w:r>
      <w:r>
        <w:rPr>
          <w:spacing w:val="-21"/>
        </w:rPr>
        <w:t> </w:t>
      </w:r>
      <w:r>
        <w:rPr/>
        <w:t>why</w:t>
      </w:r>
      <w:r>
        <w:rPr>
          <w:spacing w:val="-21"/>
        </w:rPr>
        <w:t> </w:t>
      </w:r>
      <w:r>
        <w:rPr/>
        <w:t>the</w:t>
      </w:r>
      <w:r>
        <w:rPr>
          <w:spacing w:val="-21"/>
        </w:rPr>
        <w:t> </w:t>
      </w:r>
      <w:r>
        <w:rPr/>
        <w:t>Tribunal</w:t>
      </w:r>
      <w:r>
        <w:rPr>
          <w:spacing w:val="-21"/>
        </w:rPr>
        <w:t> </w:t>
      </w:r>
      <w:r>
        <w:rPr/>
        <w:t>believed that</w:t>
      </w:r>
      <w:r>
        <w:rPr>
          <w:spacing w:val="-17"/>
        </w:rPr>
        <w:t> </w:t>
      </w:r>
      <w:r>
        <w:rPr/>
        <w:t>a</w:t>
      </w:r>
      <w:r>
        <w:rPr>
          <w:spacing w:val="-17"/>
        </w:rPr>
        <w:t> </w:t>
      </w:r>
      <w:r>
        <w:rPr/>
        <w:t>person</w:t>
      </w:r>
      <w:r>
        <w:rPr>
          <w:spacing w:val="-18"/>
        </w:rPr>
        <w:t> </w:t>
      </w:r>
      <w:r>
        <w:rPr/>
        <w:t>needed</w:t>
      </w:r>
      <w:r>
        <w:rPr>
          <w:spacing w:val="-18"/>
        </w:rPr>
        <w:t> </w:t>
      </w:r>
      <w:r>
        <w:rPr/>
        <w:t>treatment</w:t>
      </w:r>
      <w:r>
        <w:rPr>
          <w:spacing w:val="-17"/>
        </w:rPr>
        <w:t> </w:t>
      </w:r>
      <w:r>
        <w:rPr/>
        <w:t>to</w:t>
      </w:r>
      <w:r>
        <w:rPr>
          <w:spacing w:val="-17"/>
        </w:rPr>
        <w:t> </w:t>
      </w:r>
      <w:r>
        <w:rPr/>
        <w:t>prevent</w:t>
      </w:r>
      <w:r>
        <w:rPr>
          <w:spacing w:val="-18"/>
        </w:rPr>
        <w:t> </w:t>
      </w:r>
      <w:r>
        <w:rPr/>
        <w:t>harm</w:t>
      </w:r>
      <w:r>
        <w:rPr>
          <w:spacing w:val="-17"/>
        </w:rPr>
        <w:t> </w:t>
      </w:r>
      <w:r>
        <w:rPr/>
        <w:t>to</w:t>
      </w:r>
      <w:r>
        <w:rPr>
          <w:spacing w:val="-17"/>
        </w:rPr>
        <w:t> </w:t>
      </w:r>
      <w:r>
        <w:rPr/>
        <w:t>themselves</w:t>
      </w:r>
      <w:r>
        <w:rPr>
          <w:spacing w:val="-18"/>
        </w:rPr>
        <w:t> </w:t>
      </w:r>
      <w:r>
        <w:rPr/>
        <w:t>or</w:t>
      </w:r>
      <w:r>
        <w:rPr>
          <w:spacing w:val="-17"/>
        </w:rPr>
        <w:t> </w:t>
      </w:r>
      <w:r>
        <w:rPr/>
        <w:t>others,</w:t>
      </w:r>
      <w:r>
        <w:rPr>
          <w:spacing w:val="-17"/>
        </w:rPr>
        <w:t> </w:t>
      </w:r>
      <w:r>
        <w:rPr/>
        <w:t>and</w:t>
      </w:r>
      <w:r>
        <w:rPr>
          <w:spacing w:val="-18"/>
        </w:rPr>
        <w:t> </w:t>
      </w:r>
      <w:r>
        <w:rPr/>
        <w:t>therefore meet the second treatment criterion. For example, in </w:t>
      </w:r>
      <w:r>
        <w:rPr>
          <w:i/>
          <w:sz w:val="25"/>
        </w:rPr>
        <w:t>UKR</w:t>
      </w:r>
      <w:hyperlink w:history="true" w:anchor="_bookmark53">
        <w:r>
          <w:rPr>
            <w:i/>
            <w:position w:val="8"/>
            <w:sz w:val="17"/>
          </w:rPr>
          <w:t>52</w:t>
        </w:r>
      </w:hyperlink>
      <w:r>
        <w:rPr/>
        <w:t>, the Tribunal heard that UKR’s ‘beliefs about how he would be cared for were driven by his persecutory delusions, and he did not have capacity to make decisions of this kind.’ Similarly, reduced decision-making capacity was used to explain why less restrictive treatment was not available, in </w:t>
      </w:r>
      <w:r>
        <w:rPr>
          <w:i/>
          <w:sz w:val="25"/>
        </w:rPr>
        <w:t>TBH</w:t>
      </w:r>
      <w:hyperlink w:history="true" w:anchor="_bookmark54">
        <w:r>
          <w:rPr>
            <w:i/>
            <w:position w:val="8"/>
            <w:sz w:val="17"/>
          </w:rPr>
          <w:t>53</w:t>
        </w:r>
      </w:hyperlink>
      <w:r>
        <w:rPr/>
        <w:t>, where the Tribunal decided TBH could not be treated</w:t>
      </w:r>
      <w:r>
        <w:rPr>
          <w:spacing w:val="-33"/>
        </w:rPr>
        <w:t> </w:t>
      </w:r>
      <w:r>
        <w:rPr/>
        <w:t>less restrictively, amongst other considerations, due</w:t>
      </w:r>
      <w:r>
        <w:rPr>
          <w:spacing w:val="-20"/>
        </w:rPr>
        <w:t> </w:t>
      </w:r>
      <w:r>
        <w:rPr/>
        <w:t>to:</w:t>
      </w:r>
    </w:p>
    <w:p>
      <w:pPr>
        <w:pStyle w:val="BodyText"/>
        <w:spacing w:before="4"/>
        <w:rPr>
          <w:sz w:val="23"/>
        </w:rPr>
      </w:pPr>
    </w:p>
    <w:p>
      <w:pPr>
        <w:spacing w:line="228" w:lineRule="auto" w:before="0"/>
        <w:ind w:left="687" w:right="109" w:firstLine="0"/>
        <w:jc w:val="both"/>
        <w:rPr>
          <w:i/>
          <w:sz w:val="21"/>
        </w:rPr>
      </w:pPr>
      <w:r>
        <w:rPr>
          <w:i/>
          <w:sz w:val="21"/>
        </w:rPr>
        <w:t>…the</w:t>
      </w:r>
      <w:r>
        <w:rPr>
          <w:i/>
          <w:spacing w:val="-33"/>
          <w:sz w:val="21"/>
        </w:rPr>
        <w:t> </w:t>
      </w:r>
      <w:r>
        <w:rPr>
          <w:i/>
          <w:sz w:val="21"/>
        </w:rPr>
        <w:t>fact</w:t>
      </w:r>
      <w:r>
        <w:rPr>
          <w:i/>
          <w:spacing w:val="-33"/>
          <w:sz w:val="21"/>
        </w:rPr>
        <w:t> </w:t>
      </w:r>
      <w:r>
        <w:rPr>
          <w:i/>
          <w:sz w:val="21"/>
        </w:rPr>
        <w:t>that</w:t>
      </w:r>
      <w:r>
        <w:rPr>
          <w:i/>
          <w:spacing w:val="-33"/>
          <w:sz w:val="21"/>
        </w:rPr>
        <w:t> </w:t>
      </w:r>
      <w:r>
        <w:rPr>
          <w:i/>
          <w:sz w:val="21"/>
        </w:rPr>
        <w:t>TBH</w:t>
      </w:r>
      <w:r>
        <w:rPr>
          <w:i/>
          <w:spacing w:val="-33"/>
          <w:sz w:val="21"/>
        </w:rPr>
        <w:t> </w:t>
      </w:r>
      <w:r>
        <w:rPr>
          <w:i/>
          <w:sz w:val="21"/>
        </w:rPr>
        <w:t>is</w:t>
      </w:r>
      <w:r>
        <w:rPr>
          <w:i/>
          <w:spacing w:val="-33"/>
          <w:sz w:val="21"/>
        </w:rPr>
        <w:t> </w:t>
      </w:r>
      <w:r>
        <w:rPr>
          <w:i/>
          <w:sz w:val="21"/>
        </w:rPr>
        <w:t>currently</w:t>
      </w:r>
      <w:r>
        <w:rPr>
          <w:i/>
          <w:spacing w:val="-34"/>
          <w:sz w:val="21"/>
        </w:rPr>
        <w:t> </w:t>
      </w:r>
      <w:r>
        <w:rPr>
          <w:i/>
          <w:sz w:val="21"/>
        </w:rPr>
        <w:t>still</w:t>
      </w:r>
      <w:r>
        <w:rPr>
          <w:i/>
          <w:spacing w:val="-34"/>
          <w:sz w:val="21"/>
        </w:rPr>
        <w:t> </w:t>
      </w:r>
      <w:r>
        <w:rPr>
          <w:i/>
          <w:sz w:val="21"/>
        </w:rPr>
        <w:t>quite</w:t>
      </w:r>
      <w:r>
        <w:rPr>
          <w:i/>
          <w:spacing w:val="-34"/>
          <w:sz w:val="21"/>
        </w:rPr>
        <w:t> </w:t>
      </w:r>
      <w:r>
        <w:rPr>
          <w:i/>
          <w:sz w:val="21"/>
        </w:rPr>
        <w:t>mentally</w:t>
      </w:r>
      <w:r>
        <w:rPr>
          <w:i/>
          <w:spacing w:val="-34"/>
          <w:sz w:val="21"/>
        </w:rPr>
        <w:t> </w:t>
      </w:r>
      <w:r>
        <w:rPr>
          <w:i/>
          <w:sz w:val="21"/>
        </w:rPr>
        <w:t>unwell</w:t>
      </w:r>
      <w:r>
        <w:rPr>
          <w:i/>
          <w:spacing w:val="-34"/>
          <w:sz w:val="21"/>
        </w:rPr>
        <w:t> </w:t>
      </w:r>
      <w:r>
        <w:rPr>
          <w:i/>
          <w:sz w:val="21"/>
        </w:rPr>
        <w:t>and</w:t>
      </w:r>
      <w:r>
        <w:rPr>
          <w:i/>
          <w:spacing w:val="-34"/>
          <w:sz w:val="21"/>
        </w:rPr>
        <w:t> </w:t>
      </w:r>
      <w:r>
        <w:rPr>
          <w:i/>
          <w:sz w:val="21"/>
        </w:rPr>
        <w:t>vulnerable,</w:t>
      </w:r>
      <w:r>
        <w:rPr>
          <w:i/>
          <w:spacing w:val="-34"/>
          <w:sz w:val="21"/>
        </w:rPr>
        <w:t> </w:t>
      </w:r>
      <w:r>
        <w:rPr>
          <w:i/>
          <w:sz w:val="21"/>
        </w:rPr>
        <w:t>and</w:t>
      </w:r>
      <w:r>
        <w:rPr>
          <w:i/>
          <w:spacing w:val="-34"/>
          <w:sz w:val="21"/>
        </w:rPr>
        <w:t> </w:t>
      </w:r>
      <w:r>
        <w:rPr>
          <w:i/>
          <w:sz w:val="21"/>
        </w:rPr>
        <w:t>not</w:t>
      </w:r>
      <w:r>
        <w:rPr>
          <w:i/>
          <w:spacing w:val="-34"/>
          <w:sz w:val="21"/>
        </w:rPr>
        <w:t> </w:t>
      </w:r>
      <w:r>
        <w:rPr>
          <w:i/>
          <w:sz w:val="21"/>
        </w:rPr>
        <w:t>in</w:t>
      </w:r>
      <w:r>
        <w:rPr>
          <w:i/>
          <w:spacing w:val="-34"/>
          <w:sz w:val="21"/>
        </w:rPr>
        <w:t> </w:t>
      </w:r>
      <w:r>
        <w:rPr>
          <w:i/>
          <w:sz w:val="21"/>
        </w:rPr>
        <w:t>a</w:t>
      </w:r>
      <w:r>
        <w:rPr>
          <w:i/>
          <w:spacing w:val="-33"/>
          <w:sz w:val="21"/>
        </w:rPr>
        <w:t> </w:t>
      </w:r>
      <w:r>
        <w:rPr>
          <w:i/>
          <w:sz w:val="21"/>
        </w:rPr>
        <w:t>fit</w:t>
      </w:r>
      <w:r>
        <w:rPr>
          <w:i/>
          <w:spacing w:val="-33"/>
          <w:sz w:val="21"/>
        </w:rPr>
        <w:t> </w:t>
      </w:r>
      <w:r>
        <w:rPr>
          <w:i/>
          <w:sz w:val="21"/>
        </w:rPr>
        <w:t>condition to</w:t>
      </w:r>
      <w:r>
        <w:rPr>
          <w:i/>
          <w:spacing w:val="-14"/>
          <w:sz w:val="21"/>
        </w:rPr>
        <w:t> </w:t>
      </w:r>
      <w:r>
        <w:rPr>
          <w:i/>
          <w:sz w:val="21"/>
        </w:rPr>
        <w:t>make</w:t>
      </w:r>
      <w:r>
        <w:rPr>
          <w:i/>
          <w:spacing w:val="-14"/>
          <w:sz w:val="21"/>
        </w:rPr>
        <w:t> </w:t>
      </w:r>
      <w:r>
        <w:rPr>
          <w:i/>
          <w:sz w:val="21"/>
        </w:rPr>
        <w:t>his</w:t>
      </w:r>
      <w:r>
        <w:rPr>
          <w:i/>
          <w:spacing w:val="-15"/>
          <w:sz w:val="21"/>
        </w:rPr>
        <w:t> </w:t>
      </w:r>
      <w:r>
        <w:rPr>
          <w:i/>
          <w:sz w:val="21"/>
        </w:rPr>
        <w:t>own</w:t>
      </w:r>
      <w:r>
        <w:rPr>
          <w:i/>
          <w:spacing w:val="-14"/>
          <w:sz w:val="21"/>
        </w:rPr>
        <w:t> </w:t>
      </w:r>
      <w:r>
        <w:rPr>
          <w:i/>
          <w:sz w:val="21"/>
        </w:rPr>
        <w:t>considered</w:t>
      </w:r>
      <w:r>
        <w:rPr>
          <w:i/>
          <w:spacing w:val="-15"/>
          <w:sz w:val="21"/>
        </w:rPr>
        <w:t> </w:t>
      </w:r>
      <w:r>
        <w:rPr>
          <w:i/>
          <w:sz w:val="21"/>
        </w:rPr>
        <w:t>decision</w:t>
      </w:r>
      <w:r>
        <w:rPr>
          <w:i/>
          <w:spacing w:val="-14"/>
          <w:sz w:val="21"/>
        </w:rPr>
        <w:t> </w:t>
      </w:r>
      <w:r>
        <w:rPr>
          <w:i/>
          <w:sz w:val="21"/>
        </w:rPr>
        <w:t>about</w:t>
      </w:r>
      <w:r>
        <w:rPr>
          <w:i/>
          <w:spacing w:val="-14"/>
          <w:sz w:val="21"/>
        </w:rPr>
        <w:t> </w:t>
      </w:r>
      <w:r>
        <w:rPr>
          <w:i/>
          <w:sz w:val="21"/>
        </w:rPr>
        <w:t>whether</w:t>
      </w:r>
      <w:r>
        <w:rPr>
          <w:i/>
          <w:spacing w:val="-15"/>
          <w:sz w:val="21"/>
        </w:rPr>
        <w:t> </w:t>
      </w:r>
      <w:r>
        <w:rPr>
          <w:i/>
          <w:sz w:val="21"/>
        </w:rPr>
        <w:t>to</w:t>
      </w:r>
      <w:r>
        <w:rPr>
          <w:i/>
          <w:spacing w:val="-14"/>
          <w:sz w:val="21"/>
        </w:rPr>
        <w:t> </w:t>
      </w:r>
      <w:r>
        <w:rPr>
          <w:i/>
          <w:sz w:val="21"/>
        </w:rPr>
        <w:t>travel</w:t>
      </w:r>
      <w:r>
        <w:rPr>
          <w:i/>
          <w:spacing w:val="-15"/>
          <w:sz w:val="21"/>
        </w:rPr>
        <w:t> </w:t>
      </w:r>
      <w:r>
        <w:rPr>
          <w:i/>
          <w:sz w:val="21"/>
        </w:rPr>
        <w:t>overseas</w:t>
      </w:r>
      <w:r>
        <w:rPr>
          <w:i/>
          <w:spacing w:val="-15"/>
          <w:sz w:val="21"/>
        </w:rPr>
        <w:t> </w:t>
      </w:r>
      <w:r>
        <w:rPr>
          <w:i/>
          <w:sz w:val="21"/>
        </w:rPr>
        <w:t>away</w:t>
      </w:r>
      <w:r>
        <w:rPr>
          <w:i/>
          <w:spacing w:val="-14"/>
          <w:sz w:val="21"/>
        </w:rPr>
        <w:t> </w:t>
      </w:r>
      <w:r>
        <w:rPr>
          <w:i/>
          <w:sz w:val="21"/>
        </w:rPr>
        <w:t>from</w:t>
      </w:r>
      <w:r>
        <w:rPr>
          <w:i/>
          <w:spacing w:val="-14"/>
          <w:sz w:val="21"/>
        </w:rPr>
        <w:t> </w:t>
      </w:r>
      <w:r>
        <w:rPr>
          <w:i/>
          <w:sz w:val="21"/>
        </w:rPr>
        <w:t>his</w:t>
      </w:r>
      <w:r>
        <w:rPr>
          <w:i/>
          <w:spacing w:val="-15"/>
          <w:sz w:val="21"/>
        </w:rPr>
        <w:t> </w:t>
      </w:r>
      <w:r>
        <w:rPr>
          <w:i/>
          <w:sz w:val="21"/>
        </w:rPr>
        <w:t>wife</w:t>
      </w:r>
      <w:r>
        <w:rPr>
          <w:i/>
          <w:spacing w:val="-15"/>
          <w:sz w:val="21"/>
        </w:rPr>
        <w:t> </w:t>
      </w:r>
      <w:r>
        <w:rPr>
          <w:i/>
          <w:sz w:val="21"/>
        </w:rPr>
        <w:t>and children;</w:t>
      </w:r>
      <w:r>
        <w:rPr>
          <w:i/>
          <w:spacing w:val="-27"/>
          <w:sz w:val="21"/>
        </w:rPr>
        <w:t> </w:t>
      </w:r>
      <w:r>
        <w:rPr>
          <w:i/>
          <w:sz w:val="21"/>
        </w:rPr>
        <w:t>and</w:t>
      </w:r>
      <w:r>
        <w:rPr>
          <w:i/>
          <w:spacing w:val="-29"/>
          <w:sz w:val="21"/>
        </w:rPr>
        <w:t> </w:t>
      </w:r>
      <w:r>
        <w:rPr>
          <w:i/>
          <w:sz w:val="21"/>
        </w:rPr>
        <w:t>the</w:t>
      </w:r>
      <w:r>
        <w:rPr>
          <w:i/>
          <w:spacing w:val="-27"/>
          <w:sz w:val="21"/>
        </w:rPr>
        <w:t> </w:t>
      </w:r>
      <w:r>
        <w:rPr>
          <w:i/>
          <w:sz w:val="21"/>
        </w:rPr>
        <w:t>fact</w:t>
      </w:r>
      <w:r>
        <w:rPr>
          <w:i/>
          <w:spacing w:val="-27"/>
          <w:sz w:val="21"/>
        </w:rPr>
        <w:t> </w:t>
      </w:r>
      <w:r>
        <w:rPr>
          <w:i/>
          <w:sz w:val="21"/>
        </w:rPr>
        <w:t>that</w:t>
      </w:r>
      <w:r>
        <w:rPr>
          <w:i/>
          <w:spacing w:val="-29"/>
          <w:sz w:val="21"/>
        </w:rPr>
        <w:t> </w:t>
      </w:r>
      <w:r>
        <w:rPr>
          <w:i/>
          <w:sz w:val="21"/>
        </w:rPr>
        <w:t>TBH</w:t>
      </w:r>
      <w:r>
        <w:rPr>
          <w:i/>
          <w:spacing w:val="-27"/>
          <w:sz w:val="21"/>
        </w:rPr>
        <w:t> </w:t>
      </w:r>
      <w:r>
        <w:rPr>
          <w:i/>
          <w:sz w:val="21"/>
        </w:rPr>
        <w:t>is</w:t>
      </w:r>
      <w:r>
        <w:rPr>
          <w:i/>
          <w:spacing w:val="-27"/>
          <w:sz w:val="21"/>
        </w:rPr>
        <w:t> </w:t>
      </w:r>
      <w:r>
        <w:rPr>
          <w:i/>
          <w:sz w:val="21"/>
        </w:rPr>
        <w:t>currently</w:t>
      </w:r>
      <w:r>
        <w:rPr>
          <w:i/>
          <w:spacing w:val="-27"/>
          <w:sz w:val="21"/>
        </w:rPr>
        <w:t> </w:t>
      </w:r>
      <w:r>
        <w:rPr>
          <w:i/>
          <w:sz w:val="21"/>
        </w:rPr>
        <w:t>suffering</w:t>
      </w:r>
      <w:r>
        <w:rPr>
          <w:i/>
          <w:spacing w:val="-29"/>
          <w:sz w:val="21"/>
        </w:rPr>
        <w:t> </w:t>
      </w:r>
      <w:r>
        <w:rPr>
          <w:i/>
          <w:sz w:val="21"/>
        </w:rPr>
        <w:t>from</w:t>
      </w:r>
      <w:r>
        <w:rPr>
          <w:i/>
          <w:spacing w:val="-27"/>
          <w:sz w:val="21"/>
        </w:rPr>
        <w:t> </w:t>
      </w:r>
      <w:r>
        <w:rPr>
          <w:i/>
          <w:sz w:val="21"/>
        </w:rPr>
        <w:t>delusional</w:t>
      </w:r>
      <w:r>
        <w:rPr>
          <w:i/>
          <w:spacing w:val="-27"/>
          <w:sz w:val="21"/>
        </w:rPr>
        <w:t> </w:t>
      </w:r>
      <w:r>
        <w:rPr>
          <w:i/>
          <w:sz w:val="21"/>
        </w:rPr>
        <w:t>beliefs</w:t>
      </w:r>
      <w:r>
        <w:rPr>
          <w:i/>
          <w:spacing w:val="-28"/>
          <w:sz w:val="21"/>
        </w:rPr>
        <w:t> </w:t>
      </w:r>
      <w:r>
        <w:rPr>
          <w:i/>
          <w:sz w:val="21"/>
        </w:rPr>
        <w:t>about</w:t>
      </w:r>
      <w:r>
        <w:rPr>
          <w:i/>
          <w:spacing w:val="-27"/>
          <w:sz w:val="21"/>
        </w:rPr>
        <w:t> </w:t>
      </w:r>
      <w:r>
        <w:rPr>
          <w:i/>
          <w:sz w:val="21"/>
        </w:rPr>
        <w:t>his</w:t>
      </w:r>
      <w:r>
        <w:rPr>
          <w:i/>
          <w:spacing w:val="-28"/>
          <w:sz w:val="21"/>
        </w:rPr>
        <w:t> </w:t>
      </w:r>
      <w:r>
        <w:rPr>
          <w:i/>
          <w:sz w:val="21"/>
        </w:rPr>
        <w:t>wife</w:t>
      </w:r>
      <w:r>
        <w:rPr>
          <w:i/>
          <w:spacing w:val="-28"/>
          <w:sz w:val="21"/>
        </w:rPr>
        <w:t> </w:t>
      </w:r>
      <w:r>
        <w:rPr>
          <w:i/>
          <w:sz w:val="21"/>
        </w:rPr>
        <w:t>which might</w:t>
      </w:r>
      <w:r>
        <w:rPr>
          <w:i/>
          <w:spacing w:val="-36"/>
          <w:sz w:val="21"/>
        </w:rPr>
        <w:t> </w:t>
      </w:r>
      <w:r>
        <w:rPr>
          <w:i/>
          <w:sz w:val="21"/>
        </w:rPr>
        <w:t>impact</w:t>
      </w:r>
      <w:r>
        <w:rPr>
          <w:i/>
          <w:spacing w:val="-37"/>
          <w:sz w:val="21"/>
        </w:rPr>
        <w:t> </w:t>
      </w:r>
      <w:r>
        <w:rPr>
          <w:i/>
          <w:sz w:val="21"/>
        </w:rPr>
        <w:t>on</w:t>
      </w:r>
      <w:r>
        <w:rPr>
          <w:i/>
          <w:spacing w:val="-37"/>
          <w:sz w:val="21"/>
        </w:rPr>
        <w:t> </w:t>
      </w:r>
      <w:r>
        <w:rPr>
          <w:i/>
          <w:sz w:val="21"/>
        </w:rPr>
        <w:t>his</w:t>
      </w:r>
      <w:r>
        <w:rPr>
          <w:i/>
          <w:spacing w:val="-36"/>
          <w:sz w:val="21"/>
        </w:rPr>
        <w:t> </w:t>
      </w:r>
      <w:r>
        <w:rPr>
          <w:i/>
          <w:sz w:val="21"/>
        </w:rPr>
        <w:t>decision</w:t>
      </w:r>
      <w:r>
        <w:rPr>
          <w:i/>
          <w:spacing w:val="-37"/>
          <w:sz w:val="21"/>
        </w:rPr>
        <w:t> </w:t>
      </w:r>
      <w:r>
        <w:rPr>
          <w:i/>
          <w:sz w:val="21"/>
        </w:rPr>
        <w:t>making.</w:t>
      </w:r>
    </w:p>
    <w:p>
      <w:pPr>
        <w:pStyle w:val="BodyText"/>
        <w:spacing w:before="3"/>
        <w:rPr>
          <w:i/>
          <w:sz w:val="22"/>
        </w:rPr>
      </w:pPr>
    </w:p>
    <w:p>
      <w:pPr>
        <w:pStyle w:val="BodyText"/>
        <w:spacing w:line="237" w:lineRule="auto"/>
        <w:ind w:left="120" w:right="108"/>
        <w:jc w:val="both"/>
      </w:pPr>
      <w:r>
        <w:rPr/>
        <w:t>As in </w:t>
      </w:r>
      <w:r>
        <w:rPr>
          <w:i/>
          <w:sz w:val="25"/>
        </w:rPr>
        <w:t>TLX, </w:t>
      </w:r>
      <w:r>
        <w:rPr/>
        <w:t>this was often related to the notion of insight, which was highlighted in the Group 3 cases of the first study. Considering the need for immediate treatment in </w:t>
      </w:r>
      <w:r>
        <w:rPr>
          <w:i/>
          <w:sz w:val="25"/>
        </w:rPr>
        <w:t>OFO</w:t>
      </w:r>
      <w:hyperlink w:history="true" w:anchor="_bookmark55">
        <w:r>
          <w:rPr>
            <w:i/>
            <w:position w:val="8"/>
            <w:sz w:val="17"/>
          </w:rPr>
          <w:t>54</w:t>
        </w:r>
      </w:hyperlink>
      <w:r>
        <w:rPr/>
        <w:t>, the Tribunal highlighted the connection between insight and consent, viewing insight as a perquisite to consent:</w:t>
      </w:r>
    </w:p>
    <w:p>
      <w:pPr>
        <w:pStyle w:val="BodyText"/>
        <w:spacing w:before="3"/>
        <w:rPr>
          <w:sz w:val="23"/>
        </w:rPr>
      </w:pPr>
    </w:p>
    <w:p>
      <w:pPr>
        <w:spacing w:line="228" w:lineRule="auto" w:before="1"/>
        <w:ind w:left="687" w:right="109" w:firstLine="0"/>
        <w:jc w:val="both"/>
        <w:rPr>
          <w:i/>
          <w:sz w:val="21"/>
        </w:rPr>
      </w:pPr>
      <w:r>
        <w:rPr>
          <w:i/>
          <w:sz w:val="21"/>
        </w:rPr>
        <w:t>OFO,</w:t>
      </w:r>
      <w:r>
        <w:rPr>
          <w:i/>
          <w:spacing w:val="-10"/>
          <w:sz w:val="21"/>
        </w:rPr>
        <w:t> </w:t>
      </w:r>
      <w:r>
        <w:rPr>
          <w:i/>
          <w:sz w:val="21"/>
        </w:rPr>
        <w:t>though</w:t>
      </w:r>
      <w:r>
        <w:rPr>
          <w:i/>
          <w:spacing w:val="-10"/>
          <w:sz w:val="21"/>
        </w:rPr>
        <w:t> </w:t>
      </w:r>
      <w:r>
        <w:rPr>
          <w:i/>
          <w:sz w:val="21"/>
        </w:rPr>
        <w:t>improved,</w:t>
      </w:r>
      <w:r>
        <w:rPr>
          <w:i/>
          <w:spacing w:val="-10"/>
          <w:sz w:val="21"/>
        </w:rPr>
        <w:t> </w:t>
      </w:r>
      <w:r>
        <w:rPr>
          <w:i/>
          <w:sz w:val="21"/>
        </w:rPr>
        <w:t>still</w:t>
      </w:r>
      <w:r>
        <w:rPr>
          <w:i/>
          <w:spacing w:val="-11"/>
          <w:sz w:val="21"/>
        </w:rPr>
        <w:t> </w:t>
      </w:r>
      <w:r>
        <w:rPr>
          <w:i/>
          <w:sz w:val="21"/>
        </w:rPr>
        <w:t>needs</w:t>
      </w:r>
      <w:r>
        <w:rPr>
          <w:i/>
          <w:spacing w:val="-10"/>
          <w:sz w:val="21"/>
        </w:rPr>
        <w:t> </w:t>
      </w:r>
      <w:r>
        <w:rPr>
          <w:i/>
          <w:sz w:val="21"/>
        </w:rPr>
        <w:t>some</w:t>
      </w:r>
      <w:r>
        <w:rPr>
          <w:i/>
          <w:spacing w:val="-10"/>
          <w:sz w:val="21"/>
        </w:rPr>
        <w:t> </w:t>
      </w:r>
      <w:r>
        <w:rPr>
          <w:i/>
          <w:sz w:val="21"/>
        </w:rPr>
        <w:t>assistance</w:t>
      </w:r>
      <w:r>
        <w:rPr>
          <w:i/>
          <w:spacing w:val="-10"/>
          <w:sz w:val="21"/>
        </w:rPr>
        <w:t> </w:t>
      </w:r>
      <w:r>
        <w:rPr>
          <w:i/>
          <w:sz w:val="21"/>
        </w:rPr>
        <w:t>with</w:t>
      </w:r>
      <w:r>
        <w:rPr>
          <w:i/>
          <w:spacing w:val="-10"/>
          <w:sz w:val="21"/>
        </w:rPr>
        <w:t> </w:t>
      </w:r>
      <w:r>
        <w:rPr>
          <w:i/>
          <w:sz w:val="21"/>
        </w:rPr>
        <w:t>residual</w:t>
      </w:r>
      <w:r>
        <w:rPr>
          <w:i/>
          <w:spacing w:val="-11"/>
          <w:sz w:val="21"/>
        </w:rPr>
        <w:t> </w:t>
      </w:r>
      <w:r>
        <w:rPr>
          <w:i/>
          <w:sz w:val="21"/>
        </w:rPr>
        <w:t>symptoms</w:t>
      </w:r>
      <w:r>
        <w:rPr>
          <w:i/>
          <w:spacing w:val="-10"/>
          <w:sz w:val="21"/>
        </w:rPr>
        <w:t> </w:t>
      </w:r>
      <w:r>
        <w:rPr>
          <w:i/>
          <w:sz w:val="21"/>
        </w:rPr>
        <w:t>and</w:t>
      </w:r>
      <w:r>
        <w:rPr>
          <w:i/>
          <w:spacing w:val="-11"/>
          <w:sz w:val="21"/>
        </w:rPr>
        <w:t> </w:t>
      </w:r>
      <w:r>
        <w:rPr>
          <w:i/>
          <w:sz w:val="21"/>
        </w:rPr>
        <w:t>indicated</w:t>
      </w:r>
      <w:r>
        <w:rPr>
          <w:i/>
          <w:spacing w:val="-11"/>
          <w:sz w:val="21"/>
        </w:rPr>
        <w:t> </w:t>
      </w:r>
      <w:r>
        <w:rPr>
          <w:i/>
          <w:sz w:val="21"/>
        </w:rPr>
        <w:t>her intention to co-operate with her general practitioner and the treating team in that regard. Presently, there is a need for immediate treatment to prevent a relapse and continue the improvement</w:t>
      </w:r>
      <w:r>
        <w:rPr>
          <w:i/>
          <w:spacing w:val="-22"/>
          <w:sz w:val="21"/>
        </w:rPr>
        <w:t> </w:t>
      </w:r>
      <w:r>
        <w:rPr>
          <w:i/>
          <w:sz w:val="21"/>
        </w:rPr>
        <w:t>made</w:t>
      </w:r>
      <w:r>
        <w:rPr>
          <w:i/>
          <w:spacing w:val="-21"/>
          <w:sz w:val="21"/>
        </w:rPr>
        <w:t> </w:t>
      </w:r>
      <w:r>
        <w:rPr>
          <w:i/>
          <w:sz w:val="21"/>
        </w:rPr>
        <w:t>and</w:t>
      </w:r>
      <w:r>
        <w:rPr>
          <w:i/>
          <w:spacing w:val="-22"/>
          <w:sz w:val="21"/>
        </w:rPr>
        <w:t> </w:t>
      </w:r>
      <w:r>
        <w:rPr>
          <w:i/>
          <w:sz w:val="21"/>
        </w:rPr>
        <w:t>OFO</w:t>
      </w:r>
      <w:r>
        <w:rPr>
          <w:i/>
          <w:spacing w:val="-21"/>
          <w:sz w:val="21"/>
        </w:rPr>
        <w:t> </w:t>
      </w:r>
      <w:r>
        <w:rPr>
          <w:i/>
          <w:sz w:val="21"/>
        </w:rPr>
        <w:t>is</w:t>
      </w:r>
      <w:r>
        <w:rPr>
          <w:i/>
          <w:spacing w:val="-21"/>
          <w:sz w:val="21"/>
        </w:rPr>
        <w:t> </w:t>
      </w:r>
      <w:r>
        <w:rPr>
          <w:i/>
          <w:sz w:val="21"/>
        </w:rPr>
        <w:t>receptive</w:t>
      </w:r>
      <w:r>
        <w:rPr>
          <w:i/>
          <w:spacing w:val="-21"/>
          <w:sz w:val="21"/>
        </w:rPr>
        <w:t> </w:t>
      </w:r>
      <w:r>
        <w:rPr>
          <w:i/>
          <w:sz w:val="21"/>
        </w:rPr>
        <w:t>to</w:t>
      </w:r>
      <w:r>
        <w:rPr>
          <w:i/>
          <w:spacing w:val="-21"/>
          <w:sz w:val="21"/>
        </w:rPr>
        <w:t> </w:t>
      </w:r>
      <w:r>
        <w:rPr>
          <w:i/>
          <w:sz w:val="21"/>
        </w:rPr>
        <w:t>the</w:t>
      </w:r>
      <w:r>
        <w:rPr>
          <w:i/>
          <w:spacing w:val="-21"/>
          <w:sz w:val="21"/>
        </w:rPr>
        <w:t> </w:t>
      </w:r>
      <w:r>
        <w:rPr>
          <w:i/>
          <w:sz w:val="21"/>
        </w:rPr>
        <w:t>need</w:t>
      </w:r>
      <w:r>
        <w:rPr>
          <w:i/>
          <w:spacing w:val="-23"/>
          <w:sz w:val="21"/>
        </w:rPr>
        <w:t> </w:t>
      </w:r>
      <w:r>
        <w:rPr>
          <w:i/>
          <w:sz w:val="21"/>
        </w:rPr>
        <w:t>for</w:t>
      </w:r>
      <w:r>
        <w:rPr>
          <w:i/>
          <w:spacing w:val="-22"/>
          <w:sz w:val="21"/>
        </w:rPr>
        <w:t> </w:t>
      </w:r>
      <w:r>
        <w:rPr>
          <w:i/>
          <w:sz w:val="21"/>
        </w:rPr>
        <w:t>such</w:t>
      </w:r>
      <w:r>
        <w:rPr>
          <w:i/>
          <w:spacing w:val="-21"/>
          <w:sz w:val="21"/>
        </w:rPr>
        <w:t> </w:t>
      </w:r>
      <w:r>
        <w:rPr>
          <w:i/>
          <w:sz w:val="21"/>
        </w:rPr>
        <w:t>treatment.</w:t>
      </w:r>
      <w:r>
        <w:rPr>
          <w:i/>
          <w:spacing w:val="-21"/>
          <w:sz w:val="21"/>
        </w:rPr>
        <w:t> </w:t>
      </w:r>
      <w:r>
        <w:rPr>
          <w:i/>
          <w:sz w:val="21"/>
        </w:rPr>
        <w:t>She</w:t>
      </w:r>
      <w:r>
        <w:rPr>
          <w:i/>
          <w:spacing w:val="-21"/>
          <w:sz w:val="21"/>
        </w:rPr>
        <w:t> </w:t>
      </w:r>
      <w:r>
        <w:rPr>
          <w:i/>
          <w:sz w:val="21"/>
        </w:rPr>
        <w:t>is</w:t>
      </w:r>
      <w:r>
        <w:rPr>
          <w:i/>
          <w:spacing w:val="-22"/>
          <w:sz w:val="21"/>
        </w:rPr>
        <w:t> </w:t>
      </w:r>
      <w:r>
        <w:rPr>
          <w:i/>
          <w:sz w:val="21"/>
        </w:rPr>
        <w:t>co-operative</w:t>
      </w:r>
      <w:r>
        <w:rPr>
          <w:i/>
          <w:spacing w:val="-22"/>
          <w:sz w:val="21"/>
        </w:rPr>
        <w:t> </w:t>
      </w:r>
      <w:r>
        <w:rPr>
          <w:i/>
          <w:sz w:val="21"/>
        </w:rPr>
        <w:t>to that</w:t>
      </w:r>
      <w:r>
        <w:rPr>
          <w:i/>
          <w:spacing w:val="-32"/>
          <w:sz w:val="21"/>
        </w:rPr>
        <w:t> </w:t>
      </w:r>
      <w:r>
        <w:rPr>
          <w:i/>
          <w:sz w:val="21"/>
        </w:rPr>
        <w:t>need</w:t>
      </w:r>
      <w:r>
        <w:rPr>
          <w:i/>
          <w:spacing w:val="-33"/>
          <w:sz w:val="21"/>
        </w:rPr>
        <w:t> </w:t>
      </w:r>
      <w:r>
        <w:rPr>
          <w:i/>
          <w:sz w:val="21"/>
        </w:rPr>
        <w:t>for</w:t>
      </w:r>
      <w:r>
        <w:rPr>
          <w:i/>
          <w:spacing w:val="-33"/>
          <w:sz w:val="21"/>
        </w:rPr>
        <w:t> </w:t>
      </w:r>
      <w:r>
        <w:rPr>
          <w:i/>
          <w:sz w:val="21"/>
        </w:rPr>
        <w:t>treatment</w:t>
      </w:r>
      <w:r>
        <w:rPr>
          <w:i/>
          <w:spacing w:val="-32"/>
          <w:sz w:val="21"/>
        </w:rPr>
        <w:t> </w:t>
      </w:r>
      <w:r>
        <w:rPr>
          <w:i/>
          <w:sz w:val="21"/>
        </w:rPr>
        <w:t>and</w:t>
      </w:r>
      <w:r>
        <w:rPr>
          <w:i/>
          <w:spacing w:val="-33"/>
          <w:sz w:val="21"/>
        </w:rPr>
        <w:t> </w:t>
      </w:r>
      <w:r>
        <w:rPr>
          <w:i/>
          <w:sz w:val="21"/>
        </w:rPr>
        <w:t>has</w:t>
      </w:r>
      <w:r>
        <w:rPr>
          <w:i/>
          <w:spacing w:val="-33"/>
          <w:sz w:val="21"/>
        </w:rPr>
        <w:t> </w:t>
      </w:r>
      <w:r>
        <w:rPr>
          <w:i/>
          <w:sz w:val="21"/>
        </w:rPr>
        <w:t>sufficient</w:t>
      </w:r>
      <w:r>
        <w:rPr>
          <w:i/>
          <w:spacing w:val="-32"/>
          <w:sz w:val="21"/>
        </w:rPr>
        <w:t> </w:t>
      </w:r>
      <w:r>
        <w:rPr>
          <w:i/>
          <w:sz w:val="21"/>
        </w:rPr>
        <w:t>insight</w:t>
      </w:r>
      <w:r>
        <w:rPr>
          <w:i/>
          <w:spacing w:val="-32"/>
          <w:sz w:val="21"/>
        </w:rPr>
        <w:t> </w:t>
      </w:r>
      <w:r>
        <w:rPr>
          <w:i/>
          <w:sz w:val="21"/>
        </w:rPr>
        <w:t>to</w:t>
      </w:r>
      <w:r>
        <w:rPr>
          <w:i/>
          <w:spacing w:val="-32"/>
          <w:sz w:val="21"/>
        </w:rPr>
        <w:t> </w:t>
      </w:r>
      <w:r>
        <w:rPr>
          <w:i/>
          <w:sz w:val="21"/>
        </w:rPr>
        <w:t>consent</w:t>
      </w:r>
      <w:r>
        <w:rPr>
          <w:i/>
          <w:spacing w:val="-32"/>
          <w:sz w:val="21"/>
        </w:rPr>
        <w:t> </w:t>
      </w:r>
      <w:r>
        <w:rPr>
          <w:i/>
          <w:sz w:val="21"/>
        </w:rPr>
        <w:t>and</w:t>
      </w:r>
      <w:r>
        <w:rPr>
          <w:i/>
          <w:spacing w:val="-33"/>
          <w:sz w:val="21"/>
        </w:rPr>
        <w:t> </w:t>
      </w:r>
      <w:r>
        <w:rPr>
          <w:i/>
          <w:sz w:val="21"/>
        </w:rPr>
        <w:t>does</w:t>
      </w:r>
      <w:r>
        <w:rPr>
          <w:i/>
          <w:spacing w:val="-32"/>
          <w:sz w:val="21"/>
        </w:rPr>
        <w:t> </w:t>
      </w:r>
      <w:r>
        <w:rPr>
          <w:i/>
          <w:sz w:val="21"/>
        </w:rPr>
        <w:t>consent.</w:t>
      </w:r>
    </w:p>
    <w:p>
      <w:pPr>
        <w:pStyle w:val="BodyText"/>
        <w:spacing w:before="10"/>
        <w:rPr>
          <w:i/>
          <w:sz w:val="22"/>
        </w:rPr>
      </w:pPr>
    </w:p>
    <w:p>
      <w:pPr>
        <w:spacing w:line="230" w:lineRule="auto" w:before="1"/>
        <w:ind w:left="687" w:right="111" w:firstLine="0"/>
        <w:jc w:val="both"/>
        <w:rPr>
          <w:i/>
          <w:sz w:val="21"/>
        </w:rPr>
      </w:pPr>
      <w:r>
        <w:rPr>
          <w:i/>
          <w:sz w:val="21"/>
        </w:rPr>
        <w:t>This</w:t>
      </w:r>
      <w:r>
        <w:rPr>
          <w:i/>
          <w:spacing w:val="-18"/>
          <w:sz w:val="21"/>
        </w:rPr>
        <w:t> </w:t>
      </w:r>
      <w:r>
        <w:rPr>
          <w:i/>
          <w:sz w:val="21"/>
        </w:rPr>
        <w:t>criterion</w:t>
      </w:r>
      <w:r>
        <w:rPr>
          <w:i/>
          <w:spacing w:val="-20"/>
          <w:sz w:val="21"/>
        </w:rPr>
        <w:t> </w:t>
      </w:r>
      <w:r>
        <w:rPr>
          <w:i/>
          <w:sz w:val="21"/>
        </w:rPr>
        <w:t>is</w:t>
      </w:r>
      <w:r>
        <w:rPr>
          <w:i/>
          <w:spacing w:val="-18"/>
          <w:sz w:val="21"/>
        </w:rPr>
        <w:t> </w:t>
      </w:r>
      <w:r>
        <w:rPr>
          <w:i/>
          <w:sz w:val="21"/>
        </w:rPr>
        <w:t>accordingly</w:t>
      </w:r>
      <w:r>
        <w:rPr>
          <w:i/>
          <w:spacing w:val="-19"/>
          <w:sz w:val="21"/>
        </w:rPr>
        <w:t> </w:t>
      </w:r>
      <w:r>
        <w:rPr>
          <w:i/>
          <w:sz w:val="21"/>
        </w:rPr>
        <w:t>not</w:t>
      </w:r>
      <w:r>
        <w:rPr>
          <w:i/>
          <w:spacing w:val="-18"/>
          <w:sz w:val="21"/>
        </w:rPr>
        <w:t> </w:t>
      </w:r>
      <w:r>
        <w:rPr>
          <w:i/>
          <w:sz w:val="21"/>
        </w:rPr>
        <w:t>met</w:t>
      </w:r>
      <w:r>
        <w:rPr>
          <w:i/>
          <w:spacing w:val="-18"/>
          <w:sz w:val="21"/>
        </w:rPr>
        <w:t> </w:t>
      </w:r>
      <w:r>
        <w:rPr>
          <w:i/>
          <w:sz w:val="21"/>
        </w:rPr>
        <w:t>as</w:t>
      </w:r>
      <w:r>
        <w:rPr>
          <w:i/>
          <w:spacing w:val="-19"/>
          <w:sz w:val="21"/>
        </w:rPr>
        <w:t> </w:t>
      </w:r>
      <w:r>
        <w:rPr>
          <w:i/>
          <w:sz w:val="21"/>
        </w:rPr>
        <w:t>OFO</w:t>
      </w:r>
      <w:r>
        <w:rPr>
          <w:i/>
          <w:spacing w:val="-19"/>
          <w:sz w:val="21"/>
        </w:rPr>
        <w:t> </w:t>
      </w:r>
      <w:r>
        <w:rPr>
          <w:i/>
          <w:sz w:val="21"/>
        </w:rPr>
        <w:t>appreciates</w:t>
      </w:r>
      <w:r>
        <w:rPr>
          <w:i/>
          <w:spacing w:val="-18"/>
          <w:sz w:val="21"/>
        </w:rPr>
        <w:t> </w:t>
      </w:r>
      <w:r>
        <w:rPr>
          <w:i/>
          <w:sz w:val="21"/>
        </w:rPr>
        <w:t>the</w:t>
      </w:r>
      <w:r>
        <w:rPr>
          <w:i/>
          <w:spacing w:val="-18"/>
          <w:sz w:val="21"/>
        </w:rPr>
        <w:t> </w:t>
      </w:r>
      <w:r>
        <w:rPr>
          <w:i/>
          <w:sz w:val="21"/>
        </w:rPr>
        <w:t>need</w:t>
      </w:r>
      <w:r>
        <w:rPr>
          <w:i/>
          <w:spacing w:val="-19"/>
          <w:sz w:val="21"/>
        </w:rPr>
        <w:t> </w:t>
      </w:r>
      <w:r>
        <w:rPr>
          <w:i/>
          <w:sz w:val="21"/>
        </w:rPr>
        <w:t>for</w:t>
      </w:r>
      <w:r>
        <w:rPr>
          <w:i/>
          <w:spacing w:val="-19"/>
          <w:sz w:val="21"/>
        </w:rPr>
        <w:t> </w:t>
      </w:r>
      <w:r>
        <w:rPr>
          <w:i/>
          <w:sz w:val="21"/>
        </w:rPr>
        <w:t>immediate</w:t>
      </w:r>
      <w:r>
        <w:rPr>
          <w:i/>
          <w:spacing w:val="-18"/>
          <w:sz w:val="21"/>
        </w:rPr>
        <w:t> </w:t>
      </w:r>
      <w:r>
        <w:rPr>
          <w:i/>
          <w:sz w:val="21"/>
        </w:rPr>
        <w:t>treatment</w:t>
      </w:r>
      <w:r>
        <w:rPr>
          <w:i/>
          <w:spacing w:val="-18"/>
          <w:sz w:val="21"/>
        </w:rPr>
        <w:t> </w:t>
      </w:r>
      <w:r>
        <w:rPr>
          <w:i/>
          <w:sz w:val="21"/>
        </w:rPr>
        <w:t>and has</w:t>
      </w:r>
      <w:r>
        <w:rPr>
          <w:i/>
          <w:spacing w:val="-28"/>
          <w:sz w:val="21"/>
        </w:rPr>
        <w:t> </w:t>
      </w:r>
      <w:r>
        <w:rPr>
          <w:i/>
          <w:sz w:val="21"/>
        </w:rPr>
        <w:t>consented</w:t>
      </w:r>
      <w:r>
        <w:rPr>
          <w:i/>
          <w:spacing w:val="-28"/>
          <w:sz w:val="21"/>
        </w:rPr>
        <w:t> </w:t>
      </w:r>
      <w:r>
        <w:rPr>
          <w:i/>
          <w:sz w:val="21"/>
        </w:rPr>
        <w:t>to</w:t>
      </w:r>
      <w:r>
        <w:rPr>
          <w:i/>
          <w:spacing w:val="-28"/>
          <w:sz w:val="21"/>
        </w:rPr>
        <w:t> </w:t>
      </w:r>
      <w:r>
        <w:rPr>
          <w:i/>
          <w:sz w:val="21"/>
        </w:rPr>
        <w:t>it</w:t>
      </w:r>
      <w:r>
        <w:rPr>
          <w:i/>
          <w:spacing w:val="-28"/>
          <w:sz w:val="21"/>
        </w:rPr>
        <w:t> </w:t>
      </w:r>
      <w:r>
        <w:rPr>
          <w:i/>
          <w:sz w:val="21"/>
        </w:rPr>
        <w:t>and</w:t>
      </w:r>
      <w:r>
        <w:rPr>
          <w:i/>
          <w:spacing w:val="-28"/>
          <w:sz w:val="21"/>
        </w:rPr>
        <w:t> </w:t>
      </w:r>
      <w:r>
        <w:rPr>
          <w:i/>
          <w:sz w:val="21"/>
        </w:rPr>
        <w:t>is</w:t>
      </w:r>
      <w:r>
        <w:rPr>
          <w:i/>
          <w:spacing w:val="-28"/>
          <w:sz w:val="21"/>
        </w:rPr>
        <w:t> </w:t>
      </w:r>
      <w:r>
        <w:rPr>
          <w:i/>
          <w:sz w:val="21"/>
        </w:rPr>
        <w:t>engaged</w:t>
      </w:r>
      <w:r>
        <w:rPr>
          <w:i/>
          <w:spacing w:val="-28"/>
          <w:sz w:val="21"/>
        </w:rPr>
        <w:t> </w:t>
      </w:r>
      <w:r>
        <w:rPr>
          <w:i/>
          <w:sz w:val="21"/>
        </w:rPr>
        <w:t>with</w:t>
      </w:r>
      <w:r>
        <w:rPr>
          <w:i/>
          <w:spacing w:val="-29"/>
          <w:sz w:val="21"/>
        </w:rPr>
        <w:t> </w:t>
      </w:r>
      <w:r>
        <w:rPr>
          <w:i/>
          <w:sz w:val="21"/>
        </w:rPr>
        <w:t>the</w:t>
      </w:r>
      <w:r>
        <w:rPr>
          <w:i/>
          <w:spacing w:val="-28"/>
          <w:sz w:val="21"/>
        </w:rPr>
        <w:t> </w:t>
      </w:r>
      <w:r>
        <w:rPr>
          <w:i/>
          <w:sz w:val="21"/>
        </w:rPr>
        <w:t>service.</w:t>
      </w:r>
    </w:p>
    <w:p>
      <w:pPr>
        <w:pStyle w:val="BodyText"/>
        <w:rPr>
          <w:i/>
          <w:sz w:val="20"/>
        </w:rPr>
      </w:pPr>
    </w:p>
    <w:p>
      <w:pPr>
        <w:pStyle w:val="BodyText"/>
        <w:spacing w:before="9"/>
        <w:rPr>
          <w:i/>
          <w:sz w:val="21"/>
        </w:rPr>
      </w:pPr>
      <w:r>
        <w:rPr/>
        <w:pict>
          <v:line style="position:absolute;mso-position-horizontal-relative:page;mso-position-vertical-relative:paragraph;z-index:1768;mso-wrap-distance-left:0;mso-wrap-distance-right:0" from="67.019997pt,15.356998pt" to="211.019997pt,15.356998pt" stroked="true" strokeweight=".54pt" strokecolor="#000000">
            <v:stroke dashstyle="solid"/>
            <w10:wrap type="topAndBottom"/>
          </v:line>
        </w:pict>
      </w:r>
    </w:p>
    <w:p>
      <w:pPr>
        <w:spacing w:line="247" w:lineRule="exact" w:before="54"/>
        <w:ind w:left="120" w:right="0" w:firstLine="0"/>
        <w:jc w:val="left"/>
        <w:rPr>
          <w:sz w:val="20"/>
        </w:rPr>
      </w:pPr>
      <w:bookmarkStart w:name="_bookmark52" w:id="54"/>
      <w:bookmarkEnd w:id="54"/>
      <w:r>
        <w:rPr/>
      </w:r>
      <w:r>
        <w:rPr>
          <w:position w:val="7"/>
          <w:sz w:val="13"/>
        </w:rPr>
        <w:t>51 </w:t>
      </w:r>
      <w:r>
        <w:rPr>
          <w:i/>
          <w:sz w:val="21"/>
        </w:rPr>
        <w:t>TLX  </w:t>
      </w:r>
      <w:r>
        <w:rPr>
          <w:sz w:val="20"/>
        </w:rPr>
        <w:t>[2015] VMHT 214.</w:t>
      </w:r>
    </w:p>
    <w:p>
      <w:pPr>
        <w:spacing w:line="241" w:lineRule="exact" w:before="0"/>
        <w:ind w:left="120" w:right="0" w:firstLine="0"/>
        <w:jc w:val="left"/>
        <w:rPr>
          <w:sz w:val="20"/>
        </w:rPr>
      </w:pPr>
      <w:bookmarkStart w:name="_bookmark53" w:id="55"/>
      <w:bookmarkEnd w:id="55"/>
      <w:r>
        <w:rPr/>
      </w:r>
      <w:r>
        <w:rPr>
          <w:position w:val="7"/>
          <w:sz w:val="13"/>
        </w:rPr>
        <w:t>52 </w:t>
      </w:r>
      <w:r>
        <w:rPr>
          <w:i/>
          <w:sz w:val="21"/>
        </w:rPr>
        <w:t>UKR  </w:t>
      </w:r>
      <w:r>
        <w:rPr>
          <w:sz w:val="20"/>
        </w:rPr>
        <w:t>[2016] VMHT 12.</w:t>
      </w:r>
    </w:p>
    <w:p>
      <w:pPr>
        <w:spacing w:line="241" w:lineRule="exact" w:before="0"/>
        <w:ind w:left="120" w:right="0" w:firstLine="0"/>
        <w:jc w:val="left"/>
        <w:rPr>
          <w:sz w:val="20"/>
        </w:rPr>
      </w:pPr>
      <w:bookmarkStart w:name="_bookmark54" w:id="56"/>
      <w:bookmarkEnd w:id="56"/>
      <w:r>
        <w:rPr/>
      </w:r>
      <w:r>
        <w:rPr>
          <w:position w:val="7"/>
          <w:sz w:val="13"/>
        </w:rPr>
        <w:t>53 </w:t>
      </w:r>
      <w:r>
        <w:rPr>
          <w:i/>
          <w:sz w:val="21"/>
        </w:rPr>
        <w:t>TBH  </w:t>
      </w:r>
      <w:r>
        <w:rPr>
          <w:sz w:val="20"/>
        </w:rPr>
        <w:t>[2015] VMHT 144.</w:t>
      </w:r>
    </w:p>
    <w:p>
      <w:pPr>
        <w:spacing w:line="247" w:lineRule="exact" w:before="0"/>
        <w:ind w:left="120" w:right="0" w:firstLine="0"/>
        <w:jc w:val="left"/>
        <w:rPr>
          <w:sz w:val="20"/>
        </w:rPr>
      </w:pPr>
      <w:bookmarkStart w:name="_bookmark55" w:id="57"/>
      <w:bookmarkEnd w:id="57"/>
      <w:r>
        <w:rPr/>
      </w:r>
      <w:r>
        <w:rPr>
          <w:position w:val="7"/>
          <w:sz w:val="13"/>
        </w:rPr>
        <w:t>54 </w:t>
      </w:r>
      <w:r>
        <w:rPr>
          <w:i/>
          <w:sz w:val="21"/>
        </w:rPr>
        <w:t>OFO  </w:t>
      </w:r>
      <w:r>
        <w:rPr>
          <w:sz w:val="20"/>
        </w:rPr>
        <w:t>[2014] VMHT 13.</w:t>
      </w:r>
    </w:p>
    <w:p>
      <w:pPr>
        <w:spacing w:after="0" w:line="247" w:lineRule="exact"/>
        <w:jc w:val="left"/>
        <w:rPr>
          <w:sz w:val="20"/>
        </w:rPr>
        <w:sectPr>
          <w:pgSz w:w="11910" w:h="16840"/>
          <w:pgMar w:header="763" w:footer="1025" w:top="980" w:bottom="1220" w:left="1220" w:right="1320"/>
        </w:sectPr>
      </w:pPr>
    </w:p>
    <w:p>
      <w:pPr>
        <w:pStyle w:val="BodyText"/>
        <w:spacing w:before="4"/>
        <w:rPr>
          <w:sz w:val="21"/>
        </w:rPr>
      </w:pPr>
    </w:p>
    <w:p>
      <w:pPr>
        <w:pStyle w:val="BodyText"/>
        <w:spacing w:line="237" w:lineRule="auto" w:before="103"/>
        <w:ind w:left="120" w:right="109"/>
        <w:jc w:val="both"/>
      </w:pPr>
      <w:r>
        <w:rPr/>
        <w:t>This</w:t>
      </w:r>
      <w:r>
        <w:rPr>
          <w:spacing w:val="-13"/>
        </w:rPr>
        <w:t> </w:t>
      </w:r>
      <w:r>
        <w:rPr/>
        <w:t>indicates</w:t>
      </w:r>
      <w:r>
        <w:rPr>
          <w:spacing w:val="-12"/>
        </w:rPr>
        <w:t> </w:t>
      </w:r>
      <w:r>
        <w:rPr/>
        <w:t>a</w:t>
      </w:r>
      <w:r>
        <w:rPr>
          <w:spacing w:val="-11"/>
        </w:rPr>
        <w:t> </w:t>
      </w:r>
      <w:r>
        <w:rPr/>
        <w:t>consistent</w:t>
      </w:r>
      <w:r>
        <w:rPr>
          <w:spacing w:val="-11"/>
        </w:rPr>
        <w:t> </w:t>
      </w:r>
      <w:r>
        <w:rPr/>
        <w:t>theme</w:t>
      </w:r>
      <w:r>
        <w:rPr>
          <w:spacing w:val="-12"/>
        </w:rPr>
        <w:t> </w:t>
      </w:r>
      <w:r>
        <w:rPr/>
        <w:t>in</w:t>
      </w:r>
      <w:r>
        <w:rPr>
          <w:spacing w:val="-11"/>
        </w:rPr>
        <w:t> </w:t>
      </w:r>
      <w:r>
        <w:rPr/>
        <w:t>the</w:t>
      </w:r>
      <w:r>
        <w:rPr>
          <w:spacing w:val="-11"/>
        </w:rPr>
        <w:t> </w:t>
      </w:r>
      <w:r>
        <w:rPr/>
        <w:t>statements</w:t>
      </w:r>
      <w:r>
        <w:rPr>
          <w:spacing w:val="-12"/>
        </w:rPr>
        <w:t> </w:t>
      </w:r>
      <w:r>
        <w:rPr/>
        <w:t>of</w:t>
      </w:r>
      <w:r>
        <w:rPr>
          <w:spacing w:val="-12"/>
        </w:rPr>
        <w:t> </w:t>
      </w:r>
      <w:r>
        <w:rPr/>
        <w:t>reasons,</w:t>
      </w:r>
      <w:r>
        <w:rPr>
          <w:spacing w:val="-12"/>
        </w:rPr>
        <w:t> </w:t>
      </w:r>
      <w:r>
        <w:rPr/>
        <w:t>which</w:t>
      </w:r>
      <w:r>
        <w:rPr>
          <w:spacing w:val="-12"/>
        </w:rPr>
        <w:t> </w:t>
      </w:r>
      <w:r>
        <w:rPr/>
        <w:t>is</w:t>
      </w:r>
      <w:r>
        <w:rPr>
          <w:spacing w:val="-12"/>
        </w:rPr>
        <w:t> </w:t>
      </w:r>
      <w:r>
        <w:rPr/>
        <w:t>that</w:t>
      </w:r>
      <w:r>
        <w:rPr>
          <w:spacing w:val="-12"/>
        </w:rPr>
        <w:t> </w:t>
      </w:r>
      <w:r>
        <w:rPr/>
        <w:t>a</w:t>
      </w:r>
      <w:r>
        <w:rPr>
          <w:spacing w:val="-14"/>
        </w:rPr>
        <w:t> </w:t>
      </w:r>
      <w:r>
        <w:rPr/>
        <w:t>person’s capacity to consent to treatment is directly linked with their compliance with the proposed treatment. While compliance and capacity are not treated as synonymous, the</w:t>
      </w:r>
      <w:r>
        <w:rPr>
          <w:spacing w:val="-16"/>
        </w:rPr>
        <w:t> </w:t>
      </w:r>
      <w:r>
        <w:rPr/>
        <w:t>Tribunal</w:t>
      </w:r>
      <w:r>
        <w:rPr>
          <w:spacing w:val="-16"/>
        </w:rPr>
        <w:t> </w:t>
      </w:r>
      <w:r>
        <w:rPr/>
        <w:t>demonstrates</w:t>
      </w:r>
      <w:r>
        <w:rPr>
          <w:spacing w:val="-16"/>
        </w:rPr>
        <w:t> </w:t>
      </w:r>
      <w:r>
        <w:rPr/>
        <w:t>an</w:t>
      </w:r>
      <w:r>
        <w:rPr>
          <w:spacing w:val="-16"/>
        </w:rPr>
        <w:t> </w:t>
      </w:r>
      <w:r>
        <w:rPr/>
        <w:t>inclination</w:t>
      </w:r>
      <w:r>
        <w:rPr>
          <w:spacing w:val="-16"/>
        </w:rPr>
        <w:t> </w:t>
      </w:r>
      <w:r>
        <w:rPr/>
        <w:t>to</w:t>
      </w:r>
      <w:r>
        <w:rPr>
          <w:spacing w:val="-16"/>
        </w:rPr>
        <w:t> </w:t>
      </w:r>
      <w:r>
        <w:rPr/>
        <w:t>accept</w:t>
      </w:r>
      <w:r>
        <w:rPr>
          <w:spacing w:val="-16"/>
        </w:rPr>
        <w:t> </w:t>
      </w:r>
      <w:r>
        <w:rPr/>
        <w:t>that</w:t>
      </w:r>
      <w:r>
        <w:rPr>
          <w:spacing w:val="-16"/>
        </w:rPr>
        <w:t> </w:t>
      </w:r>
      <w:r>
        <w:rPr/>
        <w:t>people</w:t>
      </w:r>
      <w:r>
        <w:rPr>
          <w:spacing w:val="-18"/>
        </w:rPr>
        <w:t> </w:t>
      </w:r>
      <w:r>
        <w:rPr/>
        <w:t>have</w:t>
      </w:r>
      <w:r>
        <w:rPr>
          <w:spacing w:val="-16"/>
        </w:rPr>
        <w:t> </w:t>
      </w:r>
      <w:r>
        <w:rPr/>
        <w:t>capacity</w:t>
      </w:r>
      <w:r>
        <w:rPr>
          <w:spacing w:val="-17"/>
        </w:rPr>
        <w:t> </w:t>
      </w:r>
      <w:r>
        <w:rPr/>
        <w:t>when</w:t>
      </w:r>
      <w:r>
        <w:rPr>
          <w:spacing w:val="-16"/>
        </w:rPr>
        <w:t> </w:t>
      </w:r>
      <w:r>
        <w:rPr/>
        <w:t>they are compliant, and reject that contention when people are not. This can be seen in </w:t>
      </w:r>
      <w:r>
        <w:rPr>
          <w:i/>
          <w:sz w:val="25"/>
        </w:rPr>
        <w:t>MKP</w:t>
      </w:r>
      <w:hyperlink w:history="true" w:anchor="_bookmark56">
        <w:r>
          <w:rPr>
            <w:i/>
            <w:position w:val="8"/>
            <w:sz w:val="17"/>
          </w:rPr>
          <w:t>55</w:t>
        </w:r>
      </w:hyperlink>
      <w:r>
        <w:rPr/>
        <w:t>, where the Tribunal seems to conflate the</w:t>
      </w:r>
      <w:r>
        <w:rPr>
          <w:spacing w:val="-36"/>
        </w:rPr>
        <w:t> </w:t>
      </w:r>
      <w:r>
        <w:rPr/>
        <w:t>two:</w:t>
      </w:r>
    </w:p>
    <w:p>
      <w:pPr>
        <w:pStyle w:val="BodyText"/>
        <w:spacing w:before="1"/>
        <w:rPr>
          <w:sz w:val="23"/>
        </w:rPr>
      </w:pPr>
    </w:p>
    <w:p>
      <w:pPr>
        <w:spacing w:line="228" w:lineRule="auto" w:before="0"/>
        <w:ind w:left="687" w:right="109" w:firstLine="0"/>
        <w:jc w:val="both"/>
        <w:rPr>
          <w:i/>
          <w:sz w:val="21"/>
        </w:rPr>
      </w:pPr>
      <w:r>
        <w:rPr>
          <w:i/>
          <w:sz w:val="21"/>
        </w:rPr>
        <w:t>[MKP’s</w:t>
      </w:r>
      <w:r>
        <w:rPr>
          <w:i/>
          <w:spacing w:val="-13"/>
          <w:sz w:val="21"/>
        </w:rPr>
        <w:t> </w:t>
      </w:r>
      <w:r>
        <w:rPr>
          <w:i/>
          <w:sz w:val="21"/>
        </w:rPr>
        <w:t>legal</w:t>
      </w:r>
      <w:r>
        <w:rPr>
          <w:i/>
          <w:spacing w:val="-14"/>
          <w:sz w:val="21"/>
        </w:rPr>
        <w:t> </w:t>
      </w:r>
      <w:r>
        <w:rPr>
          <w:i/>
          <w:sz w:val="21"/>
        </w:rPr>
        <w:t>representative]</w:t>
      </w:r>
      <w:r>
        <w:rPr>
          <w:i/>
          <w:spacing w:val="-14"/>
          <w:sz w:val="21"/>
        </w:rPr>
        <w:t> </w:t>
      </w:r>
      <w:r>
        <w:rPr>
          <w:i/>
          <w:sz w:val="21"/>
        </w:rPr>
        <w:t>submitted</w:t>
      </w:r>
      <w:r>
        <w:rPr>
          <w:i/>
          <w:spacing w:val="-15"/>
          <w:sz w:val="21"/>
        </w:rPr>
        <w:t> </w:t>
      </w:r>
      <w:r>
        <w:rPr>
          <w:i/>
          <w:sz w:val="21"/>
        </w:rPr>
        <w:t>that</w:t>
      </w:r>
      <w:r>
        <w:rPr>
          <w:i/>
          <w:spacing w:val="-14"/>
          <w:sz w:val="21"/>
        </w:rPr>
        <w:t> </w:t>
      </w:r>
      <w:r>
        <w:rPr>
          <w:i/>
          <w:sz w:val="21"/>
        </w:rPr>
        <w:t>MKP</w:t>
      </w:r>
      <w:r>
        <w:rPr>
          <w:i/>
          <w:spacing w:val="-14"/>
          <w:sz w:val="21"/>
        </w:rPr>
        <w:t> </w:t>
      </w:r>
      <w:r>
        <w:rPr>
          <w:i/>
          <w:sz w:val="21"/>
        </w:rPr>
        <w:t>could</w:t>
      </w:r>
      <w:r>
        <w:rPr>
          <w:i/>
          <w:spacing w:val="-14"/>
          <w:sz w:val="21"/>
        </w:rPr>
        <w:t> </w:t>
      </w:r>
      <w:r>
        <w:rPr>
          <w:i/>
          <w:sz w:val="21"/>
        </w:rPr>
        <w:t>be</w:t>
      </w:r>
      <w:r>
        <w:rPr>
          <w:i/>
          <w:spacing w:val="-14"/>
          <w:sz w:val="21"/>
        </w:rPr>
        <w:t> </w:t>
      </w:r>
      <w:r>
        <w:rPr>
          <w:i/>
          <w:sz w:val="21"/>
        </w:rPr>
        <w:t>treated</w:t>
      </w:r>
      <w:r>
        <w:rPr>
          <w:i/>
          <w:spacing w:val="-15"/>
          <w:sz w:val="21"/>
        </w:rPr>
        <w:t> </w:t>
      </w:r>
      <w:r>
        <w:rPr>
          <w:i/>
          <w:sz w:val="21"/>
        </w:rPr>
        <w:t>voluntarily</w:t>
      </w:r>
      <w:r>
        <w:rPr>
          <w:i/>
          <w:spacing w:val="-14"/>
          <w:sz w:val="21"/>
        </w:rPr>
        <w:t> </w:t>
      </w:r>
      <w:r>
        <w:rPr>
          <w:i/>
          <w:sz w:val="21"/>
        </w:rPr>
        <w:t>because</w:t>
      </w:r>
      <w:r>
        <w:rPr>
          <w:i/>
          <w:spacing w:val="-14"/>
          <w:sz w:val="21"/>
        </w:rPr>
        <w:t> </w:t>
      </w:r>
      <w:r>
        <w:rPr>
          <w:i/>
          <w:sz w:val="21"/>
        </w:rPr>
        <w:t>she</w:t>
      </w:r>
      <w:r>
        <w:rPr>
          <w:i/>
          <w:spacing w:val="-14"/>
          <w:sz w:val="21"/>
        </w:rPr>
        <w:t> </w:t>
      </w:r>
      <w:r>
        <w:rPr>
          <w:i/>
          <w:sz w:val="21"/>
        </w:rPr>
        <w:t>was consenting</w:t>
      </w:r>
      <w:r>
        <w:rPr>
          <w:i/>
          <w:spacing w:val="-30"/>
          <w:sz w:val="21"/>
        </w:rPr>
        <w:t> </w:t>
      </w:r>
      <w:r>
        <w:rPr>
          <w:i/>
          <w:sz w:val="21"/>
        </w:rPr>
        <w:t>to</w:t>
      </w:r>
      <w:r>
        <w:rPr>
          <w:i/>
          <w:spacing w:val="-31"/>
          <w:sz w:val="21"/>
        </w:rPr>
        <w:t> </w:t>
      </w:r>
      <w:r>
        <w:rPr>
          <w:i/>
          <w:sz w:val="21"/>
        </w:rPr>
        <w:t>treatment.</w:t>
      </w:r>
      <w:r>
        <w:rPr>
          <w:i/>
          <w:spacing w:val="-30"/>
          <w:sz w:val="21"/>
        </w:rPr>
        <w:t> </w:t>
      </w:r>
      <w:r>
        <w:rPr>
          <w:i/>
          <w:sz w:val="21"/>
        </w:rPr>
        <w:t>The</w:t>
      </w:r>
      <w:r>
        <w:rPr>
          <w:i/>
          <w:spacing w:val="-30"/>
          <w:sz w:val="21"/>
        </w:rPr>
        <w:t> </w:t>
      </w:r>
      <w:r>
        <w:rPr>
          <w:i/>
          <w:sz w:val="21"/>
        </w:rPr>
        <w:t>Tribunal</w:t>
      </w:r>
      <w:r>
        <w:rPr>
          <w:i/>
          <w:spacing w:val="-30"/>
          <w:sz w:val="21"/>
        </w:rPr>
        <w:t> </w:t>
      </w:r>
      <w:r>
        <w:rPr>
          <w:i/>
          <w:sz w:val="21"/>
        </w:rPr>
        <w:t>was</w:t>
      </w:r>
      <w:r>
        <w:rPr>
          <w:i/>
          <w:spacing w:val="-30"/>
          <w:sz w:val="21"/>
        </w:rPr>
        <w:t> </w:t>
      </w:r>
      <w:r>
        <w:rPr>
          <w:i/>
          <w:sz w:val="21"/>
        </w:rPr>
        <w:t>not</w:t>
      </w:r>
      <w:r>
        <w:rPr>
          <w:i/>
          <w:spacing w:val="-30"/>
          <w:sz w:val="21"/>
        </w:rPr>
        <w:t> </w:t>
      </w:r>
      <w:r>
        <w:rPr>
          <w:i/>
          <w:sz w:val="21"/>
        </w:rPr>
        <w:t>satisfied</w:t>
      </w:r>
      <w:r>
        <w:rPr>
          <w:i/>
          <w:spacing w:val="-30"/>
          <w:sz w:val="21"/>
        </w:rPr>
        <w:t> </w:t>
      </w:r>
      <w:r>
        <w:rPr>
          <w:i/>
          <w:sz w:val="21"/>
        </w:rPr>
        <w:t>that</w:t>
      </w:r>
      <w:r>
        <w:rPr>
          <w:i/>
          <w:spacing w:val="-30"/>
          <w:sz w:val="21"/>
        </w:rPr>
        <w:t> </w:t>
      </w:r>
      <w:r>
        <w:rPr>
          <w:i/>
          <w:sz w:val="21"/>
        </w:rPr>
        <w:t>MKP</w:t>
      </w:r>
      <w:r>
        <w:rPr>
          <w:i/>
          <w:spacing w:val="-30"/>
          <w:sz w:val="21"/>
        </w:rPr>
        <w:t> </w:t>
      </w:r>
      <w:r>
        <w:rPr>
          <w:i/>
          <w:sz w:val="21"/>
        </w:rPr>
        <w:t>was</w:t>
      </w:r>
      <w:r>
        <w:rPr>
          <w:i/>
          <w:spacing w:val="-30"/>
          <w:sz w:val="21"/>
        </w:rPr>
        <w:t> </w:t>
      </w:r>
      <w:r>
        <w:rPr>
          <w:i/>
          <w:sz w:val="21"/>
        </w:rPr>
        <w:t>able</w:t>
      </w:r>
      <w:r>
        <w:rPr>
          <w:i/>
          <w:spacing w:val="-30"/>
          <w:sz w:val="21"/>
        </w:rPr>
        <w:t> </w:t>
      </w:r>
      <w:r>
        <w:rPr>
          <w:i/>
          <w:sz w:val="21"/>
        </w:rPr>
        <w:t>to</w:t>
      </w:r>
      <w:r>
        <w:rPr>
          <w:i/>
          <w:spacing w:val="-30"/>
          <w:sz w:val="21"/>
        </w:rPr>
        <w:t> </w:t>
      </w:r>
      <w:r>
        <w:rPr>
          <w:i/>
          <w:sz w:val="21"/>
        </w:rPr>
        <w:t>sustain</w:t>
      </w:r>
      <w:r>
        <w:rPr>
          <w:i/>
          <w:spacing w:val="-30"/>
          <w:sz w:val="21"/>
        </w:rPr>
        <w:t> </w:t>
      </w:r>
      <w:r>
        <w:rPr>
          <w:i/>
          <w:sz w:val="21"/>
        </w:rPr>
        <w:t>consent.</w:t>
      </w:r>
      <w:r>
        <w:rPr>
          <w:i/>
          <w:spacing w:val="-30"/>
          <w:sz w:val="21"/>
        </w:rPr>
        <w:t> </w:t>
      </w:r>
      <w:r>
        <w:rPr>
          <w:i/>
          <w:sz w:val="21"/>
        </w:rPr>
        <w:t>In the</w:t>
      </w:r>
      <w:r>
        <w:rPr>
          <w:i/>
          <w:spacing w:val="-35"/>
          <w:sz w:val="21"/>
        </w:rPr>
        <w:t> </w:t>
      </w:r>
      <w:r>
        <w:rPr>
          <w:i/>
          <w:sz w:val="21"/>
        </w:rPr>
        <w:t>Tribunal’s</w:t>
      </w:r>
      <w:r>
        <w:rPr>
          <w:i/>
          <w:spacing w:val="-35"/>
          <w:sz w:val="21"/>
        </w:rPr>
        <w:t> </w:t>
      </w:r>
      <w:r>
        <w:rPr>
          <w:i/>
          <w:sz w:val="21"/>
        </w:rPr>
        <w:t>view,</w:t>
      </w:r>
      <w:r>
        <w:rPr>
          <w:i/>
          <w:spacing w:val="-35"/>
          <w:sz w:val="21"/>
        </w:rPr>
        <w:t> </w:t>
      </w:r>
      <w:r>
        <w:rPr>
          <w:i/>
          <w:sz w:val="21"/>
        </w:rPr>
        <w:t>MKP’s</w:t>
      </w:r>
      <w:r>
        <w:rPr>
          <w:i/>
          <w:spacing w:val="-35"/>
          <w:sz w:val="21"/>
        </w:rPr>
        <w:t> </w:t>
      </w:r>
      <w:r>
        <w:rPr>
          <w:i/>
          <w:sz w:val="21"/>
        </w:rPr>
        <w:t>understanding</w:t>
      </w:r>
      <w:r>
        <w:rPr>
          <w:i/>
          <w:spacing w:val="-35"/>
          <w:sz w:val="21"/>
        </w:rPr>
        <w:t> </w:t>
      </w:r>
      <w:r>
        <w:rPr>
          <w:i/>
          <w:sz w:val="21"/>
        </w:rPr>
        <w:t>of</w:t>
      </w:r>
      <w:r>
        <w:rPr>
          <w:i/>
          <w:spacing w:val="-35"/>
          <w:sz w:val="21"/>
        </w:rPr>
        <w:t> </w:t>
      </w:r>
      <w:r>
        <w:rPr>
          <w:i/>
          <w:sz w:val="21"/>
        </w:rPr>
        <w:t>her</w:t>
      </w:r>
      <w:r>
        <w:rPr>
          <w:i/>
          <w:spacing w:val="-35"/>
          <w:sz w:val="21"/>
        </w:rPr>
        <w:t> </w:t>
      </w:r>
      <w:r>
        <w:rPr>
          <w:i/>
          <w:sz w:val="21"/>
        </w:rPr>
        <w:t>illness</w:t>
      </w:r>
      <w:r>
        <w:rPr>
          <w:i/>
          <w:spacing w:val="-35"/>
          <w:sz w:val="21"/>
        </w:rPr>
        <w:t> </w:t>
      </w:r>
      <w:r>
        <w:rPr>
          <w:i/>
          <w:sz w:val="21"/>
        </w:rPr>
        <w:t>and</w:t>
      </w:r>
      <w:r>
        <w:rPr>
          <w:i/>
          <w:spacing w:val="-35"/>
          <w:sz w:val="21"/>
        </w:rPr>
        <w:t> </w:t>
      </w:r>
      <w:r>
        <w:rPr>
          <w:i/>
          <w:sz w:val="21"/>
        </w:rPr>
        <w:t>her</w:t>
      </w:r>
      <w:r>
        <w:rPr>
          <w:i/>
          <w:spacing w:val="-35"/>
          <w:sz w:val="21"/>
        </w:rPr>
        <w:t> </w:t>
      </w:r>
      <w:r>
        <w:rPr>
          <w:i/>
          <w:sz w:val="21"/>
        </w:rPr>
        <w:t>acceptance</w:t>
      </w:r>
      <w:r>
        <w:rPr>
          <w:i/>
          <w:spacing w:val="-35"/>
          <w:sz w:val="21"/>
        </w:rPr>
        <w:t> </w:t>
      </w:r>
      <w:r>
        <w:rPr>
          <w:i/>
          <w:sz w:val="21"/>
        </w:rPr>
        <w:t>of</w:t>
      </w:r>
      <w:r>
        <w:rPr>
          <w:i/>
          <w:spacing w:val="-35"/>
          <w:sz w:val="21"/>
        </w:rPr>
        <w:t> </w:t>
      </w:r>
      <w:r>
        <w:rPr>
          <w:i/>
          <w:sz w:val="21"/>
        </w:rPr>
        <w:t>treatment</w:t>
      </w:r>
      <w:r>
        <w:rPr>
          <w:i/>
          <w:spacing w:val="-35"/>
          <w:sz w:val="21"/>
        </w:rPr>
        <w:t> </w:t>
      </w:r>
      <w:r>
        <w:rPr>
          <w:i/>
          <w:sz w:val="21"/>
        </w:rPr>
        <w:t>were</w:t>
      </w:r>
      <w:r>
        <w:rPr>
          <w:i/>
          <w:spacing w:val="-35"/>
          <w:sz w:val="21"/>
        </w:rPr>
        <w:t> </w:t>
      </w:r>
      <w:r>
        <w:rPr>
          <w:i/>
          <w:sz w:val="21"/>
        </w:rPr>
        <w:t>not sufficiently consistent for her to agree to treatment. For example, the evidence of all parties showed</w:t>
      </w:r>
      <w:r>
        <w:rPr>
          <w:i/>
          <w:spacing w:val="-13"/>
          <w:sz w:val="21"/>
        </w:rPr>
        <w:t> </w:t>
      </w:r>
      <w:r>
        <w:rPr>
          <w:i/>
          <w:sz w:val="21"/>
        </w:rPr>
        <w:t>MKP’s</w:t>
      </w:r>
      <w:r>
        <w:rPr>
          <w:i/>
          <w:spacing w:val="-12"/>
          <w:sz w:val="21"/>
        </w:rPr>
        <w:t> </w:t>
      </w:r>
      <w:r>
        <w:rPr>
          <w:i/>
          <w:sz w:val="21"/>
        </w:rPr>
        <w:t>ambivalence</w:t>
      </w:r>
      <w:r>
        <w:rPr>
          <w:i/>
          <w:spacing w:val="-12"/>
          <w:sz w:val="21"/>
        </w:rPr>
        <w:t> </w:t>
      </w:r>
      <w:r>
        <w:rPr>
          <w:i/>
          <w:sz w:val="21"/>
        </w:rPr>
        <w:t>towards</w:t>
      </w:r>
      <w:r>
        <w:rPr>
          <w:i/>
          <w:spacing w:val="-12"/>
          <w:sz w:val="21"/>
        </w:rPr>
        <w:t> </w:t>
      </w:r>
      <w:r>
        <w:rPr>
          <w:i/>
          <w:sz w:val="21"/>
        </w:rPr>
        <w:t>lithium</w:t>
      </w:r>
      <w:r>
        <w:rPr>
          <w:i/>
          <w:spacing w:val="-12"/>
          <w:sz w:val="21"/>
        </w:rPr>
        <w:t> </w:t>
      </w:r>
      <w:r>
        <w:rPr>
          <w:i/>
          <w:sz w:val="21"/>
        </w:rPr>
        <w:t>medication,</w:t>
      </w:r>
      <w:r>
        <w:rPr>
          <w:i/>
          <w:spacing w:val="-12"/>
          <w:sz w:val="21"/>
        </w:rPr>
        <w:t> </w:t>
      </w:r>
      <w:r>
        <w:rPr>
          <w:i/>
          <w:sz w:val="21"/>
        </w:rPr>
        <w:t>which</w:t>
      </w:r>
      <w:r>
        <w:rPr>
          <w:i/>
          <w:spacing w:val="-12"/>
          <w:sz w:val="21"/>
        </w:rPr>
        <w:t> </w:t>
      </w:r>
      <w:r>
        <w:rPr>
          <w:i/>
          <w:sz w:val="21"/>
        </w:rPr>
        <w:t>the</w:t>
      </w:r>
      <w:r>
        <w:rPr>
          <w:i/>
          <w:spacing w:val="-12"/>
          <w:sz w:val="21"/>
        </w:rPr>
        <w:t> </w:t>
      </w:r>
      <w:r>
        <w:rPr>
          <w:i/>
          <w:sz w:val="21"/>
        </w:rPr>
        <w:t>treating</w:t>
      </w:r>
      <w:r>
        <w:rPr>
          <w:i/>
          <w:spacing w:val="-12"/>
          <w:sz w:val="21"/>
        </w:rPr>
        <w:t> </w:t>
      </w:r>
      <w:r>
        <w:rPr>
          <w:i/>
          <w:sz w:val="21"/>
        </w:rPr>
        <w:t>team</w:t>
      </w:r>
      <w:r>
        <w:rPr>
          <w:i/>
          <w:spacing w:val="-12"/>
          <w:sz w:val="21"/>
        </w:rPr>
        <w:t> </w:t>
      </w:r>
      <w:r>
        <w:rPr>
          <w:i/>
          <w:sz w:val="21"/>
        </w:rPr>
        <w:t>considered</w:t>
      </w:r>
      <w:r>
        <w:rPr>
          <w:i/>
          <w:spacing w:val="-13"/>
          <w:sz w:val="21"/>
        </w:rPr>
        <w:t> </w:t>
      </w:r>
      <w:r>
        <w:rPr>
          <w:i/>
          <w:sz w:val="21"/>
        </w:rPr>
        <w:t>a </w:t>
      </w:r>
      <w:r>
        <w:rPr>
          <w:i/>
          <w:w w:val="95"/>
          <w:sz w:val="21"/>
        </w:rPr>
        <w:t>cornerstone of her</w:t>
      </w:r>
      <w:r>
        <w:rPr>
          <w:i/>
          <w:spacing w:val="-7"/>
          <w:w w:val="95"/>
          <w:sz w:val="21"/>
        </w:rPr>
        <w:t> </w:t>
      </w:r>
      <w:r>
        <w:rPr>
          <w:i/>
          <w:w w:val="95"/>
          <w:sz w:val="21"/>
        </w:rPr>
        <w:t>treatment.</w:t>
      </w:r>
    </w:p>
    <w:p>
      <w:pPr>
        <w:pStyle w:val="BodyText"/>
        <w:rPr>
          <w:i/>
          <w:sz w:val="22"/>
        </w:rPr>
      </w:pPr>
    </w:p>
    <w:p>
      <w:pPr>
        <w:pStyle w:val="BodyText"/>
        <w:spacing w:before="1"/>
        <w:ind w:left="120" w:right="110"/>
        <w:jc w:val="both"/>
      </w:pPr>
      <w:r>
        <w:rPr/>
        <w:t>In</w:t>
      </w:r>
      <w:r>
        <w:rPr>
          <w:spacing w:val="-18"/>
        </w:rPr>
        <w:t> </w:t>
      </w:r>
      <w:r>
        <w:rPr>
          <w:i/>
          <w:sz w:val="25"/>
        </w:rPr>
        <w:t>MKP</w:t>
      </w:r>
      <w:r>
        <w:rPr/>
        <w:t>,</w:t>
      </w:r>
      <w:r>
        <w:rPr>
          <w:spacing w:val="-18"/>
        </w:rPr>
        <w:t> </w:t>
      </w:r>
      <w:r>
        <w:rPr/>
        <w:t>the</w:t>
      </w:r>
      <w:r>
        <w:rPr>
          <w:spacing w:val="-19"/>
        </w:rPr>
        <w:t> </w:t>
      </w:r>
      <w:r>
        <w:rPr/>
        <w:t>Tribunal</w:t>
      </w:r>
      <w:r>
        <w:rPr>
          <w:spacing w:val="-18"/>
        </w:rPr>
        <w:t> </w:t>
      </w:r>
      <w:r>
        <w:rPr/>
        <w:t>seems</w:t>
      </w:r>
      <w:r>
        <w:rPr>
          <w:spacing w:val="-18"/>
        </w:rPr>
        <w:t> </w:t>
      </w:r>
      <w:r>
        <w:rPr/>
        <w:t>to</w:t>
      </w:r>
      <w:r>
        <w:rPr>
          <w:spacing w:val="-18"/>
        </w:rPr>
        <w:t> </w:t>
      </w:r>
      <w:r>
        <w:rPr/>
        <w:t>suggest</w:t>
      </w:r>
      <w:r>
        <w:rPr>
          <w:spacing w:val="-18"/>
        </w:rPr>
        <w:t> </w:t>
      </w:r>
      <w:r>
        <w:rPr/>
        <w:t>that</w:t>
      </w:r>
      <w:r>
        <w:rPr>
          <w:spacing w:val="-19"/>
        </w:rPr>
        <w:t> </w:t>
      </w:r>
      <w:r>
        <w:rPr/>
        <w:t>insight,</w:t>
      </w:r>
      <w:r>
        <w:rPr>
          <w:spacing w:val="-18"/>
        </w:rPr>
        <w:t> </w:t>
      </w:r>
      <w:r>
        <w:rPr/>
        <w:t>characterised</w:t>
      </w:r>
      <w:r>
        <w:rPr>
          <w:spacing w:val="-18"/>
        </w:rPr>
        <w:t> </w:t>
      </w:r>
      <w:r>
        <w:rPr/>
        <w:t>as</w:t>
      </w:r>
      <w:r>
        <w:rPr>
          <w:spacing w:val="-18"/>
        </w:rPr>
        <w:t> </w:t>
      </w:r>
      <w:r>
        <w:rPr/>
        <w:t>understanding</w:t>
      </w:r>
      <w:r>
        <w:rPr>
          <w:spacing w:val="-19"/>
        </w:rPr>
        <w:t> </w:t>
      </w:r>
      <w:r>
        <w:rPr/>
        <w:t>and acceptance, is a precursor to capacity, and relied on this inability ‘to sustain consent’ as justification for deciding that MKP could not be treated less</w:t>
      </w:r>
      <w:r>
        <w:rPr>
          <w:spacing w:val="-29"/>
        </w:rPr>
        <w:t> </w:t>
      </w:r>
      <w:r>
        <w:rPr/>
        <w:t>restrictively.</w:t>
      </w:r>
    </w:p>
    <w:p>
      <w:pPr>
        <w:pStyle w:val="BodyText"/>
        <w:spacing w:before="2"/>
        <w:rPr>
          <w:sz w:val="22"/>
        </w:rPr>
      </w:pPr>
    </w:p>
    <w:p>
      <w:pPr>
        <w:pStyle w:val="BodyText"/>
        <w:ind w:left="120" w:right="110"/>
        <w:jc w:val="both"/>
      </w:pPr>
      <w:r>
        <w:rPr/>
        <w:t>In other decisions, such as </w:t>
      </w:r>
      <w:r>
        <w:rPr>
          <w:i/>
          <w:sz w:val="25"/>
        </w:rPr>
        <w:t>EPK</w:t>
      </w:r>
      <w:hyperlink w:history="true" w:anchor="_bookmark57">
        <w:r>
          <w:rPr>
            <w:i/>
            <w:position w:val="8"/>
            <w:sz w:val="17"/>
          </w:rPr>
          <w:t>56</w:t>
        </w:r>
      </w:hyperlink>
      <w:r>
        <w:rPr/>
        <w:t>, the Tribunal separated the ‘poor decision making’ from the ability to make decisions. The report outlined a series of reasons EPK was at risk:</w:t>
      </w:r>
    </w:p>
    <w:p>
      <w:pPr>
        <w:pStyle w:val="BodyText"/>
        <w:spacing w:before="4"/>
        <w:rPr>
          <w:sz w:val="23"/>
        </w:rPr>
      </w:pPr>
    </w:p>
    <w:p>
      <w:pPr>
        <w:spacing w:line="228" w:lineRule="auto" w:before="0"/>
        <w:ind w:left="687" w:right="109" w:firstLine="0"/>
        <w:jc w:val="both"/>
        <w:rPr>
          <w:i/>
          <w:sz w:val="21"/>
        </w:rPr>
      </w:pPr>
      <w:r>
        <w:rPr>
          <w:i/>
          <w:sz w:val="21"/>
        </w:rPr>
        <w:t>The</w:t>
      </w:r>
      <w:r>
        <w:rPr>
          <w:i/>
          <w:spacing w:val="-5"/>
          <w:sz w:val="21"/>
        </w:rPr>
        <w:t> </w:t>
      </w:r>
      <w:r>
        <w:rPr>
          <w:i/>
          <w:sz w:val="21"/>
        </w:rPr>
        <w:t>Report</w:t>
      </w:r>
      <w:r>
        <w:rPr>
          <w:i/>
          <w:spacing w:val="-5"/>
          <w:sz w:val="21"/>
        </w:rPr>
        <w:t> </w:t>
      </w:r>
      <w:r>
        <w:rPr>
          <w:i/>
          <w:sz w:val="21"/>
        </w:rPr>
        <w:t>also</w:t>
      </w:r>
      <w:r>
        <w:rPr>
          <w:i/>
          <w:spacing w:val="-4"/>
          <w:sz w:val="21"/>
        </w:rPr>
        <w:t> </w:t>
      </w:r>
      <w:r>
        <w:rPr>
          <w:i/>
          <w:sz w:val="21"/>
        </w:rPr>
        <w:t>noted</w:t>
      </w:r>
      <w:r>
        <w:rPr>
          <w:i/>
          <w:spacing w:val="-4"/>
          <w:sz w:val="21"/>
        </w:rPr>
        <w:t> </w:t>
      </w:r>
      <w:r>
        <w:rPr>
          <w:i/>
          <w:sz w:val="21"/>
        </w:rPr>
        <w:t>EPK</w:t>
      </w:r>
      <w:r>
        <w:rPr>
          <w:i/>
          <w:spacing w:val="-4"/>
          <w:sz w:val="21"/>
        </w:rPr>
        <w:t> </w:t>
      </w:r>
      <w:r>
        <w:rPr>
          <w:i/>
          <w:sz w:val="21"/>
        </w:rPr>
        <w:t>consumed</w:t>
      </w:r>
      <w:r>
        <w:rPr>
          <w:i/>
          <w:spacing w:val="-4"/>
          <w:sz w:val="21"/>
        </w:rPr>
        <w:t> </w:t>
      </w:r>
      <w:r>
        <w:rPr>
          <w:i/>
          <w:sz w:val="21"/>
        </w:rPr>
        <w:t>alcohol</w:t>
      </w:r>
      <w:r>
        <w:rPr>
          <w:i/>
          <w:spacing w:val="-4"/>
          <w:sz w:val="21"/>
        </w:rPr>
        <w:t> </w:t>
      </w:r>
      <w:r>
        <w:rPr>
          <w:i/>
          <w:sz w:val="21"/>
        </w:rPr>
        <w:t>once</w:t>
      </w:r>
      <w:r>
        <w:rPr>
          <w:i/>
          <w:spacing w:val="-5"/>
          <w:sz w:val="21"/>
        </w:rPr>
        <w:t> </w:t>
      </w:r>
      <w:r>
        <w:rPr>
          <w:i/>
          <w:sz w:val="21"/>
        </w:rPr>
        <w:t>whilst</w:t>
      </w:r>
      <w:r>
        <w:rPr>
          <w:i/>
          <w:spacing w:val="-4"/>
          <w:sz w:val="21"/>
        </w:rPr>
        <w:t> </w:t>
      </w:r>
      <w:r>
        <w:rPr>
          <w:i/>
          <w:sz w:val="21"/>
        </w:rPr>
        <w:t>out</w:t>
      </w:r>
      <w:r>
        <w:rPr>
          <w:i/>
          <w:spacing w:val="-4"/>
          <w:sz w:val="21"/>
        </w:rPr>
        <w:t> </w:t>
      </w:r>
      <w:r>
        <w:rPr>
          <w:i/>
          <w:sz w:val="21"/>
        </w:rPr>
        <w:t>on</w:t>
      </w:r>
      <w:r>
        <w:rPr>
          <w:i/>
          <w:spacing w:val="-5"/>
          <w:sz w:val="21"/>
        </w:rPr>
        <w:t> </w:t>
      </w:r>
      <w:r>
        <w:rPr>
          <w:i/>
          <w:sz w:val="21"/>
        </w:rPr>
        <w:t>a</w:t>
      </w:r>
      <w:r>
        <w:rPr>
          <w:i/>
          <w:spacing w:val="-4"/>
          <w:sz w:val="21"/>
        </w:rPr>
        <w:t> </w:t>
      </w:r>
      <w:r>
        <w:rPr>
          <w:i/>
          <w:sz w:val="21"/>
        </w:rPr>
        <w:t>group</w:t>
      </w:r>
      <w:r>
        <w:rPr>
          <w:i/>
          <w:spacing w:val="-4"/>
          <w:sz w:val="21"/>
        </w:rPr>
        <w:t> </w:t>
      </w:r>
      <w:r>
        <w:rPr>
          <w:i/>
          <w:sz w:val="21"/>
        </w:rPr>
        <w:t>outing</w:t>
      </w:r>
      <w:r>
        <w:rPr>
          <w:i/>
          <w:spacing w:val="-4"/>
          <w:sz w:val="21"/>
        </w:rPr>
        <w:t> </w:t>
      </w:r>
      <w:r>
        <w:rPr>
          <w:i/>
          <w:sz w:val="21"/>
        </w:rPr>
        <w:t>against</w:t>
      </w:r>
      <w:r>
        <w:rPr>
          <w:i/>
          <w:spacing w:val="-4"/>
          <w:sz w:val="21"/>
        </w:rPr>
        <w:t> </w:t>
      </w:r>
      <w:r>
        <w:rPr>
          <w:i/>
          <w:sz w:val="21"/>
        </w:rPr>
        <w:t>staff advice.</w:t>
      </w:r>
      <w:r>
        <w:rPr>
          <w:i/>
          <w:spacing w:val="-49"/>
          <w:sz w:val="21"/>
        </w:rPr>
        <w:t> </w:t>
      </w:r>
      <w:r>
        <w:rPr>
          <w:i/>
          <w:sz w:val="21"/>
        </w:rPr>
        <w:t>EPK</w:t>
      </w:r>
      <w:r>
        <w:rPr>
          <w:i/>
          <w:spacing w:val="-48"/>
          <w:sz w:val="21"/>
        </w:rPr>
        <w:t> </w:t>
      </w:r>
      <w:r>
        <w:rPr>
          <w:i/>
          <w:sz w:val="21"/>
        </w:rPr>
        <w:t>struggled</w:t>
      </w:r>
      <w:r>
        <w:rPr>
          <w:i/>
          <w:spacing w:val="-48"/>
          <w:sz w:val="21"/>
        </w:rPr>
        <w:t> </w:t>
      </w:r>
      <w:r>
        <w:rPr>
          <w:i/>
          <w:sz w:val="21"/>
        </w:rPr>
        <w:t>to</w:t>
      </w:r>
      <w:r>
        <w:rPr>
          <w:i/>
          <w:spacing w:val="-48"/>
          <w:sz w:val="21"/>
        </w:rPr>
        <w:t> </w:t>
      </w:r>
      <w:r>
        <w:rPr>
          <w:i/>
          <w:sz w:val="21"/>
        </w:rPr>
        <w:t>follow</w:t>
      </w:r>
      <w:r>
        <w:rPr>
          <w:i/>
          <w:spacing w:val="-48"/>
          <w:sz w:val="21"/>
        </w:rPr>
        <w:t> </w:t>
      </w:r>
      <w:r>
        <w:rPr>
          <w:i/>
          <w:sz w:val="21"/>
        </w:rPr>
        <w:t>given</w:t>
      </w:r>
      <w:r>
        <w:rPr>
          <w:i/>
          <w:spacing w:val="-48"/>
          <w:sz w:val="21"/>
        </w:rPr>
        <w:t> </w:t>
      </w:r>
      <w:r>
        <w:rPr>
          <w:i/>
          <w:sz w:val="21"/>
        </w:rPr>
        <w:t>directions.</w:t>
      </w:r>
      <w:r>
        <w:rPr>
          <w:i/>
          <w:spacing w:val="-48"/>
          <w:sz w:val="21"/>
        </w:rPr>
        <w:t> </w:t>
      </w:r>
      <w:r>
        <w:rPr>
          <w:i/>
          <w:sz w:val="21"/>
        </w:rPr>
        <w:t>EPK</w:t>
      </w:r>
      <w:r>
        <w:rPr>
          <w:i/>
          <w:spacing w:val="-48"/>
          <w:sz w:val="21"/>
        </w:rPr>
        <w:t> </w:t>
      </w:r>
      <w:r>
        <w:rPr>
          <w:i/>
          <w:sz w:val="21"/>
        </w:rPr>
        <w:t>had</w:t>
      </w:r>
      <w:r>
        <w:rPr>
          <w:i/>
          <w:spacing w:val="-48"/>
          <w:sz w:val="21"/>
        </w:rPr>
        <w:t> </w:t>
      </w:r>
      <w:r>
        <w:rPr>
          <w:i/>
          <w:sz w:val="21"/>
        </w:rPr>
        <w:t>engaged</w:t>
      </w:r>
      <w:r>
        <w:rPr>
          <w:i/>
          <w:spacing w:val="-48"/>
          <w:sz w:val="21"/>
        </w:rPr>
        <w:t> </w:t>
      </w:r>
      <w:r>
        <w:rPr>
          <w:i/>
          <w:sz w:val="21"/>
        </w:rPr>
        <w:t>in</w:t>
      </w:r>
      <w:r>
        <w:rPr>
          <w:i/>
          <w:spacing w:val="-48"/>
          <w:sz w:val="21"/>
        </w:rPr>
        <w:t> </w:t>
      </w:r>
      <w:r>
        <w:rPr>
          <w:i/>
          <w:sz w:val="21"/>
        </w:rPr>
        <w:t>inappropriate</w:t>
      </w:r>
      <w:r>
        <w:rPr>
          <w:i/>
          <w:spacing w:val="-48"/>
          <w:sz w:val="21"/>
        </w:rPr>
        <w:t> </w:t>
      </w:r>
      <w:r>
        <w:rPr>
          <w:i/>
          <w:sz w:val="21"/>
        </w:rPr>
        <w:t>sexual</w:t>
      </w:r>
      <w:r>
        <w:rPr>
          <w:i/>
          <w:spacing w:val="-49"/>
          <w:sz w:val="21"/>
        </w:rPr>
        <w:t> </w:t>
      </w:r>
      <w:r>
        <w:rPr>
          <w:i/>
          <w:sz w:val="21"/>
        </w:rPr>
        <w:t>activities and</w:t>
      </w:r>
      <w:r>
        <w:rPr>
          <w:i/>
          <w:spacing w:val="-7"/>
          <w:sz w:val="21"/>
        </w:rPr>
        <w:t> </w:t>
      </w:r>
      <w:r>
        <w:rPr>
          <w:i/>
          <w:sz w:val="21"/>
        </w:rPr>
        <w:t>therefore</w:t>
      </w:r>
      <w:r>
        <w:rPr>
          <w:i/>
          <w:spacing w:val="-7"/>
          <w:sz w:val="21"/>
        </w:rPr>
        <w:t> </w:t>
      </w:r>
      <w:r>
        <w:rPr>
          <w:i/>
          <w:sz w:val="21"/>
        </w:rPr>
        <w:t>remained</w:t>
      </w:r>
      <w:r>
        <w:rPr>
          <w:i/>
          <w:spacing w:val="-7"/>
          <w:sz w:val="21"/>
        </w:rPr>
        <w:t> </w:t>
      </w:r>
      <w:r>
        <w:rPr>
          <w:i/>
          <w:sz w:val="21"/>
        </w:rPr>
        <w:t>vulnerable</w:t>
      </w:r>
      <w:r>
        <w:rPr>
          <w:i/>
          <w:spacing w:val="-6"/>
          <w:sz w:val="21"/>
        </w:rPr>
        <w:t> </w:t>
      </w:r>
      <w:r>
        <w:rPr>
          <w:i/>
          <w:sz w:val="21"/>
        </w:rPr>
        <w:t>due</w:t>
      </w:r>
      <w:r>
        <w:rPr>
          <w:i/>
          <w:spacing w:val="-7"/>
          <w:sz w:val="21"/>
        </w:rPr>
        <w:t> </w:t>
      </w:r>
      <w:r>
        <w:rPr>
          <w:i/>
          <w:sz w:val="21"/>
        </w:rPr>
        <w:t>to</w:t>
      </w:r>
      <w:r>
        <w:rPr>
          <w:i/>
          <w:spacing w:val="-6"/>
          <w:sz w:val="21"/>
        </w:rPr>
        <w:t> </w:t>
      </w:r>
      <w:r>
        <w:rPr>
          <w:i/>
          <w:sz w:val="21"/>
        </w:rPr>
        <w:t>her</w:t>
      </w:r>
      <w:r>
        <w:rPr>
          <w:i/>
          <w:spacing w:val="-7"/>
          <w:sz w:val="21"/>
        </w:rPr>
        <w:t> </w:t>
      </w:r>
      <w:r>
        <w:rPr>
          <w:i/>
          <w:sz w:val="21"/>
        </w:rPr>
        <w:t>poor</w:t>
      </w:r>
      <w:r>
        <w:rPr>
          <w:i/>
          <w:spacing w:val="-7"/>
          <w:sz w:val="21"/>
        </w:rPr>
        <w:t> </w:t>
      </w:r>
      <w:r>
        <w:rPr>
          <w:i/>
          <w:sz w:val="21"/>
        </w:rPr>
        <w:t>judgement.</w:t>
      </w:r>
      <w:r>
        <w:rPr>
          <w:i/>
          <w:spacing w:val="-7"/>
          <w:sz w:val="21"/>
        </w:rPr>
        <w:t> </w:t>
      </w:r>
      <w:r>
        <w:rPr>
          <w:i/>
          <w:sz w:val="21"/>
        </w:rPr>
        <w:t>EPK</w:t>
      </w:r>
      <w:r>
        <w:rPr>
          <w:i/>
          <w:spacing w:val="-7"/>
          <w:sz w:val="21"/>
        </w:rPr>
        <w:t> </w:t>
      </w:r>
      <w:r>
        <w:rPr>
          <w:i/>
          <w:sz w:val="21"/>
        </w:rPr>
        <w:t>had</w:t>
      </w:r>
      <w:r>
        <w:rPr>
          <w:i/>
          <w:spacing w:val="-7"/>
          <w:sz w:val="21"/>
        </w:rPr>
        <w:t> </w:t>
      </w:r>
      <w:r>
        <w:rPr>
          <w:i/>
          <w:sz w:val="21"/>
        </w:rPr>
        <w:t>failed</w:t>
      </w:r>
      <w:r>
        <w:rPr>
          <w:i/>
          <w:spacing w:val="-7"/>
          <w:sz w:val="21"/>
        </w:rPr>
        <w:t> </w:t>
      </w:r>
      <w:r>
        <w:rPr>
          <w:i/>
          <w:sz w:val="21"/>
        </w:rPr>
        <w:t>to</w:t>
      </w:r>
      <w:r>
        <w:rPr>
          <w:i/>
          <w:spacing w:val="-6"/>
          <w:sz w:val="21"/>
        </w:rPr>
        <w:t> </w:t>
      </w:r>
      <w:r>
        <w:rPr>
          <w:i/>
          <w:sz w:val="21"/>
        </w:rPr>
        <w:t>return</w:t>
      </w:r>
      <w:r>
        <w:rPr>
          <w:i/>
          <w:spacing w:val="-7"/>
          <w:sz w:val="21"/>
        </w:rPr>
        <w:t> </w:t>
      </w:r>
      <w:r>
        <w:rPr>
          <w:i/>
          <w:sz w:val="21"/>
        </w:rPr>
        <w:t>from unescorted</w:t>
      </w:r>
      <w:r>
        <w:rPr>
          <w:i/>
          <w:spacing w:val="-33"/>
          <w:sz w:val="21"/>
        </w:rPr>
        <w:t> </w:t>
      </w:r>
      <w:r>
        <w:rPr>
          <w:i/>
          <w:sz w:val="21"/>
        </w:rPr>
        <w:t>leave</w:t>
      </w:r>
      <w:r>
        <w:rPr>
          <w:i/>
          <w:spacing w:val="-33"/>
          <w:sz w:val="21"/>
        </w:rPr>
        <w:t> </w:t>
      </w:r>
      <w:r>
        <w:rPr>
          <w:i/>
          <w:sz w:val="21"/>
        </w:rPr>
        <w:t>at</w:t>
      </w:r>
      <w:r>
        <w:rPr>
          <w:i/>
          <w:spacing w:val="-34"/>
          <w:sz w:val="21"/>
        </w:rPr>
        <w:t> </w:t>
      </w:r>
      <w:r>
        <w:rPr>
          <w:i/>
          <w:sz w:val="21"/>
        </w:rPr>
        <w:t>the</w:t>
      </w:r>
      <w:r>
        <w:rPr>
          <w:i/>
          <w:spacing w:val="-33"/>
          <w:sz w:val="21"/>
        </w:rPr>
        <w:t> </w:t>
      </w:r>
      <w:r>
        <w:rPr>
          <w:i/>
          <w:sz w:val="21"/>
        </w:rPr>
        <w:t>designated</w:t>
      </w:r>
      <w:r>
        <w:rPr>
          <w:i/>
          <w:spacing w:val="-33"/>
          <w:sz w:val="21"/>
        </w:rPr>
        <w:t> </w:t>
      </w:r>
      <w:r>
        <w:rPr>
          <w:i/>
          <w:sz w:val="21"/>
        </w:rPr>
        <w:t>time</w:t>
      </w:r>
      <w:r>
        <w:rPr>
          <w:i/>
          <w:spacing w:val="-34"/>
          <w:sz w:val="21"/>
        </w:rPr>
        <w:t> </w:t>
      </w:r>
      <w:r>
        <w:rPr>
          <w:i/>
          <w:sz w:val="21"/>
        </w:rPr>
        <w:t>and</w:t>
      </w:r>
      <w:r>
        <w:rPr>
          <w:i/>
          <w:spacing w:val="-33"/>
          <w:sz w:val="21"/>
        </w:rPr>
        <w:t> </w:t>
      </w:r>
      <w:r>
        <w:rPr>
          <w:i/>
          <w:sz w:val="21"/>
        </w:rPr>
        <w:t>had</w:t>
      </w:r>
      <w:r>
        <w:rPr>
          <w:i/>
          <w:spacing w:val="-33"/>
          <w:sz w:val="21"/>
        </w:rPr>
        <w:t> </w:t>
      </w:r>
      <w:r>
        <w:rPr>
          <w:i/>
          <w:sz w:val="21"/>
        </w:rPr>
        <w:t>absconded</w:t>
      </w:r>
      <w:r>
        <w:rPr>
          <w:i/>
          <w:spacing w:val="-33"/>
          <w:sz w:val="21"/>
        </w:rPr>
        <w:t> </w:t>
      </w:r>
      <w:r>
        <w:rPr>
          <w:i/>
          <w:sz w:val="21"/>
        </w:rPr>
        <w:t>for</w:t>
      </w:r>
      <w:r>
        <w:rPr>
          <w:i/>
          <w:spacing w:val="-33"/>
          <w:sz w:val="21"/>
        </w:rPr>
        <w:t> </w:t>
      </w:r>
      <w:r>
        <w:rPr>
          <w:i/>
          <w:sz w:val="21"/>
        </w:rPr>
        <w:t>a</w:t>
      </w:r>
      <w:r>
        <w:rPr>
          <w:i/>
          <w:spacing w:val="-33"/>
          <w:sz w:val="21"/>
        </w:rPr>
        <w:t> </w:t>
      </w:r>
      <w:r>
        <w:rPr>
          <w:i/>
          <w:sz w:val="21"/>
        </w:rPr>
        <w:t>few</w:t>
      </w:r>
      <w:r>
        <w:rPr>
          <w:i/>
          <w:spacing w:val="-33"/>
          <w:sz w:val="21"/>
        </w:rPr>
        <w:t> </w:t>
      </w:r>
      <w:r>
        <w:rPr>
          <w:i/>
          <w:sz w:val="21"/>
        </w:rPr>
        <w:t>days.</w:t>
      </w:r>
      <w:r>
        <w:rPr>
          <w:i/>
          <w:spacing w:val="-33"/>
          <w:sz w:val="21"/>
        </w:rPr>
        <w:t> </w:t>
      </w:r>
      <w:r>
        <w:rPr>
          <w:i/>
          <w:sz w:val="21"/>
        </w:rPr>
        <w:t>EPK</w:t>
      </w:r>
      <w:r>
        <w:rPr>
          <w:i/>
          <w:spacing w:val="-34"/>
          <w:sz w:val="21"/>
        </w:rPr>
        <w:t> </w:t>
      </w:r>
      <w:r>
        <w:rPr>
          <w:i/>
          <w:sz w:val="21"/>
        </w:rPr>
        <w:t>had</w:t>
      </w:r>
      <w:r>
        <w:rPr>
          <w:i/>
          <w:spacing w:val="-33"/>
          <w:sz w:val="21"/>
        </w:rPr>
        <w:t> </w:t>
      </w:r>
      <w:r>
        <w:rPr>
          <w:i/>
          <w:sz w:val="21"/>
        </w:rPr>
        <w:t>got</w:t>
      </w:r>
      <w:r>
        <w:rPr>
          <w:i/>
          <w:spacing w:val="-33"/>
          <w:sz w:val="21"/>
        </w:rPr>
        <w:t> </w:t>
      </w:r>
      <w:r>
        <w:rPr>
          <w:i/>
          <w:sz w:val="21"/>
        </w:rPr>
        <w:t>into</w:t>
      </w:r>
      <w:r>
        <w:rPr>
          <w:i/>
          <w:spacing w:val="-33"/>
          <w:sz w:val="21"/>
        </w:rPr>
        <w:t> </w:t>
      </w:r>
      <w:r>
        <w:rPr>
          <w:i/>
          <w:sz w:val="21"/>
        </w:rPr>
        <w:t>cars with strangers. She had befriended strangers, slept in their homes and had a history of </w:t>
      </w:r>
      <w:r>
        <w:rPr>
          <w:i/>
          <w:w w:val="95"/>
          <w:sz w:val="21"/>
        </w:rPr>
        <w:t>vulnerability to</w:t>
      </w:r>
      <w:r>
        <w:rPr>
          <w:i/>
          <w:spacing w:val="-6"/>
          <w:w w:val="95"/>
          <w:sz w:val="21"/>
        </w:rPr>
        <w:t> </w:t>
      </w:r>
      <w:r>
        <w:rPr>
          <w:i/>
          <w:w w:val="95"/>
          <w:sz w:val="21"/>
        </w:rPr>
        <w:t>males.</w:t>
      </w:r>
    </w:p>
    <w:p>
      <w:pPr>
        <w:pStyle w:val="BodyText"/>
        <w:spacing w:before="9"/>
        <w:rPr>
          <w:i/>
          <w:sz w:val="22"/>
        </w:rPr>
      </w:pPr>
    </w:p>
    <w:p>
      <w:pPr>
        <w:pStyle w:val="BodyText"/>
        <w:ind w:left="120" w:right="109"/>
        <w:jc w:val="both"/>
      </w:pPr>
      <w:r>
        <w:rPr/>
        <w:t>Despite</w:t>
      </w:r>
      <w:r>
        <w:rPr>
          <w:spacing w:val="-8"/>
        </w:rPr>
        <w:t> </w:t>
      </w:r>
      <w:r>
        <w:rPr/>
        <w:t>this</w:t>
      </w:r>
      <w:r>
        <w:rPr>
          <w:spacing w:val="-8"/>
        </w:rPr>
        <w:t> </w:t>
      </w:r>
      <w:r>
        <w:rPr/>
        <w:t>evidence,</w:t>
      </w:r>
      <w:r>
        <w:rPr>
          <w:spacing w:val="-8"/>
        </w:rPr>
        <w:t> </w:t>
      </w:r>
      <w:r>
        <w:rPr/>
        <w:t>the</w:t>
      </w:r>
      <w:r>
        <w:rPr>
          <w:spacing w:val="-9"/>
        </w:rPr>
        <w:t> </w:t>
      </w:r>
      <w:r>
        <w:rPr/>
        <w:t>Tribunal</w:t>
      </w:r>
      <w:r>
        <w:rPr>
          <w:spacing w:val="-7"/>
        </w:rPr>
        <w:t> </w:t>
      </w:r>
      <w:r>
        <w:rPr/>
        <w:t>declined</w:t>
      </w:r>
      <w:r>
        <w:rPr>
          <w:spacing w:val="-10"/>
        </w:rPr>
        <w:t> </w:t>
      </w:r>
      <w:r>
        <w:rPr/>
        <w:t>to</w:t>
      </w:r>
      <w:r>
        <w:rPr>
          <w:spacing w:val="-7"/>
        </w:rPr>
        <w:t> </w:t>
      </w:r>
      <w:r>
        <w:rPr/>
        <w:t>make</w:t>
      </w:r>
      <w:r>
        <w:rPr>
          <w:spacing w:val="-8"/>
        </w:rPr>
        <w:t> </w:t>
      </w:r>
      <w:r>
        <w:rPr/>
        <w:t>an</w:t>
      </w:r>
      <w:r>
        <w:rPr>
          <w:spacing w:val="-8"/>
        </w:rPr>
        <w:t> </w:t>
      </w:r>
      <w:r>
        <w:rPr/>
        <w:t>order</w:t>
      </w:r>
      <w:r>
        <w:rPr>
          <w:spacing w:val="-9"/>
        </w:rPr>
        <w:t> </w:t>
      </w:r>
      <w:r>
        <w:rPr/>
        <w:t>based</w:t>
      </w:r>
      <w:r>
        <w:rPr>
          <w:spacing w:val="-7"/>
        </w:rPr>
        <w:t> </w:t>
      </w:r>
      <w:r>
        <w:rPr/>
        <w:t>on</w:t>
      </w:r>
      <w:r>
        <w:rPr>
          <w:spacing w:val="-8"/>
        </w:rPr>
        <w:t> </w:t>
      </w:r>
      <w:r>
        <w:rPr/>
        <w:t>her</w:t>
      </w:r>
      <w:r>
        <w:rPr>
          <w:spacing w:val="-8"/>
        </w:rPr>
        <w:t> </w:t>
      </w:r>
      <w:r>
        <w:rPr/>
        <w:t>willingness and ability to consent to the</w:t>
      </w:r>
      <w:r>
        <w:rPr>
          <w:spacing w:val="-13"/>
        </w:rPr>
        <w:t> </w:t>
      </w:r>
      <w:r>
        <w:rPr/>
        <w:t>treatment:</w:t>
      </w:r>
    </w:p>
    <w:p>
      <w:pPr>
        <w:pStyle w:val="BodyText"/>
        <w:spacing w:before="2"/>
        <w:rPr>
          <w:sz w:val="23"/>
        </w:rPr>
      </w:pPr>
    </w:p>
    <w:p>
      <w:pPr>
        <w:spacing w:line="228" w:lineRule="auto" w:before="0"/>
        <w:ind w:left="687" w:right="109" w:firstLine="0"/>
        <w:jc w:val="both"/>
        <w:rPr>
          <w:i/>
          <w:sz w:val="21"/>
        </w:rPr>
      </w:pPr>
      <w:r>
        <w:rPr>
          <w:i/>
          <w:sz w:val="21"/>
        </w:rPr>
        <w:t>The</w:t>
      </w:r>
      <w:r>
        <w:rPr>
          <w:i/>
          <w:spacing w:val="-16"/>
          <w:sz w:val="21"/>
        </w:rPr>
        <w:t> </w:t>
      </w:r>
      <w:r>
        <w:rPr>
          <w:i/>
          <w:sz w:val="21"/>
        </w:rPr>
        <w:t>evidence</w:t>
      </w:r>
      <w:r>
        <w:rPr>
          <w:i/>
          <w:spacing w:val="-17"/>
          <w:sz w:val="21"/>
        </w:rPr>
        <w:t> </w:t>
      </w:r>
      <w:r>
        <w:rPr>
          <w:i/>
          <w:sz w:val="21"/>
        </w:rPr>
        <w:t>before</w:t>
      </w:r>
      <w:r>
        <w:rPr>
          <w:i/>
          <w:spacing w:val="-16"/>
          <w:sz w:val="21"/>
        </w:rPr>
        <w:t> </w:t>
      </w:r>
      <w:r>
        <w:rPr>
          <w:i/>
          <w:sz w:val="21"/>
        </w:rPr>
        <w:t>the</w:t>
      </w:r>
      <w:r>
        <w:rPr>
          <w:i/>
          <w:spacing w:val="-16"/>
          <w:sz w:val="21"/>
        </w:rPr>
        <w:t> </w:t>
      </w:r>
      <w:r>
        <w:rPr>
          <w:i/>
          <w:sz w:val="21"/>
        </w:rPr>
        <w:t>Tribunal</w:t>
      </w:r>
      <w:r>
        <w:rPr>
          <w:i/>
          <w:spacing w:val="-16"/>
          <w:sz w:val="21"/>
        </w:rPr>
        <w:t> </w:t>
      </w:r>
      <w:r>
        <w:rPr>
          <w:i/>
          <w:sz w:val="21"/>
        </w:rPr>
        <w:t>indicated</w:t>
      </w:r>
      <w:r>
        <w:rPr>
          <w:i/>
          <w:spacing w:val="-16"/>
          <w:sz w:val="21"/>
        </w:rPr>
        <w:t> </w:t>
      </w:r>
      <w:r>
        <w:rPr>
          <w:i/>
          <w:sz w:val="21"/>
        </w:rPr>
        <w:t>that</w:t>
      </w:r>
      <w:r>
        <w:rPr>
          <w:i/>
          <w:spacing w:val="-16"/>
          <w:sz w:val="21"/>
        </w:rPr>
        <w:t> </w:t>
      </w:r>
      <w:r>
        <w:rPr>
          <w:i/>
          <w:sz w:val="21"/>
        </w:rPr>
        <w:t>EPK’s</w:t>
      </w:r>
      <w:r>
        <w:rPr>
          <w:i/>
          <w:spacing w:val="-16"/>
          <w:sz w:val="21"/>
        </w:rPr>
        <w:t> </w:t>
      </w:r>
      <w:r>
        <w:rPr>
          <w:i/>
          <w:sz w:val="21"/>
        </w:rPr>
        <w:t>current</w:t>
      </w:r>
      <w:r>
        <w:rPr>
          <w:i/>
          <w:spacing w:val="-16"/>
          <w:sz w:val="21"/>
        </w:rPr>
        <w:t> </w:t>
      </w:r>
      <w:r>
        <w:rPr>
          <w:i/>
          <w:sz w:val="21"/>
        </w:rPr>
        <w:t>symptoms</w:t>
      </w:r>
      <w:r>
        <w:rPr>
          <w:i/>
          <w:spacing w:val="-16"/>
          <w:sz w:val="21"/>
        </w:rPr>
        <w:t> </w:t>
      </w:r>
      <w:r>
        <w:rPr>
          <w:i/>
          <w:sz w:val="21"/>
        </w:rPr>
        <w:t>were</w:t>
      </w:r>
      <w:r>
        <w:rPr>
          <w:i/>
          <w:spacing w:val="-17"/>
          <w:sz w:val="21"/>
        </w:rPr>
        <w:t> </w:t>
      </w:r>
      <w:r>
        <w:rPr>
          <w:i/>
          <w:sz w:val="21"/>
        </w:rPr>
        <w:t>not</w:t>
      </w:r>
      <w:r>
        <w:rPr>
          <w:i/>
          <w:spacing w:val="-16"/>
          <w:sz w:val="21"/>
        </w:rPr>
        <w:t> </w:t>
      </w:r>
      <w:r>
        <w:rPr>
          <w:i/>
          <w:sz w:val="21"/>
        </w:rPr>
        <w:t>severe.</w:t>
      </w:r>
      <w:r>
        <w:rPr>
          <w:i/>
          <w:spacing w:val="-16"/>
          <w:sz w:val="21"/>
        </w:rPr>
        <w:t> </w:t>
      </w:r>
      <w:r>
        <w:rPr>
          <w:i/>
          <w:sz w:val="21"/>
        </w:rPr>
        <w:t>EPK had</w:t>
      </w:r>
      <w:r>
        <w:rPr>
          <w:i/>
          <w:spacing w:val="-8"/>
          <w:sz w:val="21"/>
        </w:rPr>
        <w:t> </w:t>
      </w:r>
      <w:r>
        <w:rPr>
          <w:i/>
          <w:sz w:val="21"/>
        </w:rPr>
        <w:t>a</w:t>
      </w:r>
      <w:r>
        <w:rPr>
          <w:i/>
          <w:spacing w:val="-8"/>
          <w:sz w:val="21"/>
        </w:rPr>
        <w:t> </w:t>
      </w:r>
      <w:r>
        <w:rPr>
          <w:i/>
          <w:sz w:val="21"/>
        </w:rPr>
        <w:t>good</w:t>
      </w:r>
      <w:r>
        <w:rPr>
          <w:i/>
          <w:spacing w:val="-9"/>
          <w:sz w:val="21"/>
        </w:rPr>
        <w:t> </w:t>
      </w:r>
      <w:r>
        <w:rPr>
          <w:i/>
          <w:sz w:val="21"/>
        </w:rPr>
        <w:t>understanding</w:t>
      </w:r>
      <w:r>
        <w:rPr>
          <w:i/>
          <w:spacing w:val="-8"/>
          <w:sz w:val="21"/>
        </w:rPr>
        <w:t> </w:t>
      </w:r>
      <w:r>
        <w:rPr>
          <w:i/>
          <w:sz w:val="21"/>
        </w:rPr>
        <w:t>of</w:t>
      </w:r>
      <w:r>
        <w:rPr>
          <w:i/>
          <w:spacing w:val="-8"/>
          <w:sz w:val="21"/>
        </w:rPr>
        <w:t> </w:t>
      </w:r>
      <w:r>
        <w:rPr>
          <w:i/>
          <w:sz w:val="21"/>
        </w:rPr>
        <w:t>the</w:t>
      </w:r>
      <w:r>
        <w:rPr>
          <w:i/>
          <w:spacing w:val="-8"/>
          <w:sz w:val="21"/>
        </w:rPr>
        <w:t> </w:t>
      </w:r>
      <w:r>
        <w:rPr>
          <w:i/>
          <w:sz w:val="21"/>
        </w:rPr>
        <w:t>treatment</w:t>
      </w:r>
      <w:r>
        <w:rPr>
          <w:i/>
          <w:spacing w:val="-8"/>
          <w:sz w:val="21"/>
        </w:rPr>
        <w:t> </w:t>
      </w:r>
      <w:r>
        <w:rPr>
          <w:i/>
          <w:sz w:val="21"/>
        </w:rPr>
        <w:t>she</w:t>
      </w:r>
      <w:r>
        <w:rPr>
          <w:i/>
          <w:spacing w:val="-8"/>
          <w:sz w:val="21"/>
        </w:rPr>
        <w:t> </w:t>
      </w:r>
      <w:r>
        <w:rPr>
          <w:i/>
          <w:sz w:val="21"/>
        </w:rPr>
        <w:t>was</w:t>
      </w:r>
      <w:r>
        <w:rPr>
          <w:i/>
          <w:spacing w:val="-7"/>
          <w:sz w:val="21"/>
        </w:rPr>
        <w:t> </w:t>
      </w:r>
      <w:r>
        <w:rPr>
          <w:i/>
          <w:sz w:val="21"/>
        </w:rPr>
        <w:t>receiving</w:t>
      </w:r>
      <w:r>
        <w:rPr>
          <w:i/>
          <w:spacing w:val="-9"/>
          <w:sz w:val="21"/>
        </w:rPr>
        <w:t> </w:t>
      </w:r>
      <w:r>
        <w:rPr>
          <w:i/>
          <w:sz w:val="21"/>
        </w:rPr>
        <w:t>and</w:t>
      </w:r>
      <w:r>
        <w:rPr>
          <w:i/>
          <w:spacing w:val="-8"/>
          <w:sz w:val="21"/>
        </w:rPr>
        <w:t> </w:t>
      </w:r>
      <w:r>
        <w:rPr>
          <w:i/>
          <w:sz w:val="21"/>
        </w:rPr>
        <w:t>what</w:t>
      </w:r>
      <w:r>
        <w:rPr>
          <w:i/>
          <w:spacing w:val="-8"/>
          <w:sz w:val="21"/>
        </w:rPr>
        <w:t> </w:t>
      </w:r>
      <w:r>
        <w:rPr>
          <w:i/>
          <w:sz w:val="21"/>
        </w:rPr>
        <w:t>was</w:t>
      </w:r>
      <w:r>
        <w:rPr>
          <w:i/>
          <w:spacing w:val="-7"/>
          <w:sz w:val="21"/>
        </w:rPr>
        <w:t> </w:t>
      </w:r>
      <w:r>
        <w:rPr>
          <w:i/>
          <w:sz w:val="21"/>
        </w:rPr>
        <w:t>proposed</w:t>
      </w:r>
      <w:r>
        <w:rPr>
          <w:i/>
          <w:spacing w:val="-8"/>
          <w:sz w:val="21"/>
        </w:rPr>
        <w:t> </w:t>
      </w:r>
      <w:r>
        <w:rPr>
          <w:i/>
          <w:sz w:val="21"/>
        </w:rPr>
        <w:t>by</w:t>
      </w:r>
      <w:r>
        <w:rPr>
          <w:i/>
          <w:spacing w:val="-8"/>
          <w:sz w:val="21"/>
        </w:rPr>
        <w:t> </w:t>
      </w:r>
      <w:r>
        <w:rPr>
          <w:i/>
          <w:sz w:val="21"/>
        </w:rPr>
        <w:t>the treating</w:t>
      </w:r>
      <w:r>
        <w:rPr>
          <w:i/>
          <w:spacing w:val="-27"/>
          <w:sz w:val="21"/>
        </w:rPr>
        <w:t> </w:t>
      </w:r>
      <w:r>
        <w:rPr>
          <w:i/>
          <w:sz w:val="21"/>
        </w:rPr>
        <w:t>team</w:t>
      </w:r>
      <w:r>
        <w:rPr>
          <w:i/>
          <w:spacing w:val="-27"/>
          <w:sz w:val="21"/>
        </w:rPr>
        <w:t> </w:t>
      </w:r>
      <w:r>
        <w:rPr>
          <w:i/>
          <w:sz w:val="21"/>
        </w:rPr>
        <w:t>and</w:t>
      </w:r>
      <w:r>
        <w:rPr>
          <w:i/>
          <w:spacing w:val="-27"/>
          <w:sz w:val="21"/>
        </w:rPr>
        <w:t> </w:t>
      </w:r>
      <w:r>
        <w:rPr>
          <w:i/>
          <w:sz w:val="21"/>
        </w:rPr>
        <w:t>she</w:t>
      </w:r>
      <w:r>
        <w:rPr>
          <w:i/>
          <w:spacing w:val="-26"/>
          <w:sz w:val="21"/>
        </w:rPr>
        <w:t> </w:t>
      </w:r>
      <w:r>
        <w:rPr>
          <w:i/>
          <w:sz w:val="21"/>
        </w:rPr>
        <w:t>had</w:t>
      </w:r>
      <w:r>
        <w:rPr>
          <w:i/>
          <w:spacing w:val="-27"/>
          <w:sz w:val="21"/>
        </w:rPr>
        <w:t> </w:t>
      </w:r>
      <w:r>
        <w:rPr>
          <w:i/>
          <w:sz w:val="21"/>
        </w:rPr>
        <w:t>a</w:t>
      </w:r>
      <w:r>
        <w:rPr>
          <w:i/>
          <w:spacing w:val="-26"/>
          <w:sz w:val="21"/>
        </w:rPr>
        <w:t> </w:t>
      </w:r>
      <w:r>
        <w:rPr>
          <w:i/>
          <w:sz w:val="21"/>
        </w:rPr>
        <w:t>clear</w:t>
      </w:r>
      <w:r>
        <w:rPr>
          <w:i/>
          <w:spacing w:val="-27"/>
          <w:sz w:val="21"/>
        </w:rPr>
        <w:t> </w:t>
      </w:r>
      <w:r>
        <w:rPr>
          <w:i/>
          <w:sz w:val="21"/>
        </w:rPr>
        <w:t>view</w:t>
      </w:r>
      <w:r>
        <w:rPr>
          <w:i/>
          <w:spacing w:val="-27"/>
          <w:sz w:val="21"/>
        </w:rPr>
        <w:t> </w:t>
      </w:r>
      <w:r>
        <w:rPr>
          <w:i/>
          <w:sz w:val="21"/>
        </w:rPr>
        <w:t>in</w:t>
      </w:r>
      <w:r>
        <w:rPr>
          <w:i/>
          <w:spacing w:val="-27"/>
          <w:sz w:val="21"/>
        </w:rPr>
        <w:t> </w:t>
      </w:r>
      <w:r>
        <w:rPr>
          <w:i/>
          <w:sz w:val="21"/>
        </w:rPr>
        <w:t>respect</w:t>
      </w:r>
      <w:r>
        <w:rPr>
          <w:i/>
          <w:spacing w:val="-26"/>
          <w:sz w:val="21"/>
        </w:rPr>
        <w:t> </w:t>
      </w:r>
      <w:r>
        <w:rPr>
          <w:i/>
          <w:sz w:val="21"/>
        </w:rPr>
        <w:t>to</w:t>
      </w:r>
      <w:r>
        <w:rPr>
          <w:i/>
          <w:spacing w:val="-26"/>
          <w:sz w:val="21"/>
        </w:rPr>
        <w:t> </w:t>
      </w:r>
      <w:r>
        <w:rPr>
          <w:i/>
          <w:sz w:val="21"/>
        </w:rPr>
        <w:t>her</w:t>
      </w:r>
      <w:r>
        <w:rPr>
          <w:i/>
          <w:spacing w:val="-27"/>
          <w:sz w:val="21"/>
        </w:rPr>
        <w:t> </w:t>
      </w:r>
      <w:r>
        <w:rPr>
          <w:i/>
          <w:sz w:val="21"/>
        </w:rPr>
        <w:t>own</w:t>
      </w:r>
      <w:r>
        <w:rPr>
          <w:i/>
          <w:spacing w:val="-27"/>
          <w:sz w:val="21"/>
        </w:rPr>
        <w:t> </w:t>
      </w:r>
      <w:r>
        <w:rPr>
          <w:i/>
          <w:sz w:val="21"/>
        </w:rPr>
        <w:t>recovery</w:t>
      </w:r>
      <w:r>
        <w:rPr>
          <w:i/>
          <w:spacing w:val="-27"/>
          <w:sz w:val="21"/>
        </w:rPr>
        <w:t> </w:t>
      </w:r>
      <w:r>
        <w:rPr>
          <w:i/>
          <w:sz w:val="21"/>
        </w:rPr>
        <w:t>objectives.</w:t>
      </w:r>
      <w:r>
        <w:rPr>
          <w:i/>
          <w:spacing w:val="-26"/>
          <w:sz w:val="21"/>
        </w:rPr>
        <w:t> </w:t>
      </w:r>
      <w:r>
        <w:rPr>
          <w:i/>
          <w:sz w:val="21"/>
        </w:rPr>
        <w:t>She</w:t>
      </w:r>
      <w:r>
        <w:rPr>
          <w:i/>
          <w:spacing w:val="-27"/>
          <w:sz w:val="21"/>
        </w:rPr>
        <w:t> </w:t>
      </w:r>
      <w:r>
        <w:rPr>
          <w:i/>
          <w:sz w:val="21"/>
        </w:rPr>
        <w:t>was</w:t>
      </w:r>
      <w:r>
        <w:rPr>
          <w:i/>
          <w:spacing w:val="-26"/>
          <w:sz w:val="21"/>
        </w:rPr>
        <w:t> </w:t>
      </w:r>
      <w:r>
        <w:rPr>
          <w:i/>
          <w:sz w:val="21"/>
        </w:rPr>
        <w:t>ready and</w:t>
      </w:r>
      <w:r>
        <w:rPr>
          <w:i/>
          <w:spacing w:val="-20"/>
          <w:sz w:val="21"/>
        </w:rPr>
        <w:t> </w:t>
      </w:r>
      <w:r>
        <w:rPr>
          <w:i/>
          <w:sz w:val="21"/>
        </w:rPr>
        <w:t>willing</w:t>
      </w:r>
      <w:r>
        <w:rPr>
          <w:i/>
          <w:spacing w:val="-20"/>
          <w:sz w:val="21"/>
        </w:rPr>
        <w:t> </w:t>
      </w:r>
      <w:r>
        <w:rPr>
          <w:i/>
          <w:sz w:val="21"/>
        </w:rPr>
        <w:t>to</w:t>
      </w:r>
      <w:r>
        <w:rPr>
          <w:i/>
          <w:spacing w:val="-20"/>
          <w:sz w:val="21"/>
        </w:rPr>
        <w:t> </w:t>
      </w:r>
      <w:r>
        <w:rPr>
          <w:i/>
          <w:sz w:val="21"/>
        </w:rPr>
        <w:t>consent</w:t>
      </w:r>
      <w:r>
        <w:rPr>
          <w:i/>
          <w:spacing w:val="-20"/>
          <w:sz w:val="21"/>
        </w:rPr>
        <w:t> </w:t>
      </w:r>
      <w:r>
        <w:rPr>
          <w:i/>
          <w:sz w:val="21"/>
        </w:rPr>
        <w:t>to</w:t>
      </w:r>
      <w:r>
        <w:rPr>
          <w:i/>
          <w:spacing w:val="-20"/>
          <w:sz w:val="21"/>
        </w:rPr>
        <w:t> </w:t>
      </w:r>
      <w:r>
        <w:rPr>
          <w:i/>
          <w:sz w:val="21"/>
        </w:rPr>
        <w:t>the</w:t>
      </w:r>
      <w:r>
        <w:rPr>
          <w:i/>
          <w:spacing w:val="-20"/>
          <w:sz w:val="21"/>
        </w:rPr>
        <w:t> </w:t>
      </w:r>
      <w:r>
        <w:rPr>
          <w:i/>
          <w:sz w:val="21"/>
        </w:rPr>
        <w:t>required</w:t>
      </w:r>
      <w:r>
        <w:rPr>
          <w:i/>
          <w:spacing w:val="-20"/>
          <w:sz w:val="21"/>
        </w:rPr>
        <w:t> </w:t>
      </w:r>
      <w:r>
        <w:rPr>
          <w:i/>
          <w:sz w:val="21"/>
        </w:rPr>
        <w:t>treatment</w:t>
      </w:r>
      <w:r>
        <w:rPr>
          <w:i/>
          <w:spacing w:val="-20"/>
          <w:sz w:val="21"/>
        </w:rPr>
        <w:t> </w:t>
      </w:r>
      <w:r>
        <w:rPr>
          <w:i/>
          <w:sz w:val="21"/>
        </w:rPr>
        <w:t>as</w:t>
      </w:r>
      <w:r>
        <w:rPr>
          <w:i/>
          <w:spacing w:val="-20"/>
          <w:sz w:val="21"/>
        </w:rPr>
        <w:t> </w:t>
      </w:r>
      <w:r>
        <w:rPr>
          <w:i/>
          <w:sz w:val="21"/>
        </w:rPr>
        <w:t>a</w:t>
      </w:r>
      <w:r>
        <w:rPr>
          <w:i/>
          <w:spacing w:val="-20"/>
          <w:sz w:val="21"/>
        </w:rPr>
        <w:t> </w:t>
      </w:r>
      <w:r>
        <w:rPr>
          <w:i/>
          <w:sz w:val="21"/>
        </w:rPr>
        <w:t>voluntary</w:t>
      </w:r>
      <w:r>
        <w:rPr>
          <w:i/>
          <w:spacing w:val="-20"/>
          <w:sz w:val="21"/>
        </w:rPr>
        <w:t> </w:t>
      </w:r>
      <w:r>
        <w:rPr>
          <w:i/>
          <w:sz w:val="21"/>
        </w:rPr>
        <w:t>patient</w:t>
      </w:r>
      <w:r>
        <w:rPr>
          <w:i/>
          <w:spacing w:val="-20"/>
          <w:sz w:val="21"/>
        </w:rPr>
        <w:t> </w:t>
      </w:r>
      <w:r>
        <w:rPr>
          <w:i/>
          <w:sz w:val="21"/>
        </w:rPr>
        <w:t>and</w:t>
      </w:r>
      <w:r>
        <w:rPr>
          <w:i/>
          <w:spacing w:val="-20"/>
          <w:sz w:val="21"/>
        </w:rPr>
        <w:t> </w:t>
      </w:r>
      <w:r>
        <w:rPr>
          <w:i/>
          <w:sz w:val="21"/>
        </w:rPr>
        <w:t>would</w:t>
      </w:r>
      <w:r>
        <w:rPr>
          <w:i/>
          <w:spacing w:val="-20"/>
          <w:sz w:val="21"/>
        </w:rPr>
        <w:t> </w:t>
      </w:r>
      <w:r>
        <w:rPr>
          <w:i/>
          <w:sz w:val="21"/>
        </w:rPr>
        <w:t>remain</w:t>
      </w:r>
      <w:r>
        <w:rPr>
          <w:i/>
          <w:spacing w:val="-20"/>
          <w:sz w:val="21"/>
        </w:rPr>
        <w:t> </w:t>
      </w:r>
      <w:r>
        <w:rPr>
          <w:i/>
          <w:sz w:val="21"/>
        </w:rPr>
        <w:t>in</w:t>
      </w:r>
      <w:r>
        <w:rPr>
          <w:i/>
          <w:spacing w:val="-20"/>
          <w:sz w:val="21"/>
        </w:rPr>
        <w:t> </w:t>
      </w:r>
      <w:r>
        <w:rPr>
          <w:i/>
          <w:sz w:val="21"/>
        </w:rPr>
        <w:t>the ward.</w:t>
      </w:r>
    </w:p>
    <w:p>
      <w:pPr>
        <w:pStyle w:val="BodyText"/>
        <w:spacing w:before="1"/>
        <w:rPr>
          <w:i/>
          <w:sz w:val="23"/>
        </w:rPr>
      </w:pPr>
    </w:p>
    <w:p>
      <w:pPr>
        <w:pStyle w:val="BodyText"/>
        <w:spacing w:line="237" w:lineRule="auto"/>
        <w:ind w:left="120" w:right="110"/>
        <w:jc w:val="both"/>
      </w:pPr>
      <w:r>
        <w:rPr/>
        <w:t>What is implied here is not that these people lack decision-making capacity in a strict legal sense, but that the Tribunal does not believe that they will make good decisions, or decisions which the treating team would have preferred they make. This approach was most clear in </w:t>
      </w:r>
      <w:r>
        <w:rPr>
          <w:i/>
          <w:sz w:val="25"/>
        </w:rPr>
        <w:t>WRH </w:t>
      </w:r>
      <w:hyperlink w:history="true" w:anchor="_bookmark58">
        <w:r>
          <w:rPr>
            <w:i/>
            <w:position w:val="8"/>
            <w:sz w:val="17"/>
          </w:rPr>
          <w:t>57</w:t>
        </w:r>
      </w:hyperlink>
      <w:r>
        <w:rPr/>
        <w:t>:</w:t>
      </w:r>
    </w:p>
    <w:p>
      <w:pPr>
        <w:pStyle w:val="BodyText"/>
        <w:spacing w:before="2"/>
        <w:rPr>
          <w:sz w:val="23"/>
        </w:rPr>
      </w:pPr>
    </w:p>
    <w:p>
      <w:pPr>
        <w:spacing w:line="228" w:lineRule="auto" w:before="0"/>
        <w:ind w:left="688" w:right="110" w:hanging="1"/>
        <w:jc w:val="both"/>
        <w:rPr>
          <w:i/>
          <w:sz w:val="21"/>
        </w:rPr>
      </w:pPr>
      <w:r>
        <w:rPr>
          <w:i/>
          <w:sz w:val="21"/>
        </w:rPr>
        <w:t>The majority view was that WRH's ability to make treatment decisions was impaired due the severity</w:t>
      </w:r>
      <w:r>
        <w:rPr>
          <w:i/>
          <w:spacing w:val="-12"/>
          <w:sz w:val="21"/>
        </w:rPr>
        <w:t> </w:t>
      </w:r>
      <w:r>
        <w:rPr>
          <w:i/>
          <w:sz w:val="21"/>
        </w:rPr>
        <w:t>of</w:t>
      </w:r>
      <w:r>
        <w:rPr>
          <w:i/>
          <w:spacing w:val="-11"/>
          <w:sz w:val="21"/>
        </w:rPr>
        <w:t> </w:t>
      </w:r>
      <w:r>
        <w:rPr>
          <w:i/>
          <w:sz w:val="21"/>
        </w:rPr>
        <w:t>her</w:t>
      </w:r>
      <w:r>
        <w:rPr>
          <w:i/>
          <w:spacing w:val="-11"/>
          <w:sz w:val="21"/>
        </w:rPr>
        <w:t> </w:t>
      </w:r>
      <w:r>
        <w:rPr>
          <w:i/>
          <w:sz w:val="21"/>
        </w:rPr>
        <w:t>mental</w:t>
      </w:r>
      <w:r>
        <w:rPr>
          <w:i/>
          <w:spacing w:val="-11"/>
          <w:sz w:val="21"/>
        </w:rPr>
        <w:t> </w:t>
      </w:r>
      <w:r>
        <w:rPr>
          <w:i/>
          <w:sz w:val="21"/>
        </w:rPr>
        <w:t>illness.</w:t>
      </w:r>
      <w:r>
        <w:rPr>
          <w:i/>
          <w:spacing w:val="-11"/>
          <w:sz w:val="21"/>
        </w:rPr>
        <w:t> </w:t>
      </w:r>
      <w:r>
        <w:rPr>
          <w:i/>
          <w:sz w:val="21"/>
        </w:rPr>
        <w:t>WRH’s</w:t>
      </w:r>
      <w:r>
        <w:rPr>
          <w:i/>
          <w:spacing w:val="-10"/>
          <w:sz w:val="21"/>
        </w:rPr>
        <w:t> </w:t>
      </w:r>
      <w:r>
        <w:rPr>
          <w:i/>
          <w:sz w:val="21"/>
        </w:rPr>
        <w:t>exclusion</w:t>
      </w:r>
      <w:r>
        <w:rPr>
          <w:i/>
          <w:spacing w:val="-11"/>
          <w:sz w:val="21"/>
        </w:rPr>
        <w:t> </w:t>
      </w:r>
      <w:r>
        <w:rPr>
          <w:i/>
          <w:sz w:val="21"/>
        </w:rPr>
        <w:t>of</w:t>
      </w:r>
      <w:r>
        <w:rPr>
          <w:i/>
          <w:spacing w:val="-11"/>
          <w:sz w:val="21"/>
        </w:rPr>
        <w:t> </w:t>
      </w:r>
      <w:r>
        <w:rPr>
          <w:i/>
          <w:sz w:val="21"/>
        </w:rPr>
        <w:t>her</w:t>
      </w:r>
      <w:r>
        <w:rPr>
          <w:i/>
          <w:spacing w:val="-11"/>
          <w:sz w:val="21"/>
        </w:rPr>
        <w:t> </w:t>
      </w:r>
      <w:r>
        <w:rPr>
          <w:i/>
          <w:sz w:val="21"/>
        </w:rPr>
        <w:t>family,</w:t>
      </w:r>
      <w:r>
        <w:rPr>
          <w:i/>
          <w:spacing w:val="-10"/>
          <w:sz w:val="21"/>
        </w:rPr>
        <w:t> </w:t>
      </w:r>
      <w:r>
        <w:rPr>
          <w:i/>
          <w:sz w:val="21"/>
        </w:rPr>
        <w:t>who</w:t>
      </w:r>
      <w:r>
        <w:rPr>
          <w:i/>
          <w:spacing w:val="-10"/>
          <w:sz w:val="21"/>
        </w:rPr>
        <w:t> </w:t>
      </w:r>
      <w:r>
        <w:rPr>
          <w:i/>
          <w:sz w:val="21"/>
        </w:rPr>
        <w:t>may</w:t>
      </w:r>
      <w:r>
        <w:rPr>
          <w:i/>
          <w:spacing w:val="-11"/>
          <w:sz w:val="21"/>
        </w:rPr>
        <w:t> </w:t>
      </w:r>
      <w:r>
        <w:rPr>
          <w:i/>
          <w:sz w:val="21"/>
        </w:rPr>
        <w:t>have</w:t>
      </w:r>
      <w:r>
        <w:rPr>
          <w:i/>
          <w:spacing w:val="-10"/>
          <w:sz w:val="21"/>
        </w:rPr>
        <w:t> </w:t>
      </w:r>
      <w:r>
        <w:rPr>
          <w:i/>
          <w:sz w:val="21"/>
        </w:rPr>
        <w:t>been</w:t>
      </w:r>
      <w:r>
        <w:rPr>
          <w:i/>
          <w:spacing w:val="-11"/>
          <w:sz w:val="21"/>
        </w:rPr>
        <w:t> </w:t>
      </w:r>
      <w:r>
        <w:rPr>
          <w:i/>
          <w:sz w:val="21"/>
        </w:rPr>
        <w:t>a</w:t>
      </w:r>
      <w:r>
        <w:rPr>
          <w:i/>
          <w:spacing w:val="-10"/>
          <w:sz w:val="21"/>
        </w:rPr>
        <w:t> </w:t>
      </w:r>
      <w:r>
        <w:rPr>
          <w:i/>
          <w:sz w:val="21"/>
        </w:rPr>
        <w:t>protective factor,</w:t>
      </w:r>
      <w:r>
        <w:rPr>
          <w:i/>
          <w:spacing w:val="20"/>
          <w:sz w:val="21"/>
        </w:rPr>
        <w:t> </w:t>
      </w:r>
      <w:r>
        <w:rPr>
          <w:i/>
          <w:sz w:val="21"/>
        </w:rPr>
        <w:t>lead</w:t>
      </w:r>
      <w:r>
        <w:rPr>
          <w:i/>
          <w:spacing w:val="18"/>
          <w:sz w:val="21"/>
        </w:rPr>
        <w:t> </w:t>
      </w:r>
      <w:r>
        <w:rPr>
          <w:i/>
          <w:sz w:val="21"/>
        </w:rPr>
        <w:t>the</w:t>
      </w:r>
      <w:r>
        <w:rPr>
          <w:i/>
          <w:spacing w:val="18"/>
          <w:sz w:val="21"/>
        </w:rPr>
        <w:t> </w:t>
      </w:r>
      <w:r>
        <w:rPr>
          <w:i/>
          <w:sz w:val="21"/>
        </w:rPr>
        <w:t>members</w:t>
      </w:r>
      <w:r>
        <w:rPr>
          <w:i/>
          <w:spacing w:val="17"/>
          <w:sz w:val="21"/>
        </w:rPr>
        <w:t> </w:t>
      </w:r>
      <w:r>
        <w:rPr>
          <w:i/>
          <w:sz w:val="21"/>
        </w:rPr>
        <w:t>to</w:t>
      </w:r>
      <w:r>
        <w:rPr>
          <w:i/>
          <w:spacing w:val="18"/>
          <w:sz w:val="21"/>
        </w:rPr>
        <w:t> </w:t>
      </w:r>
      <w:r>
        <w:rPr>
          <w:i/>
          <w:sz w:val="21"/>
        </w:rPr>
        <w:t>agree</w:t>
      </w:r>
      <w:r>
        <w:rPr>
          <w:i/>
          <w:spacing w:val="18"/>
          <w:sz w:val="21"/>
        </w:rPr>
        <w:t> </w:t>
      </w:r>
      <w:r>
        <w:rPr>
          <w:i/>
          <w:sz w:val="21"/>
        </w:rPr>
        <w:t>that</w:t>
      </w:r>
      <w:r>
        <w:rPr>
          <w:i/>
          <w:spacing w:val="18"/>
          <w:sz w:val="21"/>
        </w:rPr>
        <w:t> </w:t>
      </w:r>
      <w:r>
        <w:rPr>
          <w:i/>
          <w:sz w:val="21"/>
        </w:rPr>
        <w:t>there</w:t>
      </w:r>
      <w:r>
        <w:rPr>
          <w:i/>
          <w:spacing w:val="18"/>
          <w:sz w:val="21"/>
        </w:rPr>
        <w:t> </w:t>
      </w:r>
      <w:r>
        <w:rPr>
          <w:i/>
          <w:sz w:val="21"/>
        </w:rPr>
        <w:t>was</w:t>
      </w:r>
      <w:r>
        <w:rPr>
          <w:i/>
          <w:spacing w:val="17"/>
          <w:sz w:val="21"/>
        </w:rPr>
        <w:t> </w:t>
      </w:r>
      <w:r>
        <w:rPr>
          <w:i/>
          <w:sz w:val="21"/>
        </w:rPr>
        <w:t>no</w:t>
      </w:r>
      <w:r>
        <w:rPr>
          <w:i/>
          <w:spacing w:val="18"/>
          <w:sz w:val="21"/>
        </w:rPr>
        <w:t> </w:t>
      </w:r>
      <w:r>
        <w:rPr>
          <w:i/>
          <w:sz w:val="21"/>
        </w:rPr>
        <w:t>less</w:t>
      </w:r>
      <w:r>
        <w:rPr>
          <w:i/>
          <w:spacing w:val="20"/>
          <w:sz w:val="21"/>
        </w:rPr>
        <w:t> </w:t>
      </w:r>
      <w:r>
        <w:rPr>
          <w:i/>
          <w:sz w:val="21"/>
        </w:rPr>
        <w:t>restrictive</w:t>
      </w:r>
      <w:r>
        <w:rPr>
          <w:i/>
          <w:spacing w:val="18"/>
          <w:sz w:val="21"/>
        </w:rPr>
        <w:t> </w:t>
      </w:r>
      <w:r>
        <w:rPr>
          <w:i/>
          <w:sz w:val="21"/>
        </w:rPr>
        <w:t>option</w:t>
      </w:r>
      <w:r>
        <w:rPr>
          <w:i/>
          <w:spacing w:val="17"/>
          <w:sz w:val="21"/>
        </w:rPr>
        <w:t> </w:t>
      </w:r>
      <w:r>
        <w:rPr>
          <w:i/>
          <w:sz w:val="21"/>
        </w:rPr>
        <w:t>for</w:t>
      </w:r>
      <w:r>
        <w:rPr>
          <w:i/>
          <w:spacing w:val="18"/>
          <w:sz w:val="21"/>
        </w:rPr>
        <w:t> </w:t>
      </w:r>
      <w:r>
        <w:rPr>
          <w:i/>
          <w:sz w:val="21"/>
        </w:rPr>
        <w:t>immediate</w:t>
      </w:r>
    </w:p>
    <w:p>
      <w:pPr>
        <w:pStyle w:val="BodyText"/>
        <w:rPr>
          <w:i/>
          <w:sz w:val="20"/>
        </w:rPr>
      </w:pPr>
    </w:p>
    <w:p>
      <w:pPr>
        <w:pStyle w:val="BodyText"/>
        <w:rPr>
          <w:i/>
          <w:sz w:val="20"/>
        </w:rPr>
      </w:pPr>
    </w:p>
    <w:p>
      <w:pPr>
        <w:pStyle w:val="BodyText"/>
        <w:spacing w:before="7"/>
        <w:rPr>
          <w:i/>
          <w:sz w:val="26"/>
        </w:rPr>
      </w:pPr>
      <w:r>
        <w:rPr/>
        <w:pict>
          <v:line style="position:absolute;mso-position-horizontal-relative:page;mso-position-vertical-relative:paragraph;z-index:1792;mso-wrap-distance-left:0;mso-wrap-distance-right:0" from="67.019997pt,18.275124pt" to="211.019997pt,18.275124pt" stroked="true" strokeweight=".54pt" strokecolor="#000000">
            <v:stroke dashstyle="solid"/>
            <w10:wrap type="topAndBottom"/>
          </v:line>
        </w:pict>
      </w:r>
    </w:p>
    <w:p>
      <w:pPr>
        <w:spacing w:line="247" w:lineRule="exact" w:before="54"/>
        <w:ind w:left="120" w:right="0" w:firstLine="0"/>
        <w:jc w:val="left"/>
        <w:rPr>
          <w:sz w:val="20"/>
        </w:rPr>
      </w:pPr>
      <w:bookmarkStart w:name="_bookmark56" w:id="58"/>
      <w:bookmarkEnd w:id="58"/>
      <w:r>
        <w:rPr/>
      </w:r>
      <w:r>
        <w:rPr>
          <w:position w:val="7"/>
          <w:sz w:val="13"/>
        </w:rPr>
        <w:t>55 </w:t>
      </w:r>
      <w:r>
        <w:rPr>
          <w:i/>
          <w:sz w:val="21"/>
        </w:rPr>
        <w:t>MKP  </w:t>
      </w:r>
      <w:r>
        <w:rPr>
          <w:sz w:val="20"/>
        </w:rPr>
        <w:t>[2015] VMHT 108.</w:t>
      </w:r>
    </w:p>
    <w:p>
      <w:pPr>
        <w:spacing w:line="241" w:lineRule="exact" w:before="0"/>
        <w:ind w:left="120" w:right="0" w:firstLine="0"/>
        <w:jc w:val="left"/>
        <w:rPr>
          <w:sz w:val="20"/>
        </w:rPr>
      </w:pPr>
      <w:bookmarkStart w:name="_bookmark57" w:id="59"/>
      <w:bookmarkEnd w:id="59"/>
      <w:r>
        <w:rPr/>
      </w:r>
      <w:r>
        <w:rPr>
          <w:position w:val="7"/>
          <w:sz w:val="13"/>
        </w:rPr>
        <w:t>56 </w:t>
      </w:r>
      <w:r>
        <w:rPr>
          <w:i/>
          <w:sz w:val="21"/>
        </w:rPr>
        <w:t>EPK   </w:t>
      </w:r>
      <w:r>
        <w:rPr>
          <w:sz w:val="20"/>
        </w:rPr>
        <w:t>[2015] VMHT 47.</w:t>
      </w:r>
    </w:p>
    <w:p>
      <w:pPr>
        <w:spacing w:line="247" w:lineRule="exact" w:before="0"/>
        <w:ind w:left="120" w:right="0" w:firstLine="0"/>
        <w:jc w:val="left"/>
        <w:rPr>
          <w:sz w:val="20"/>
        </w:rPr>
      </w:pPr>
      <w:bookmarkStart w:name="_bookmark58" w:id="60"/>
      <w:bookmarkEnd w:id="60"/>
      <w:r>
        <w:rPr/>
      </w:r>
      <w:r>
        <w:rPr>
          <w:position w:val="7"/>
          <w:sz w:val="13"/>
        </w:rPr>
        <w:t>57 </w:t>
      </w:r>
      <w:r>
        <w:rPr>
          <w:i/>
          <w:sz w:val="21"/>
        </w:rPr>
        <w:t>WRH </w:t>
      </w:r>
      <w:r>
        <w:rPr>
          <w:sz w:val="20"/>
        </w:rPr>
        <w:t>[2015] VMHT 27.</w:t>
      </w:r>
    </w:p>
    <w:p>
      <w:pPr>
        <w:spacing w:after="0" w:line="247" w:lineRule="exact"/>
        <w:jc w:val="left"/>
        <w:rPr>
          <w:sz w:val="20"/>
        </w:rPr>
        <w:sectPr>
          <w:pgSz w:w="11910" w:h="16840"/>
          <w:pgMar w:header="763" w:footer="1025" w:top="980" w:bottom="1220" w:left="1220" w:right="1320"/>
        </w:sectPr>
      </w:pPr>
    </w:p>
    <w:p>
      <w:pPr>
        <w:pStyle w:val="BodyText"/>
        <w:spacing w:before="5"/>
        <w:rPr>
          <w:sz w:val="20"/>
        </w:rPr>
      </w:pPr>
    </w:p>
    <w:p>
      <w:pPr>
        <w:spacing w:line="230" w:lineRule="auto" w:before="112"/>
        <w:ind w:left="687" w:right="110" w:firstLine="0"/>
        <w:jc w:val="both"/>
        <w:rPr>
          <w:i/>
          <w:sz w:val="21"/>
        </w:rPr>
      </w:pPr>
      <w:r>
        <w:rPr>
          <w:i/>
          <w:sz w:val="21"/>
        </w:rPr>
        <w:t>treatment.</w:t>
      </w:r>
      <w:r>
        <w:rPr>
          <w:i/>
          <w:spacing w:val="-29"/>
          <w:sz w:val="21"/>
        </w:rPr>
        <w:t> </w:t>
      </w:r>
      <w:r>
        <w:rPr>
          <w:i/>
          <w:sz w:val="21"/>
        </w:rPr>
        <w:t>Accordingly,</w:t>
      </w:r>
      <w:r>
        <w:rPr>
          <w:i/>
          <w:spacing w:val="-29"/>
          <w:sz w:val="21"/>
        </w:rPr>
        <w:t> </w:t>
      </w:r>
      <w:r>
        <w:rPr>
          <w:i/>
          <w:sz w:val="21"/>
        </w:rPr>
        <w:t>the</w:t>
      </w:r>
      <w:r>
        <w:rPr>
          <w:i/>
          <w:spacing w:val="-29"/>
          <w:sz w:val="21"/>
        </w:rPr>
        <w:t> </w:t>
      </w:r>
      <w:r>
        <w:rPr>
          <w:i/>
          <w:sz w:val="21"/>
        </w:rPr>
        <w:t>majority</w:t>
      </w:r>
      <w:r>
        <w:rPr>
          <w:i/>
          <w:spacing w:val="-30"/>
          <w:sz w:val="21"/>
        </w:rPr>
        <w:t> </w:t>
      </w:r>
      <w:r>
        <w:rPr>
          <w:i/>
          <w:sz w:val="21"/>
        </w:rPr>
        <w:t>view</w:t>
      </w:r>
      <w:r>
        <w:rPr>
          <w:i/>
          <w:spacing w:val="-29"/>
          <w:sz w:val="21"/>
        </w:rPr>
        <w:t> </w:t>
      </w:r>
      <w:r>
        <w:rPr>
          <w:i/>
          <w:sz w:val="21"/>
        </w:rPr>
        <w:t>was</w:t>
      </w:r>
      <w:r>
        <w:rPr>
          <w:i/>
          <w:spacing w:val="-29"/>
          <w:sz w:val="21"/>
        </w:rPr>
        <w:t> </w:t>
      </w:r>
      <w:r>
        <w:rPr>
          <w:i/>
          <w:sz w:val="21"/>
        </w:rPr>
        <w:t>that</w:t>
      </w:r>
      <w:r>
        <w:rPr>
          <w:i/>
          <w:spacing w:val="-29"/>
          <w:sz w:val="21"/>
        </w:rPr>
        <w:t> </w:t>
      </w:r>
      <w:r>
        <w:rPr>
          <w:i/>
          <w:sz w:val="21"/>
        </w:rPr>
        <w:t>WRH</w:t>
      </w:r>
      <w:r>
        <w:rPr>
          <w:i/>
          <w:spacing w:val="-29"/>
          <w:sz w:val="21"/>
        </w:rPr>
        <w:t> </w:t>
      </w:r>
      <w:r>
        <w:rPr>
          <w:i/>
          <w:sz w:val="21"/>
        </w:rPr>
        <w:t>would</w:t>
      </w:r>
      <w:r>
        <w:rPr>
          <w:i/>
          <w:spacing w:val="-29"/>
          <w:sz w:val="21"/>
        </w:rPr>
        <w:t> </w:t>
      </w:r>
      <w:r>
        <w:rPr>
          <w:i/>
          <w:sz w:val="21"/>
        </w:rPr>
        <w:t>not</w:t>
      </w:r>
      <w:r>
        <w:rPr>
          <w:i/>
          <w:spacing w:val="-29"/>
          <w:sz w:val="21"/>
        </w:rPr>
        <w:t> </w:t>
      </w:r>
      <w:r>
        <w:rPr>
          <w:i/>
          <w:sz w:val="21"/>
        </w:rPr>
        <w:t>be</w:t>
      </w:r>
      <w:r>
        <w:rPr>
          <w:i/>
          <w:spacing w:val="-29"/>
          <w:sz w:val="21"/>
        </w:rPr>
        <w:t> </w:t>
      </w:r>
      <w:r>
        <w:rPr>
          <w:i/>
          <w:sz w:val="21"/>
        </w:rPr>
        <w:t>able</w:t>
      </w:r>
      <w:r>
        <w:rPr>
          <w:i/>
          <w:spacing w:val="-29"/>
          <w:sz w:val="21"/>
        </w:rPr>
        <w:t> </w:t>
      </w:r>
      <w:r>
        <w:rPr>
          <w:i/>
          <w:sz w:val="21"/>
        </w:rPr>
        <w:t>to</w:t>
      </w:r>
      <w:r>
        <w:rPr>
          <w:i/>
          <w:spacing w:val="-29"/>
          <w:sz w:val="21"/>
        </w:rPr>
        <w:t> </w:t>
      </w:r>
      <w:r>
        <w:rPr>
          <w:i/>
          <w:sz w:val="21"/>
        </w:rPr>
        <w:t>receive</w:t>
      </w:r>
      <w:r>
        <w:rPr>
          <w:i/>
          <w:spacing w:val="-29"/>
          <w:sz w:val="21"/>
        </w:rPr>
        <w:t> </w:t>
      </w:r>
      <w:r>
        <w:rPr>
          <w:i/>
          <w:sz w:val="21"/>
        </w:rPr>
        <w:t>immediate treatment</w:t>
      </w:r>
      <w:r>
        <w:rPr>
          <w:i/>
          <w:spacing w:val="-37"/>
          <w:sz w:val="21"/>
        </w:rPr>
        <w:t> </w:t>
      </w:r>
      <w:r>
        <w:rPr>
          <w:i/>
          <w:sz w:val="21"/>
        </w:rPr>
        <w:t>in</w:t>
      </w:r>
      <w:r>
        <w:rPr>
          <w:i/>
          <w:spacing w:val="-38"/>
          <w:sz w:val="21"/>
        </w:rPr>
        <w:t> </w:t>
      </w:r>
      <w:r>
        <w:rPr>
          <w:i/>
          <w:sz w:val="21"/>
        </w:rPr>
        <w:t>a</w:t>
      </w:r>
      <w:r>
        <w:rPr>
          <w:i/>
          <w:spacing w:val="-37"/>
          <w:sz w:val="21"/>
        </w:rPr>
        <w:t> </w:t>
      </w:r>
      <w:r>
        <w:rPr>
          <w:i/>
          <w:sz w:val="21"/>
        </w:rPr>
        <w:t>less</w:t>
      </w:r>
      <w:r>
        <w:rPr>
          <w:i/>
          <w:spacing w:val="-37"/>
          <w:sz w:val="21"/>
        </w:rPr>
        <w:t> </w:t>
      </w:r>
      <w:r>
        <w:rPr>
          <w:i/>
          <w:sz w:val="21"/>
        </w:rPr>
        <w:t>restrictive</w:t>
      </w:r>
      <w:r>
        <w:rPr>
          <w:i/>
          <w:spacing w:val="-38"/>
          <w:sz w:val="21"/>
        </w:rPr>
        <w:t> </w:t>
      </w:r>
      <w:r>
        <w:rPr>
          <w:i/>
          <w:sz w:val="21"/>
        </w:rPr>
        <w:t>manner</w:t>
      </w:r>
      <w:r>
        <w:rPr>
          <w:i/>
          <w:spacing w:val="-38"/>
          <w:sz w:val="21"/>
        </w:rPr>
        <w:t> </w:t>
      </w:r>
      <w:r>
        <w:rPr>
          <w:i/>
          <w:sz w:val="21"/>
        </w:rPr>
        <w:t>and</w:t>
      </w:r>
      <w:r>
        <w:rPr>
          <w:i/>
          <w:spacing w:val="-38"/>
          <w:sz w:val="21"/>
        </w:rPr>
        <w:t> </w:t>
      </w:r>
      <w:r>
        <w:rPr>
          <w:i/>
          <w:sz w:val="21"/>
        </w:rPr>
        <w:t>that</w:t>
      </w:r>
      <w:r>
        <w:rPr>
          <w:i/>
          <w:spacing w:val="-37"/>
          <w:sz w:val="21"/>
        </w:rPr>
        <w:t> </w:t>
      </w:r>
      <w:r>
        <w:rPr>
          <w:i/>
          <w:sz w:val="21"/>
        </w:rPr>
        <w:t>compulsory</w:t>
      </w:r>
      <w:r>
        <w:rPr>
          <w:i/>
          <w:spacing w:val="-38"/>
          <w:sz w:val="21"/>
        </w:rPr>
        <w:t> </w:t>
      </w:r>
      <w:r>
        <w:rPr>
          <w:i/>
          <w:sz w:val="21"/>
        </w:rPr>
        <w:t>treatment</w:t>
      </w:r>
      <w:r>
        <w:rPr>
          <w:i/>
          <w:spacing w:val="-37"/>
          <w:sz w:val="21"/>
        </w:rPr>
        <w:t> </w:t>
      </w:r>
      <w:r>
        <w:rPr>
          <w:i/>
          <w:sz w:val="21"/>
        </w:rPr>
        <w:t>was</w:t>
      </w:r>
      <w:r>
        <w:rPr>
          <w:i/>
          <w:spacing w:val="-37"/>
          <w:sz w:val="21"/>
        </w:rPr>
        <w:t> </w:t>
      </w:r>
      <w:r>
        <w:rPr>
          <w:i/>
          <w:sz w:val="21"/>
        </w:rPr>
        <w:t>required.</w:t>
      </w:r>
    </w:p>
    <w:p>
      <w:pPr>
        <w:pStyle w:val="BodyText"/>
        <w:spacing w:before="10"/>
        <w:rPr>
          <w:i/>
          <w:sz w:val="22"/>
        </w:rPr>
      </w:pPr>
    </w:p>
    <w:p>
      <w:pPr>
        <w:pStyle w:val="BodyText"/>
        <w:ind w:left="120" w:right="108"/>
        <w:jc w:val="both"/>
      </w:pPr>
      <w:r>
        <w:rPr/>
        <w:t>While</w:t>
      </w:r>
      <w:r>
        <w:rPr>
          <w:spacing w:val="-9"/>
        </w:rPr>
        <w:t> </w:t>
      </w:r>
      <w:r>
        <w:rPr/>
        <w:t>the</w:t>
      </w:r>
      <w:r>
        <w:rPr>
          <w:spacing w:val="-9"/>
        </w:rPr>
        <w:t> </w:t>
      </w:r>
      <w:r>
        <w:rPr/>
        <w:t>Tribunal</w:t>
      </w:r>
      <w:r>
        <w:rPr>
          <w:spacing w:val="-10"/>
        </w:rPr>
        <w:t> </w:t>
      </w:r>
      <w:r>
        <w:rPr/>
        <w:t>states</w:t>
      </w:r>
      <w:r>
        <w:rPr>
          <w:spacing w:val="-9"/>
        </w:rPr>
        <w:t> </w:t>
      </w:r>
      <w:r>
        <w:rPr/>
        <w:t>that</w:t>
      </w:r>
      <w:r>
        <w:rPr>
          <w:spacing w:val="-9"/>
        </w:rPr>
        <w:t> </w:t>
      </w:r>
      <w:r>
        <w:rPr/>
        <w:t>WRH’s</w:t>
      </w:r>
      <w:r>
        <w:rPr>
          <w:spacing w:val="-9"/>
        </w:rPr>
        <w:t> </w:t>
      </w:r>
      <w:r>
        <w:rPr/>
        <w:t>ability</w:t>
      </w:r>
      <w:r>
        <w:rPr>
          <w:spacing w:val="-10"/>
        </w:rPr>
        <w:t> </w:t>
      </w:r>
      <w:r>
        <w:rPr/>
        <w:t>to</w:t>
      </w:r>
      <w:r>
        <w:rPr>
          <w:spacing w:val="-9"/>
        </w:rPr>
        <w:t> </w:t>
      </w:r>
      <w:r>
        <w:rPr/>
        <w:t>make</w:t>
      </w:r>
      <w:r>
        <w:rPr>
          <w:spacing w:val="-11"/>
        </w:rPr>
        <w:t> </w:t>
      </w:r>
      <w:r>
        <w:rPr/>
        <w:t>treatment</w:t>
      </w:r>
      <w:r>
        <w:rPr>
          <w:spacing w:val="-10"/>
        </w:rPr>
        <w:t> </w:t>
      </w:r>
      <w:r>
        <w:rPr/>
        <w:t>decisions</w:t>
      </w:r>
      <w:r>
        <w:rPr>
          <w:spacing w:val="-11"/>
        </w:rPr>
        <w:t> </w:t>
      </w:r>
      <w:r>
        <w:rPr/>
        <w:t>is</w:t>
      </w:r>
      <w:r>
        <w:rPr>
          <w:spacing w:val="-11"/>
        </w:rPr>
        <w:t> </w:t>
      </w:r>
      <w:r>
        <w:rPr/>
        <w:t>impaired</w:t>
      </w:r>
      <w:r>
        <w:rPr>
          <w:spacing w:val="-10"/>
        </w:rPr>
        <w:t> </w:t>
      </w:r>
      <w:r>
        <w:rPr/>
        <w:t>by her mental illness, what it appears to mean is that WRH’s ability to make ‘good’, or compliant, treatment decisions is impaired. WRH expressed a preference for natural therapies,</w:t>
      </w:r>
      <w:r>
        <w:rPr>
          <w:spacing w:val="-11"/>
        </w:rPr>
        <w:t> </w:t>
      </w:r>
      <w:r>
        <w:rPr/>
        <w:t>and</w:t>
      </w:r>
      <w:r>
        <w:rPr>
          <w:spacing w:val="-10"/>
        </w:rPr>
        <w:t> </w:t>
      </w:r>
      <w:r>
        <w:rPr/>
        <w:t>stated</w:t>
      </w:r>
      <w:r>
        <w:rPr>
          <w:spacing w:val="-12"/>
        </w:rPr>
        <w:t> </w:t>
      </w:r>
      <w:r>
        <w:rPr/>
        <w:t>that</w:t>
      </w:r>
      <w:r>
        <w:rPr>
          <w:spacing w:val="-11"/>
        </w:rPr>
        <w:t> </w:t>
      </w:r>
      <w:r>
        <w:rPr/>
        <w:t>her</w:t>
      </w:r>
      <w:r>
        <w:rPr>
          <w:spacing w:val="-10"/>
        </w:rPr>
        <w:t> </w:t>
      </w:r>
      <w:r>
        <w:rPr/>
        <w:t>opposition</w:t>
      </w:r>
      <w:r>
        <w:rPr>
          <w:spacing w:val="-11"/>
        </w:rPr>
        <w:t> </w:t>
      </w:r>
      <w:r>
        <w:rPr/>
        <w:t>to</w:t>
      </w:r>
      <w:r>
        <w:rPr>
          <w:spacing w:val="-11"/>
        </w:rPr>
        <w:t> </w:t>
      </w:r>
      <w:r>
        <w:rPr/>
        <w:t>the</w:t>
      </w:r>
      <w:r>
        <w:rPr>
          <w:spacing w:val="-10"/>
        </w:rPr>
        <w:t> </w:t>
      </w:r>
      <w:r>
        <w:rPr/>
        <w:t>proposed</w:t>
      </w:r>
      <w:r>
        <w:rPr>
          <w:spacing w:val="-10"/>
        </w:rPr>
        <w:t> </w:t>
      </w:r>
      <w:r>
        <w:rPr/>
        <w:t>treatment</w:t>
      </w:r>
      <w:r>
        <w:rPr>
          <w:spacing w:val="-10"/>
        </w:rPr>
        <w:t> </w:t>
      </w:r>
      <w:r>
        <w:rPr/>
        <w:t>was</w:t>
      </w:r>
      <w:r>
        <w:rPr>
          <w:spacing w:val="-11"/>
        </w:rPr>
        <w:t> </w:t>
      </w:r>
      <w:r>
        <w:rPr/>
        <w:t>based</w:t>
      </w:r>
      <w:r>
        <w:rPr>
          <w:spacing w:val="-10"/>
        </w:rPr>
        <w:t> </w:t>
      </w:r>
      <w:r>
        <w:rPr/>
        <w:t>on</w:t>
      </w:r>
      <w:r>
        <w:rPr>
          <w:spacing w:val="-11"/>
        </w:rPr>
        <w:t> </w:t>
      </w:r>
      <w:r>
        <w:rPr/>
        <w:t>long held spiritual beliefs. As outlined above, if WRH did not have a mental illness, and</w:t>
      </w:r>
      <w:r>
        <w:rPr>
          <w:spacing w:val="-51"/>
        </w:rPr>
        <w:t> </w:t>
      </w:r>
      <w:r>
        <w:rPr/>
        <w:t>was assessed as having capacity, she would be entitled to refuse the proposed treatment. As the Tribunal has not assessed her capacity, this decision seems to rest only on the subjective assessment of the quality of those decisions. EPK had documented symptomology, but as she was assessed as being likely to comply with treatment, she was viewed as having capacity to make decisions. WRH, with her own symptomology, was viewed as unlikely to comply, and viewed as not having that</w:t>
      </w:r>
      <w:r>
        <w:rPr>
          <w:spacing w:val="-25"/>
        </w:rPr>
        <w:t> </w:t>
      </w:r>
      <w:r>
        <w:rPr/>
        <w:t>capacity.</w:t>
      </w:r>
    </w:p>
    <w:p>
      <w:pPr>
        <w:pStyle w:val="BodyText"/>
        <w:spacing w:before="4"/>
        <w:rPr>
          <w:sz w:val="23"/>
        </w:rPr>
      </w:pPr>
    </w:p>
    <w:p>
      <w:pPr>
        <w:pStyle w:val="BodyText"/>
        <w:spacing w:line="237" w:lineRule="auto"/>
        <w:ind w:left="120" w:right="110"/>
        <w:jc w:val="both"/>
      </w:pPr>
      <w:r>
        <w:rPr/>
        <w:t>There is a similar conflation of capacity with medication compliance, a topic which dominated</w:t>
      </w:r>
      <w:r>
        <w:rPr>
          <w:spacing w:val="-9"/>
        </w:rPr>
        <w:t> </w:t>
      </w:r>
      <w:r>
        <w:rPr/>
        <w:t>many</w:t>
      </w:r>
      <w:r>
        <w:rPr>
          <w:spacing w:val="-8"/>
        </w:rPr>
        <w:t> </w:t>
      </w:r>
      <w:r>
        <w:rPr/>
        <w:t>of</w:t>
      </w:r>
      <w:r>
        <w:rPr>
          <w:spacing w:val="-8"/>
        </w:rPr>
        <w:t> </w:t>
      </w:r>
      <w:r>
        <w:rPr/>
        <w:t>the</w:t>
      </w:r>
      <w:r>
        <w:rPr>
          <w:spacing w:val="-8"/>
        </w:rPr>
        <w:t> </w:t>
      </w:r>
      <w:r>
        <w:rPr/>
        <w:t>statements</w:t>
      </w:r>
      <w:r>
        <w:rPr>
          <w:spacing w:val="-8"/>
        </w:rPr>
        <w:t> </w:t>
      </w:r>
      <w:r>
        <w:rPr/>
        <w:t>of</w:t>
      </w:r>
      <w:r>
        <w:rPr>
          <w:spacing w:val="-8"/>
        </w:rPr>
        <w:t> </w:t>
      </w:r>
      <w:r>
        <w:rPr/>
        <w:t>reasons,</w:t>
      </w:r>
      <w:r>
        <w:rPr>
          <w:spacing w:val="-8"/>
        </w:rPr>
        <w:t> </w:t>
      </w:r>
      <w:r>
        <w:rPr/>
        <w:t>and</w:t>
      </w:r>
      <w:r>
        <w:rPr>
          <w:spacing w:val="-8"/>
        </w:rPr>
        <w:t> </w:t>
      </w:r>
      <w:r>
        <w:rPr/>
        <w:t>was</w:t>
      </w:r>
      <w:r>
        <w:rPr>
          <w:spacing w:val="-8"/>
        </w:rPr>
        <w:t> </w:t>
      </w:r>
      <w:r>
        <w:rPr/>
        <w:t>considered</w:t>
      </w:r>
      <w:r>
        <w:rPr>
          <w:spacing w:val="-8"/>
        </w:rPr>
        <w:t> </w:t>
      </w:r>
      <w:r>
        <w:rPr/>
        <w:t>in</w:t>
      </w:r>
      <w:r>
        <w:rPr>
          <w:spacing w:val="-8"/>
        </w:rPr>
        <w:t> </w:t>
      </w:r>
      <w:r>
        <w:rPr/>
        <w:t>63%</w:t>
      </w:r>
      <w:r>
        <w:rPr>
          <w:spacing w:val="-8"/>
        </w:rPr>
        <w:t> </w:t>
      </w:r>
      <w:r>
        <w:rPr/>
        <w:t>(n=186)</w:t>
      </w:r>
      <w:r>
        <w:rPr>
          <w:spacing w:val="-8"/>
        </w:rPr>
        <w:t> </w:t>
      </w:r>
      <w:r>
        <w:rPr/>
        <w:t>of all</w:t>
      </w:r>
      <w:r>
        <w:rPr>
          <w:spacing w:val="-8"/>
        </w:rPr>
        <w:t> </w:t>
      </w:r>
      <w:r>
        <w:rPr/>
        <w:t>reviewed</w:t>
      </w:r>
      <w:r>
        <w:rPr>
          <w:spacing w:val="-8"/>
        </w:rPr>
        <w:t> </w:t>
      </w:r>
      <w:r>
        <w:rPr/>
        <w:t>cases.</w:t>
      </w:r>
      <w:r>
        <w:rPr>
          <w:spacing w:val="-8"/>
        </w:rPr>
        <w:t> </w:t>
      </w:r>
      <w:r>
        <w:rPr/>
        <w:t>In</w:t>
      </w:r>
      <w:r>
        <w:rPr>
          <w:spacing w:val="-9"/>
        </w:rPr>
        <w:t> </w:t>
      </w:r>
      <w:r>
        <w:rPr>
          <w:i/>
          <w:sz w:val="25"/>
        </w:rPr>
        <w:t>YOB</w:t>
      </w:r>
      <w:r>
        <w:rPr>
          <w:i/>
          <w:spacing w:val="-3"/>
          <w:sz w:val="25"/>
        </w:rPr>
        <w:t> </w:t>
      </w:r>
      <w:hyperlink w:history="true" w:anchor="_bookmark59">
        <w:r>
          <w:rPr>
            <w:position w:val="8"/>
            <w:sz w:val="16"/>
          </w:rPr>
          <w:t>58</w:t>
        </w:r>
      </w:hyperlink>
      <w:r>
        <w:rPr/>
        <w:t>,</w:t>
      </w:r>
      <w:r>
        <w:rPr>
          <w:spacing w:val="-9"/>
        </w:rPr>
        <w:t> </w:t>
      </w:r>
      <w:r>
        <w:rPr/>
        <w:t>the</w:t>
      </w:r>
      <w:r>
        <w:rPr>
          <w:spacing w:val="-10"/>
        </w:rPr>
        <w:t> </w:t>
      </w:r>
      <w:r>
        <w:rPr/>
        <w:t>Tribunal</w:t>
      </w:r>
      <w:r>
        <w:rPr>
          <w:spacing w:val="-10"/>
        </w:rPr>
        <w:t> </w:t>
      </w:r>
      <w:r>
        <w:rPr/>
        <w:t>explicitly</w:t>
      </w:r>
      <w:r>
        <w:rPr>
          <w:spacing w:val="-9"/>
        </w:rPr>
        <w:t> </w:t>
      </w:r>
      <w:r>
        <w:rPr/>
        <w:t>linked</w:t>
      </w:r>
      <w:r>
        <w:rPr>
          <w:spacing w:val="-9"/>
        </w:rPr>
        <w:t> </w:t>
      </w:r>
      <w:r>
        <w:rPr/>
        <w:t>diminished</w:t>
      </w:r>
      <w:r>
        <w:rPr>
          <w:spacing w:val="-9"/>
        </w:rPr>
        <w:t> </w:t>
      </w:r>
      <w:r>
        <w:rPr/>
        <w:t>capacity</w:t>
      </w:r>
      <w:r>
        <w:rPr>
          <w:spacing w:val="-9"/>
        </w:rPr>
        <w:t> </w:t>
      </w:r>
      <w:r>
        <w:rPr/>
        <w:t>and</w:t>
      </w:r>
      <w:r>
        <w:rPr>
          <w:spacing w:val="-9"/>
        </w:rPr>
        <w:t> </w:t>
      </w:r>
      <w:r>
        <w:rPr/>
        <w:t>the role on the Act in enforcing medication</w:t>
      </w:r>
      <w:r>
        <w:rPr>
          <w:spacing w:val="-19"/>
        </w:rPr>
        <w:t> </w:t>
      </w:r>
      <w:r>
        <w:rPr/>
        <w:t>compliance:</w:t>
      </w:r>
    </w:p>
    <w:p>
      <w:pPr>
        <w:pStyle w:val="BodyText"/>
        <w:spacing w:before="1"/>
        <w:rPr>
          <w:sz w:val="23"/>
        </w:rPr>
      </w:pPr>
    </w:p>
    <w:p>
      <w:pPr>
        <w:spacing w:line="230" w:lineRule="auto" w:before="1"/>
        <w:ind w:left="687" w:right="110" w:firstLine="0"/>
        <w:jc w:val="both"/>
        <w:rPr>
          <w:i/>
          <w:sz w:val="21"/>
        </w:rPr>
      </w:pPr>
      <w:r>
        <w:rPr>
          <w:i/>
          <w:sz w:val="21"/>
        </w:rPr>
        <w:t>The</w:t>
      </w:r>
      <w:r>
        <w:rPr>
          <w:i/>
          <w:spacing w:val="-37"/>
          <w:sz w:val="21"/>
        </w:rPr>
        <w:t> </w:t>
      </w:r>
      <w:r>
        <w:rPr>
          <w:i/>
          <w:sz w:val="21"/>
        </w:rPr>
        <w:t>Tribunal</w:t>
      </w:r>
      <w:r>
        <w:rPr>
          <w:i/>
          <w:spacing w:val="-37"/>
          <w:sz w:val="21"/>
        </w:rPr>
        <w:t> </w:t>
      </w:r>
      <w:r>
        <w:rPr>
          <w:i/>
          <w:sz w:val="21"/>
        </w:rPr>
        <w:t>did</w:t>
      </w:r>
      <w:r>
        <w:rPr>
          <w:i/>
          <w:spacing w:val="-37"/>
          <w:sz w:val="21"/>
        </w:rPr>
        <w:t> </w:t>
      </w:r>
      <w:r>
        <w:rPr>
          <w:i/>
          <w:sz w:val="21"/>
        </w:rPr>
        <w:t>not</w:t>
      </w:r>
      <w:r>
        <w:rPr>
          <w:i/>
          <w:spacing w:val="-36"/>
          <w:sz w:val="21"/>
        </w:rPr>
        <w:t> </w:t>
      </w:r>
      <w:r>
        <w:rPr>
          <w:i/>
          <w:sz w:val="21"/>
        </w:rPr>
        <w:t>accept</w:t>
      </w:r>
      <w:r>
        <w:rPr>
          <w:i/>
          <w:spacing w:val="-36"/>
          <w:sz w:val="21"/>
        </w:rPr>
        <w:t> </w:t>
      </w:r>
      <w:r>
        <w:rPr>
          <w:i/>
          <w:sz w:val="21"/>
        </w:rPr>
        <w:t>the</w:t>
      </w:r>
      <w:r>
        <w:rPr>
          <w:i/>
          <w:spacing w:val="-36"/>
          <w:sz w:val="21"/>
        </w:rPr>
        <w:t> </w:t>
      </w:r>
      <w:r>
        <w:rPr>
          <w:i/>
          <w:sz w:val="21"/>
        </w:rPr>
        <w:t>submission</w:t>
      </w:r>
      <w:r>
        <w:rPr>
          <w:i/>
          <w:spacing w:val="-36"/>
          <w:sz w:val="21"/>
        </w:rPr>
        <w:t> </w:t>
      </w:r>
      <w:r>
        <w:rPr>
          <w:i/>
          <w:sz w:val="21"/>
        </w:rPr>
        <w:t>that</w:t>
      </w:r>
      <w:r>
        <w:rPr>
          <w:i/>
          <w:spacing w:val="-36"/>
          <w:sz w:val="21"/>
        </w:rPr>
        <w:t> </w:t>
      </w:r>
      <w:r>
        <w:rPr>
          <w:i/>
          <w:sz w:val="21"/>
        </w:rPr>
        <w:t>intervention</w:t>
      </w:r>
      <w:r>
        <w:rPr>
          <w:i/>
          <w:spacing w:val="-36"/>
          <w:sz w:val="21"/>
        </w:rPr>
        <w:t> </w:t>
      </w:r>
      <w:r>
        <w:rPr>
          <w:i/>
          <w:sz w:val="21"/>
        </w:rPr>
        <w:t>to</w:t>
      </w:r>
      <w:r>
        <w:rPr>
          <w:i/>
          <w:spacing w:val="-36"/>
          <w:sz w:val="21"/>
        </w:rPr>
        <w:t> </w:t>
      </w:r>
      <w:r>
        <w:rPr>
          <w:i/>
          <w:sz w:val="21"/>
        </w:rPr>
        <w:t>ensure</w:t>
      </w:r>
      <w:r>
        <w:rPr>
          <w:i/>
          <w:spacing w:val="-36"/>
          <w:sz w:val="21"/>
        </w:rPr>
        <w:t> </w:t>
      </w:r>
      <w:r>
        <w:rPr>
          <w:i/>
          <w:sz w:val="21"/>
        </w:rPr>
        <w:t>adherence</w:t>
      </w:r>
      <w:r>
        <w:rPr>
          <w:i/>
          <w:spacing w:val="-36"/>
          <w:sz w:val="21"/>
        </w:rPr>
        <w:t> </w:t>
      </w:r>
      <w:r>
        <w:rPr>
          <w:i/>
          <w:sz w:val="21"/>
        </w:rPr>
        <w:t>did</w:t>
      </w:r>
      <w:r>
        <w:rPr>
          <w:i/>
          <w:spacing w:val="-37"/>
          <w:sz w:val="21"/>
        </w:rPr>
        <w:t> </w:t>
      </w:r>
      <w:r>
        <w:rPr>
          <w:i/>
          <w:sz w:val="21"/>
        </w:rPr>
        <w:t>not</w:t>
      </w:r>
      <w:r>
        <w:rPr>
          <w:i/>
          <w:spacing w:val="-36"/>
          <w:sz w:val="21"/>
        </w:rPr>
        <w:t> </w:t>
      </w:r>
      <w:r>
        <w:rPr>
          <w:i/>
          <w:sz w:val="21"/>
        </w:rPr>
        <w:t>amount to</w:t>
      </w:r>
      <w:r>
        <w:rPr>
          <w:i/>
          <w:spacing w:val="-40"/>
          <w:sz w:val="21"/>
        </w:rPr>
        <w:t> </w:t>
      </w:r>
      <w:r>
        <w:rPr>
          <w:i/>
          <w:sz w:val="21"/>
        </w:rPr>
        <w:t>treatment</w:t>
      </w:r>
      <w:r>
        <w:rPr>
          <w:i/>
          <w:spacing w:val="-41"/>
          <w:sz w:val="21"/>
        </w:rPr>
        <w:t> </w:t>
      </w:r>
      <w:r>
        <w:rPr>
          <w:i/>
          <w:sz w:val="21"/>
        </w:rPr>
        <w:t>for</w:t>
      </w:r>
      <w:r>
        <w:rPr>
          <w:i/>
          <w:spacing w:val="-41"/>
          <w:sz w:val="21"/>
        </w:rPr>
        <w:t> </w:t>
      </w:r>
      <w:r>
        <w:rPr>
          <w:i/>
          <w:sz w:val="21"/>
        </w:rPr>
        <w:t>the</w:t>
      </w:r>
      <w:r>
        <w:rPr>
          <w:i/>
          <w:spacing w:val="-41"/>
          <w:sz w:val="21"/>
        </w:rPr>
        <w:t> </w:t>
      </w:r>
      <w:r>
        <w:rPr>
          <w:i/>
          <w:sz w:val="21"/>
        </w:rPr>
        <w:t>purposes</w:t>
      </w:r>
      <w:r>
        <w:rPr>
          <w:i/>
          <w:spacing w:val="-40"/>
          <w:sz w:val="21"/>
        </w:rPr>
        <w:t> </w:t>
      </w:r>
      <w:r>
        <w:rPr>
          <w:i/>
          <w:sz w:val="21"/>
        </w:rPr>
        <w:t>of</w:t>
      </w:r>
      <w:r>
        <w:rPr>
          <w:i/>
          <w:spacing w:val="-41"/>
          <w:sz w:val="21"/>
        </w:rPr>
        <w:t> </w:t>
      </w:r>
      <w:r>
        <w:rPr>
          <w:i/>
          <w:sz w:val="21"/>
        </w:rPr>
        <w:t>the</w:t>
      </w:r>
      <w:r>
        <w:rPr>
          <w:i/>
          <w:spacing w:val="-41"/>
          <w:sz w:val="21"/>
        </w:rPr>
        <w:t> </w:t>
      </w:r>
      <w:r>
        <w:rPr>
          <w:i/>
          <w:sz w:val="21"/>
        </w:rPr>
        <w:t>Act.</w:t>
      </w:r>
      <w:r>
        <w:rPr>
          <w:i/>
          <w:spacing w:val="-40"/>
          <w:sz w:val="21"/>
        </w:rPr>
        <w:t> </w:t>
      </w:r>
      <w:r>
        <w:rPr>
          <w:i/>
          <w:sz w:val="21"/>
        </w:rPr>
        <w:t>Indeed,</w:t>
      </w:r>
      <w:r>
        <w:rPr>
          <w:i/>
          <w:spacing w:val="-40"/>
          <w:sz w:val="21"/>
        </w:rPr>
        <w:t> </w:t>
      </w:r>
      <w:r>
        <w:rPr>
          <w:i/>
          <w:sz w:val="21"/>
        </w:rPr>
        <w:t>such</w:t>
      </w:r>
      <w:r>
        <w:rPr>
          <w:i/>
          <w:spacing w:val="-41"/>
          <w:sz w:val="21"/>
        </w:rPr>
        <w:t> </w:t>
      </w:r>
      <w:r>
        <w:rPr>
          <w:i/>
          <w:sz w:val="21"/>
        </w:rPr>
        <w:t>involvement</w:t>
      </w:r>
      <w:r>
        <w:rPr>
          <w:i/>
          <w:spacing w:val="-40"/>
          <w:sz w:val="21"/>
        </w:rPr>
        <w:t> </w:t>
      </w:r>
      <w:r>
        <w:rPr>
          <w:i/>
          <w:sz w:val="21"/>
        </w:rPr>
        <w:t>is</w:t>
      </w:r>
      <w:r>
        <w:rPr>
          <w:i/>
          <w:spacing w:val="-40"/>
          <w:sz w:val="21"/>
        </w:rPr>
        <w:t> </w:t>
      </w:r>
      <w:r>
        <w:rPr>
          <w:i/>
          <w:sz w:val="21"/>
        </w:rPr>
        <w:t>often</w:t>
      </w:r>
      <w:r>
        <w:rPr>
          <w:i/>
          <w:spacing w:val="-41"/>
          <w:sz w:val="21"/>
        </w:rPr>
        <w:t> </w:t>
      </w:r>
      <w:r>
        <w:rPr>
          <w:i/>
          <w:sz w:val="21"/>
        </w:rPr>
        <w:t>central</w:t>
      </w:r>
      <w:r>
        <w:rPr>
          <w:i/>
          <w:spacing w:val="-41"/>
          <w:sz w:val="21"/>
        </w:rPr>
        <w:t> </w:t>
      </w:r>
      <w:r>
        <w:rPr>
          <w:i/>
          <w:sz w:val="21"/>
        </w:rPr>
        <w:t>to</w:t>
      </w:r>
      <w:r>
        <w:rPr>
          <w:i/>
          <w:spacing w:val="-40"/>
          <w:sz w:val="21"/>
        </w:rPr>
        <w:t> </w:t>
      </w:r>
      <w:r>
        <w:rPr>
          <w:i/>
          <w:sz w:val="21"/>
        </w:rPr>
        <w:t>the</w:t>
      </w:r>
      <w:r>
        <w:rPr>
          <w:i/>
          <w:spacing w:val="-40"/>
          <w:sz w:val="21"/>
        </w:rPr>
        <w:t> </w:t>
      </w:r>
      <w:r>
        <w:rPr>
          <w:i/>
          <w:sz w:val="21"/>
        </w:rPr>
        <w:t>provision of</w:t>
      </w:r>
      <w:r>
        <w:rPr>
          <w:i/>
          <w:spacing w:val="-31"/>
          <w:sz w:val="21"/>
        </w:rPr>
        <w:t> </w:t>
      </w:r>
      <w:r>
        <w:rPr>
          <w:i/>
          <w:sz w:val="21"/>
        </w:rPr>
        <w:t>treatment</w:t>
      </w:r>
      <w:r>
        <w:rPr>
          <w:i/>
          <w:spacing w:val="-30"/>
          <w:sz w:val="21"/>
        </w:rPr>
        <w:t> </w:t>
      </w:r>
      <w:r>
        <w:rPr>
          <w:i/>
          <w:sz w:val="21"/>
        </w:rPr>
        <w:t>for</w:t>
      </w:r>
      <w:r>
        <w:rPr>
          <w:i/>
          <w:spacing w:val="-31"/>
          <w:sz w:val="21"/>
        </w:rPr>
        <w:t> </w:t>
      </w:r>
      <w:r>
        <w:rPr>
          <w:i/>
          <w:sz w:val="21"/>
        </w:rPr>
        <w:t>a</w:t>
      </w:r>
      <w:r>
        <w:rPr>
          <w:i/>
          <w:spacing w:val="-30"/>
          <w:sz w:val="21"/>
        </w:rPr>
        <w:t> </w:t>
      </w:r>
      <w:r>
        <w:rPr>
          <w:i/>
          <w:sz w:val="21"/>
        </w:rPr>
        <w:t>person</w:t>
      </w:r>
      <w:r>
        <w:rPr>
          <w:i/>
          <w:spacing w:val="-31"/>
          <w:sz w:val="21"/>
        </w:rPr>
        <w:t> </w:t>
      </w:r>
      <w:r>
        <w:rPr>
          <w:i/>
          <w:sz w:val="21"/>
        </w:rPr>
        <w:t>believed</w:t>
      </w:r>
      <w:r>
        <w:rPr>
          <w:i/>
          <w:spacing w:val="-31"/>
          <w:sz w:val="21"/>
        </w:rPr>
        <w:t> </w:t>
      </w:r>
      <w:r>
        <w:rPr>
          <w:i/>
          <w:sz w:val="21"/>
        </w:rPr>
        <w:t>to</w:t>
      </w:r>
      <w:r>
        <w:rPr>
          <w:i/>
          <w:spacing w:val="-30"/>
          <w:sz w:val="21"/>
        </w:rPr>
        <w:t> </w:t>
      </w:r>
      <w:r>
        <w:rPr>
          <w:i/>
          <w:sz w:val="21"/>
        </w:rPr>
        <w:t>be</w:t>
      </w:r>
      <w:r>
        <w:rPr>
          <w:i/>
          <w:spacing w:val="-30"/>
          <w:sz w:val="21"/>
        </w:rPr>
        <w:t> </w:t>
      </w:r>
      <w:r>
        <w:rPr>
          <w:i/>
          <w:sz w:val="21"/>
        </w:rPr>
        <w:t>mentally</w:t>
      </w:r>
      <w:r>
        <w:rPr>
          <w:i/>
          <w:spacing w:val="-31"/>
          <w:sz w:val="21"/>
        </w:rPr>
        <w:t> </w:t>
      </w:r>
      <w:r>
        <w:rPr>
          <w:i/>
          <w:sz w:val="21"/>
        </w:rPr>
        <w:t>ill</w:t>
      </w:r>
      <w:r>
        <w:rPr>
          <w:i/>
          <w:spacing w:val="-31"/>
          <w:sz w:val="21"/>
        </w:rPr>
        <w:t> </w:t>
      </w:r>
      <w:r>
        <w:rPr>
          <w:i/>
          <w:sz w:val="21"/>
        </w:rPr>
        <w:t>and</w:t>
      </w:r>
      <w:r>
        <w:rPr>
          <w:i/>
          <w:spacing w:val="-31"/>
          <w:sz w:val="21"/>
        </w:rPr>
        <w:t> </w:t>
      </w:r>
      <w:r>
        <w:rPr>
          <w:i/>
          <w:sz w:val="21"/>
        </w:rPr>
        <w:t>who</w:t>
      </w:r>
      <w:r>
        <w:rPr>
          <w:i/>
          <w:spacing w:val="-30"/>
          <w:sz w:val="21"/>
        </w:rPr>
        <w:t> </w:t>
      </w:r>
      <w:r>
        <w:rPr>
          <w:i/>
          <w:sz w:val="21"/>
        </w:rPr>
        <w:t>may</w:t>
      </w:r>
      <w:r>
        <w:rPr>
          <w:i/>
          <w:spacing w:val="-31"/>
          <w:sz w:val="21"/>
        </w:rPr>
        <w:t> </w:t>
      </w:r>
      <w:r>
        <w:rPr>
          <w:i/>
          <w:sz w:val="21"/>
        </w:rPr>
        <w:t>not</w:t>
      </w:r>
      <w:r>
        <w:rPr>
          <w:i/>
          <w:spacing w:val="-30"/>
          <w:sz w:val="21"/>
        </w:rPr>
        <w:t> </w:t>
      </w:r>
      <w:r>
        <w:rPr>
          <w:i/>
          <w:sz w:val="21"/>
        </w:rPr>
        <w:t>have</w:t>
      </w:r>
      <w:r>
        <w:rPr>
          <w:i/>
          <w:spacing w:val="-30"/>
          <w:sz w:val="21"/>
        </w:rPr>
        <w:t> </w:t>
      </w:r>
      <w:r>
        <w:rPr>
          <w:i/>
          <w:sz w:val="21"/>
        </w:rPr>
        <w:t>their</w:t>
      </w:r>
      <w:r>
        <w:rPr>
          <w:i/>
          <w:spacing w:val="-31"/>
          <w:sz w:val="21"/>
        </w:rPr>
        <w:t> </w:t>
      </w:r>
      <w:r>
        <w:rPr>
          <w:i/>
          <w:sz w:val="21"/>
        </w:rPr>
        <w:t>usual</w:t>
      </w:r>
      <w:r>
        <w:rPr>
          <w:i/>
          <w:spacing w:val="-31"/>
          <w:sz w:val="21"/>
        </w:rPr>
        <w:t> </w:t>
      </w:r>
      <w:r>
        <w:rPr>
          <w:i/>
          <w:sz w:val="21"/>
        </w:rPr>
        <w:t>capacity</w:t>
      </w:r>
      <w:r>
        <w:rPr>
          <w:i/>
          <w:spacing w:val="-31"/>
          <w:sz w:val="21"/>
        </w:rPr>
        <w:t> </w:t>
      </w:r>
      <w:r>
        <w:rPr>
          <w:i/>
          <w:sz w:val="21"/>
        </w:rPr>
        <w:t>to understand</w:t>
      </w:r>
      <w:r>
        <w:rPr>
          <w:i/>
          <w:spacing w:val="-40"/>
          <w:sz w:val="21"/>
        </w:rPr>
        <w:t> </w:t>
      </w:r>
      <w:r>
        <w:rPr>
          <w:i/>
          <w:sz w:val="21"/>
        </w:rPr>
        <w:t>and</w:t>
      </w:r>
      <w:r>
        <w:rPr>
          <w:i/>
          <w:spacing w:val="-40"/>
          <w:sz w:val="21"/>
        </w:rPr>
        <w:t> </w:t>
      </w:r>
      <w:r>
        <w:rPr>
          <w:i/>
          <w:sz w:val="21"/>
        </w:rPr>
        <w:t>appropriately</w:t>
      </w:r>
      <w:r>
        <w:rPr>
          <w:i/>
          <w:spacing w:val="-40"/>
          <w:sz w:val="21"/>
        </w:rPr>
        <w:t> </w:t>
      </w:r>
      <w:r>
        <w:rPr>
          <w:i/>
          <w:sz w:val="21"/>
        </w:rPr>
        <w:t>respond</w:t>
      </w:r>
      <w:r>
        <w:rPr>
          <w:i/>
          <w:spacing w:val="-40"/>
          <w:sz w:val="21"/>
        </w:rPr>
        <w:t> </w:t>
      </w:r>
      <w:r>
        <w:rPr>
          <w:i/>
          <w:sz w:val="21"/>
        </w:rPr>
        <w:t>to</w:t>
      </w:r>
      <w:r>
        <w:rPr>
          <w:i/>
          <w:spacing w:val="-40"/>
          <w:sz w:val="21"/>
        </w:rPr>
        <w:t> </w:t>
      </w:r>
      <w:r>
        <w:rPr>
          <w:i/>
          <w:sz w:val="21"/>
        </w:rPr>
        <w:t>the</w:t>
      </w:r>
      <w:r>
        <w:rPr>
          <w:i/>
          <w:spacing w:val="-40"/>
          <w:sz w:val="21"/>
        </w:rPr>
        <w:t> </w:t>
      </w:r>
      <w:r>
        <w:rPr>
          <w:i/>
          <w:sz w:val="21"/>
        </w:rPr>
        <w:t>need</w:t>
      </w:r>
      <w:r>
        <w:rPr>
          <w:i/>
          <w:spacing w:val="-40"/>
          <w:sz w:val="21"/>
        </w:rPr>
        <w:t> </w:t>
      </w:r>
      <w:r>
        <w:rPr>
          <w:i/>
          <w:sz w:val="21"/>
        </w:rPr>
        <w:t>to</w:t>
      </w:r>
      <w:r>
        <w:rPr>
          <w:i/>
          <w:spacing w:val="-41"/>
          <w:sz w:val="21"/>
        </w:rPr>
        <w:t> </w:t>
      </w:r>
      <w:r>
        <w:rPr>
          <w:i/>
          <w:sz w:val="21"/>
        </w:rPr>
        <w:t>receive</w:t>
      </w:r>
      <w:r>
        <w:rPr>
          <w:i/>
          <w:spacing w:val="-40"/>
          <w:sz w:val="21"/>
        </w:rPr>
        <w:t> </w:t>
      </w:r>
      <w:r>
        <w:rPr>
          <w:i/>
          <w:sz w:val="21"/>
        </w:rPr>
        <w:t>necessary</w:t>
      </w:r>
      <w:r>
        <w:rPr>
          <w:i/>
          <w:spacing w:val="-40"/>
          <w:sz w:val="21"/>
        </w:rPr>
        <w:t> </w:t>
      </w:r>
      <w:r>
        <w:rPr>
          <w:i/>
          <w:sz w:val="21"/>
        </w:rPr>
        <w:t>treatment.</w:t>
      </w:r>
    </w:p>
    <w:p>
      <w:pPr>
        <w:pStyle w:val="BodyText"/>
        <w:rPr>
          <w:i/>
          <w:sz w:val="23"/>
        </w:rPr>
      </w:pPr>
    </w:p>
    <w:p>
      <w:pPr>
        <w:pStyle w:val="BodyText"/>
        <w:spacing w:line="237" w:lineRule="auto" w:before="1"/>
        <w:ind w:left="120" w:right="109"/>
        <w:jc w:val="both"/>
      </w:pPr>
      <w:r>
        <w:rPr/>
        <w:t>The</w:t>
      </w:r>
      <w:r>
        <w:rPr>
          <w:spacing w:val="-16"/>
        </w:rPr>
        <w:t> </w:t>
      </w:r>
      <w:r>
        <w:rPr/>
        <w:t>Tribunal</w:t>
      </w:r>
      <w:r>
        <w:rPr>
          <w:spacing w:val="-16"/>
        </w:rPr>
        <w:t> </w:t>
      </w:r>
      <w:r>
        <w:rPr/>
        <w:t>clearly</w:t>
      </w:r>
      <w:r>
        <w:rPr>
          <w:spacing w:val="-16"/>
        </w:rPr>
        <w:t> </w:t>
      </w:r>
      <w:r>
        <w:rPr/>
        <w:t>sees</w:t>
      </w:r>
      <w:r>
        <w:rPr>
          <w:spacing w:val="-17"/>
        </w:rPr>
        <w:t> </w:t>
      </w:r>
      <w:r>
        <w:rPr/>
        <w:t>a</w:t>
      </w:r>
      <w:r>
        <w:rPr>
          <w:spacing w:val="-16"/>
        </w:rPr>
        <w:t> </w:t>
      </w:r>
      <w:r>
        <w:rPr/>
        <w:t>key</w:t>
      </w:r>
      <w:r>
        <w:rPr>
          <w:spacing w:val="-16"/>
        </w:rPr>
        <w:t> </w:t>
      </w:r>
      <w:r>
        <w:rPr/>
        <w:t>part</w:t>
      </w:r>
      <w:r>
        <w:rPr>
          <w:spacing w:val="-16"/>
        </w:rPr>
        <w:t> </w:t>
      </w:r>
      <w:r>
        <w:rPr/>
        <w:t>of</w:t>
      </w:r>
      <w:r>
        <w:rPr>
          <w:spacing w:val="-16"/>
        </w:rPr>
        <w:t> </w:t>
      </w:r>
      <w:r>
        <w:rPr/>
        <w:t>its</w:t>
      </w:r>
      <w:r>
        <w:rPr>
          <w:spacing w:val="-17"/>
        </w:rPr>
        <w:t> </w:t>
      </w:r>
      <w:r>
        <w:rPr/>
        <w:t>role</w:t>
      </w:r>
      <w:r>
        <w:rPr>
          <w:spacing w:val="-18"/>
        </w:rPr>
        <w:t> </w:t>
      </w:r>
      <w:r>
        <w:rPr/>
        <w:t>as</w:t>
      </w:r>
      <w:r>
        <w:rPr>
          <w:spacing w:val="-17"/>
        </w:rPr>
        <w:t> </w:t>
      </w:r>
      <w:r>
        <w:rPr/>
        <w:t>making</w:t>
      </w:r>
      <w:r>
        <w:rPr>
          <w:spacing w:val="-17"/>
        </w:rPr>
        <w:t> </w:t>
      </w:r>
      <w:r>
        <w:rPr/>
        <w:t>sure</w:t>
      </w:r>
      <w:r>
        <w:rPr>
          <w:spacing w:val="-17"/>
        </w:rPr>
        <w:t> </w:t>
      </w:r>
      <w:r>
        <w:rPr/>
        <w:t>people</w:t>
      </w:r>
      <w:r>
        <w:rPr>
          <w:spacing w:val="-18"/>
        </w:rPr>
        <w:t> </w:t>
      </w:r>
      <w:r>
        <w:rPr/>
        <w:t>get</w:t>
      </w:r>
      <w:r>
        <w:rPr>
          <w:spacing w:val="-16"/>
        </w:rPr>
        <w:t> </w:t>
      </w:r>
      <w:r>
        <w:rPr/>
        <w:t>the</w:t>
      </w:r>
      <w:r>
        <w:rPr>
          <w:spacing w:val="-16"/>
        </w:rPr>
        <w:t> </w:t>
      </w:r>
      <w:r>
        <w:rPr/>
        <w:t>medication they need when they are not able to make ‘good’ decisions about taking that medication. Sometimes, however, an alternative view was raised, such as by the dissenting</w:t>
      </w:r>
      <w:r>
        <w:rPr>
          <w:spacing w:val="-18"/>
        </w:rPr>
        <w:t> </w:t>
      </w:r>
      <w:r>
        <w:rPr/>
        <w:t>member</w:t>
      </w:r>
      <w:r>
        <w:rPr>
          <w:spacing w:val="-17"/>
        </w:rPr>
        <w:t> </w:t>
      </w:r>
      <w:r>
        <w:rPr/>
        <w:t>in</w:t>
      </w:r>
      <w:r>
        <w:rPr>
          <w:spacing w:val="-19"/>
        </w:rPr>
        <w:t> </w:t>
      </w:r>
      <w:r>
        <w:rPr>
          <w:i/>
          <w:sz w:val="25"/>
        </w:rPr>
        <w:t>WYV</w:t>
      </w:r>
      <w:r>
        <w:rPr>
          <w:i/>
          <w:spacing w:val="-10"/>
          <w:sz w:val="25"/>
        </w:rPr>
        <w:t> </w:t>
      </w:r>
      <w:hyperlink w:history="true" w:anchor="_bookmark60">
        <w:r>
          <w:rPr>
            <w:position w:val="8"/>
            <w:sz w:val="16"/>
          </w:rPr>
          <w:t>59</w:t>
        </w:r>
      </w:hyperlink>
      <w:r>
        <w:rPr/>
        <w:t>,</w:t>
      </w:r>
      <w:r>
        <w:rPr>
          <w:spacing w:val="-17"/>
        </w:rPr>
        <w:t> </w:t>
      </w:r>
      <w:r>
        <w:rPr/>
        <w:t>who,</w:t>
      </w:r>
      <w:r>
        <w:rPr>
          <w:spacing w:val="-18"/>
        </w:rPr>
        <w:t> </w:t>
      </w:r>
      <w:r>
        <w:rPr/>
        <w:t>in</w:t>
      </w:r>
      <w:r>
        <w:rPr>
          <w:spacing w:val="-18"/>
        </w:rPr>
        <w:t> </w:t>
      </w:r>
      <w:r>
        <w:rPr/>
        <w:t>finding</w:t>
      </w:r>
      <w:r>
        <w:rPr>
          <w:spacing w:val="-18"/>
        </w:rPr>
        <w:t> </w:t>
      </w:r>
      <w:r>
        <w:rPr/>
        <w:t>the</w:t>
      </w:r>
      <w:r>
        <w:rPr>
          <w:spacing w:val="-17"/>
        </w:rPr>
        <w:t> </w:t>
      </w:r>
      <w:r>
        <w:rPr/>
        <w:t>least</w:t>
      </w:r>
      <w:r>
        <w:rPr>
          <w:spacing w:val="-17"/>
        </w:rPr>
        <w:t> </w:t>
      </w:r>
      <w:r>
        <w:rPr/>
        <w:t>restrictive</w:t>
      </w:r>
      <w:r>
        <w:rPr>
          <w:spacing w:val="-17"/>
        </w:rPr>
        <w:t> </w:t>
      </w:r>
      <w:r>
        <w:rPr/>
        <w:t>criterion</w:t>
      </w:r>
      <w:r>
        <w:rPr>
          <w:spacing w:val="-17"/>
        </w:rPr>
        <w:t> </w:t>
      </w:r>
      <w:r>
        <w:rPr/>
        <w:t>was</w:t>
      </w:r>
      <w:r>
        <w:rPr>
          <w:spacing w:val="-19"/>
        </w:rPr>
        <w:t> </w:t>
      </w:r>
      <w:r>
        <w:rPr/>
        <w:t>not</w:t>
      </w:r>
      <w:r>
        <w:rPr>
          <w:spacing w:val="-17"/>
        </w:rPr>
        <w:t> </w:t>
      </w:r>
      <w:r>
        <w:rPr/>
        <w:t>met, found:</w:t>
      </w:r>
    </w:p>
    <w:p>
      <w:pPr>
        <w:pStyle w:val="BodyText"/>
        <w:spacing w:before="3"/>
        <w:rPr>
          <w:sz w:val="23"/>
        </w:rPr>
      </w:pPr>
    </w:p>
    <w:p>
      <w:pPr>
        <w:spacing w:line="228" w:lineRule="auto" w:before="0"/>
        <w:ind w:left="687" w:right="110" w:firstLine="0"/>
        <w:jc w:val="both"/>
        <w:rPr>
          <w:i/>
          <w:sz w:val="21"/>
        </w:rPr>
      </w:pPr>
      <w:r>
        <w:rPr>
          <w:i/>
          <w:sz w:val="21"/>
        </w:rPr>
        <w:t>…the</w:t>
      </w:r>
      <w:r>
        <w:rPr>
          <w:i/>
          <w:spacing w:val="-45"/>
          <w:sz w:val="21"/>
        </w:rPr>
        <w:t> </w:t>
      </w:r>
      <w:r>
        <w:rPr>
          <w:i/>
          <w:sz w:val="21"/>
        </w:rPr>
        <w:t>Tribunal</w:t>
      </w:r>
      <w:r>
        <w:rPr>
          <w:i/>
          <w:spacing w:val="-45"/>
          <w:sz w:val="21"/>
        </w:rPr>
        <w:t> </w:t>
      </w:r>
      <w:r>
        <w:rPr>
          <w:i/>
          <w:sz w:val="21"/>
        </w:rPr>
        <w:t>is</w:t>
      </w:r>
      <w:r>
        <w:rPr>
          <w:i/>
          <w:spacing w:val="-44"/>
          <w:sz w:val="21"/>
        </w:rPr>
        <w:t> </w:t>
      </w:r>
      <w:r>
        <w:rPr>
          <w:i/>
          <w:sz w:val="21"/>
        </w:rPr>
        <w:t>required</w:t>
      </w:r>
      <w:r>
        <w:rPr>
          <w:i/>
          <w:spacing w:val="-45"/>
          <w:sz w:val="21"/>
        </w:rPr>
        <w:t> </w:t>
      </w:r>
      <w:r>
        <w:rPr>
          <w:i/>
          <w:sz w:val="21"/>
        </w:rPr>
        <w:t>to</w:t>
      </w:r>
      <w:r>
        <w:rPr>
          <w:i/>
          <w:spacing w:val="-44"/>
          <w:sz w:val="21"/>
        </w:rPr>
        <w:t> </w:t>
      </w:r>
      <w:r>
        <w:rPr>
          <w:i/>
          <w:sz w:val="21"/>
        </w:rPr>
        <w:t>consider</w:t>
      </w:r>
      <w:r>
        <w:rPr>
          <w:i/>
          <w:spacing w:val="-45"/>
          <w:sz w:val="21"/>
        </w:rPr>
        <w:t> </w:t>
      </w:r>
      <w:r>
        <w:rPr>
          <w:i/>
          <w:sz w:val="21"/>
        </w:rPr>
        <w:t>the</w:t>
      </w:r>
      <w:r>
        <w:rPr>
          <w:i/>
          <w:spacing w:val="-45"/>
          <w:sz w:val="21"/>
        </w:rPr>
        <w:t> </w:t>
      </w:r>
      <w:r>
        <w:rPr>
          <w:i/>
          <w:sz w:val="21"/>
        </w:rPr>
        <w:t>principles</w:t>
      </w:r>
      <w:r>
        <w:rPr>
          <w:i/>
          <w:spacing w:val="-44"/>
          <w:sz w:val="21"/>
        </w:rPr>
        <w:t> </w:t>
      </w:r>
      <w:r>
        <w:rPr>
          <w:i/>
          <w:sz w:val="21"/>
        </w:rPr>
        <w:t>of</w:t>
      </w:r>
      <w:r>
        <w:rPr>
          <w:i/>
          <w:spacing w:val="-45"/>
          <w:sz w:val="21"/>
        </w:rPr>
        <w:t> </w:t>
      </w:r>
      <w:r>
        <w:rPr>
          <w:i/>
          <w:sz w:val="21"/>
        </w:rPr>
        <w:t>recovery</w:t>
      </w:r>
      <w:r>
        <w:rPr>
          <w:i/>
          <w:spacing w:val="-45"/>
          <w:sz w:val="21"/>
        </w:rPr>
        <w:t> </w:t>
      </w:r>
      <w:r>
        <w:rPr>
          <w:i/>
          <w:sz w:val="21"/>
        </w:rPr>
        <w:t>and</w:t>
      </w:r>
      <w:r>
        <w:rPr>
          <w:i/>
          <w:spacing w:val="-45"/>
          <w:sz w:val="21"/>
        </w:rPr>
        <w:t> </w:t>
      </w:r>
      <w:r>
        <w:rPr>
          <w:i/>
          <w:sz w:val="21"/>
        </w:rPr>
        <w:t>autonomy</w:t>
      </w:r>
      <w:r>
        <w:rPr>
          <w:i/>
          <w:spacing w:val="-45"/>
          <w:sz w:val="21"/>
        </w:rPr>
        <w:t> </w:t>
      </w:r>
      <w:r>
        <w:rPr>
          <w:i/>
          <w:sz w:val="21"/>
        </w:rPr>
        <w:t>within</w:t>
      </w:r>
      <w:r>
        <w:rPr>
          <w:i/>
          <w:spacing w:val="-45"/>
          <w:sz w:val="21"/>
        </w:rPr>
        <w:t> </w:t>
      </w:r>
      <w:r>
        <w:rPr>
          <w:i/>
          <w:sz w:val="21"/>
        </w:rPr>
        <w:t>a</w:t>
      </w:r>
      <w:r>
        <w:rPr>
          <w:i/>
          <w:spacing w:val="-44"/>
          <w:sz w:val="21"/>
        </w:rPr>
        <w:t> </w:t>
      </w:r>
      <w:r>
        <w:rPr>
          <w:i/>
          <w:sz w:val="21"/>
        </w:rPr>
        <w:t>background of</w:t>
      </w:r>
      <w:r>
        <w:rPr>
          <w:i/>
          <w:spacing w:val="-8"/>
          <w:sz w:val="21"/>
        </w:rPr>
        <w:t> </w:t>
      </w:r>
      <w:r>
        <w:rPr>
          <w:i/>
          <w:sz w:val="21"/>
        </w:rPr>
        <w:t>presumed</w:t>
      </w:r>
      <w:r>
        <w:rPr>
          <w:i/>
          <w:spacing w:val="-8"/>
          <w:sz w:val="21"/>
        </w:rPr>
        <w:t> </w:t>
      </w:r>
      <w:r>
        <w:rPr>
          <w:i/>
          <w:sz w:val="21"/>
        </w:rPr>
        <w:t>capacity.</w:t>
      </w:r>
      <w:r>
        <w:rPr>
          <w:i/>
          <w:spacing w:val="-7"/>
          <w:sz w:val="21"/>
        </w:rPr>
        <w:t> </w:t>
      </w:r>
      <w:r>
        <w:rPr>
          <w:i/>
          <w:sz w:val="21"/>
        </w:rPr>
        <w:t>The</w:t>
      </w:r>
      <w:r>
        <w:rPr>
          <w:i/>
          <w:spacing w:val="-8"/>
          <w:sz w:val="21"/>
        </w:rPr>
        <w:t> </w:t>
      </w:r>
      <w:r>
        <w:rPr>
          <w:i/>
          <w:sz w:val="21"/>
        </w:rPr>
        <w:t>relevant</w:t>
      </w:r>
      <w:r>
        <w:rPr>
          <w:i/>
          <w:spacing w:val="-7"/>
          <w:sz w:val="21"/>
        </w:rPr>
        <w:t> </w:t>
      </w:r>
      <w:r>
        <w:rPr>
          <w:i/>
          <w:sz w:val="21"/>
        </w:rPr>
        <w:t>principles</w:t>
      </w:r>
      <w:r>
        <w:rPr>
          <w:i/>
          <w:spacing w:val="-7"/>
          <w:sz w:val="21"/>
        </w:rPr>
        <w:t> </w:t>
      </w:r>
      <w:r>
        <w:rPr>
          <w:i/>
          <w:sz w:val="21"/>
        </w:rPr>
        <w:t>also</w:t>
      </w:r>
      <w:r>
        <w:rPr>
          <w:i/>
          <w:spacing w:val="-7"/>
          <w:sz w:val="21"/>
        </w:rPr>
        <w:t> </w:t>
      </w:r>
      <w:r>
        <w:rPr>
          <w:i/>
          <w:sz w:val="21"/>
        </w:rPr>
        <w:t>include</w:t>
      </w:r>
      <w:r>
        <w:rPr>
          <w:i/>
          <w:spacing w:val="-8"/>
          <w:sz w:val="21"/>
        </w:rPr>
        <w:t> </w:t>
      </w:r>
      <w:r>
        <w:rPr>
          <w:i/>
          <w:sz w:val="21"/>
        </w:rPr>
        <w:t>that</w:t>
      </w:r>
      <w:r>
        <w:rPr>
          <w:i/>
          <w:spacing w:val="-8"/>
          <w:sz w:val="21"/>
        </w:rPr>
        <w:t> </w:t>
      </w:r>
      <w:r>
        <w:rPr>
          <w:i/>
          <w:sz w:val="21"/>
        </w:rPr>
        <w:t>a</w:t>
      </w:r>
      <w:r>
        <w:rPr>
          <w:i/>
          <w:spacing w:val="-7"/>
          <w:sz w:val="21"/>
        </w:rPr>
        <w:t> </w:t>
      </w:r>
      <w:r>
        <w:rPr>
          <w:i/>
          <w:sz w:val="21"/>
        </w:rPr>
        <w:t>person</w:t>
      </w:r>
      <w:r>
        <w:rPr>
          <w:i/>
          <w:spacing w:val="-8"/>
          <w:sz w:val="21"/>
        </w:rPr>
        <w:t> </w:t>
      </w:r>
      <w:r>
        <w:rPr>
          <w:i/>
          <w:sz w:val="21"/>
        </w:rPr>
        <w:t>should</w:t>
      </w:r>
      <w:r>
        <w:rPr>
          <w:i/>
          <w:spacing w:val="-8"/>
          <w:sz w:val="21"/>
        </w:rPr>
        <w:t> </w:t>
      </w:r>
      <w:r>
        <w:rPr>
          <w:i/>
          <w:sz w:val="21"/>
        </w:rPr>
        <w:t>be</w:t>
      </w:r>
      <w:r>
        <w:rPr>
          <w:i/>
          <w:spacing w:val="-8"/>
          <w:sz w:val="21"/>
        </w:rPr>
        <w:t> </w:t>
      </w:r>
      <w:r>
        <w:rPr>
          <w:i/>
          <w:sz w:val="21"/>
        </w:rPr>
        <w:t>allowed</w:t>
      </w:r>
      <w:r>
        <w:rPr>
          <w:i/>
          <w:spacing w:val="-8"/>
          <w:sz w:val="21"/>
        </w:rPr>
        <w:t> </w:t>
      </w:r>
      <w:r>
        <w:rPr>
          <w:i/>
          <w:sz w:val="21"/>
        </w:rPr>
        <w:t>to make</w:t>
      </w:r>
      <w:r>
        <w:rPr>
          <w:i/>
          <w:spacing w:val="-9"/>
          <w:sz w:val="21"/>
        </w:rPr>
        <w:t> </w:t>
      </w:r>
      <w:r>
        <w:rPr>
          <w:i/>
          <w:sz w:val="21"/>
        </w:rPr>
        <w:t>decisions</w:t>
      </w:r>
      <w:r>
        <w:rPr>
          <w:i/>
          <w:spacing w:val="-9"/>
          <w:sz w:val="21"/>
        </w:rPr>
        <w:t> </w:t>
      </w:r>
      <w:r>
        <w:rPr>
          <w:i/>
          <w:sz w:val="21"/>
        </w:rPr>
        <w:t>about</w:t>
      </w:r>
      <w:r>
        <w:rPr>
          <w:i/>
          <w:spacing w:val="-9"/>
          <w:sz w:val="21"/>
        </w:rPr>
        <w:t> </w:t>
      </w:r>
      <w:r>
        <w:rPr>
          <w:i/>
          <w:sz w:val="21"/>
        </w:rPr>
        <w:t>their</w:t>
      </w:r>
      <w:r>
        <w:rPr>
          <w:i/>
          <w:spacing w:val="-9"/>
          <w:sz w:val="21"/>
        </w:rPr>
        <w:t> </w:t>
      </w:r>
      <w:r>
        <w:rPr>
          <w:i/>
          <w:sz w:val="21"/>
        </w:rPr>
        <w:t>assessment,</w:t>
      </w:r>
      <w:r>
        <w:rPr>
          <w:i/>
          <w:spacing w:val="-9"/>
          <w:sz w:val="21"/>
        </w:rPr>
        <w:t> </w:t>
      </w:r>
      <w:r>
        <w:rPr>
          <w:i/>
          <w:sz w:val="21"/>
        </w:rPr>
        <w:t>treatment</w:t>
      </w:r>
      <w:r>
        <w:rPr>
          <w:i/>
          <w:spacing w:val="-9"/>
          <w:sz w:val="21"/>
        </w:rPr>
        <w:t> </w:t>
      </w:r>
      <w:r>
        <w:rPr>
          <w:i/>
          <w:sz w:val="21"/>
        </w:rPr>
        <w:t>and</w:t>
      </w:r>
      <w:r>
        <w:rPr>
          <w:i/>
          <w:spacing w:val="-9"/>
          <w:sz w:val="21"/>
        </w:rPr>
        <w:t> </w:t>
      </w:r>
      <w:r>
        <w:rPr>
          <w:i/>
          <w:sz w:val="21"/>
        </w:rPr>
        <w:t>recovery</w:t>
      </w:r>
      <w:r>
        <w:rPr>
          <w:i/>
          <w:spacing w:val="-9"/>
          <w:sz w:val="21"/>
        </w:rPr>
        <w:t> </w:t>
      </w:r>
      <w:r>
        <w:rPr>
          <w:i/>
          <w:sz w:val="21"/>
        </w:rPr>
        <w:t>that</w:t>
      </w:r>
      <w:r>
        <w:rPr>
          <w:i/>
          <w:spacing w:val="-9"/>
          <w:sz w:val="21"/>
        </w:rPr>
        <w:t> </w:t>
      </w:r>
      <w:r>
        <w:rPr>
          <w:i/>
          <w:sz w:val="21"/>
        </w:rPr>
        <w:t>involve</w:t>
      </w:r>
      <w:r>
        <w:rPr>
          <w:i/>
          <w:spacing w:val="-9"/>
          <w:sz w:val="21"/>
        </w:rPr>
        <w:t> </w:t>
      </w:r>
      <w:r>
        <w:rPr>
          <w:i/>
          <w:sz w:val="21"/>
        </w:rPr>
        <w:t>a</w:t>
      </w:r>
      <w:r>
        <w:rPr>
          <w:i/>
          <w:spacing w:val="-9"/>
          <w:sz w:val="21"/>
        </w:rPr>
        <w:t> </w:t>
      </w:r>
      <w:r>
        <w:rPr>
          <w:i/>
          <w:sz w:val="21"/>
        </w:rPr>
        <w:t>degree</w:t>
      </w:r>
      <w:r>
        <w:rPr>
          <w:i/>
          <w:spacing w:val="-9"/>
          <w:sz w:val="21"/>
        </w:rPr>
        <w:t> </w:t>
      </w:r>
      <w:r>
        <w:rPr>
          <w:i/>
          <w:sz w:val="21"/>
        </w:rPr>
        <w:t>of</w:t>
      </w:r>
      <w:r>
        <w:rPr>
          <w:i/>
          <w:spacing w:val="-9"/>
          <w:sz w:val="21"/>
        </w:rPr>
        <w:t> </w:t>
      </w:r>
      <w:r>
        <w:rPr>
          <w:i/>
          <w:sz w:val="21"/>
        </w:rPr>
        <w:t>risk. Another</w:t>
      </w:r>
      <w:r>
        <w:rPr>
          <w:i/>
          <w:spacing w:val="-14"/>
          <w:sz w:val="21"/>
        </w:rPr>
        <w:t> </w:t>
      </w:r>
      <w:r>
        <w:rPr>
          <w:i/>
          <w:sz w:val="21"/>
        </w:rPr>
        <w:t>way</w:t>
      </w:r>
      <w:r>
        <w:rPr>
          <w:i/>
          <w:spacing w:val="-14"/>
          <w:sz w:val="21"/>
        </w:rPr>
        <w:t> </w:t>
      </w:r>
      <w:r>
        <w:rPr>
          <w:i/>
          <w:sz w:val="21"/>
        </w:rPr>
        <w:t>this</w:t>
      </w:r>
      <w:r>
        <w:rPr>
          <w:i/>
          <w:spacing w:val="-13"/>
          <w:sz w:val="21"/>
        </w:rPr>
        <w:t> </w:t>
      </w:r>
      <w:r>
        <w:rPr>
          <w:i/>
          <w:sz w:val="21"/>
        </w:rPr>
        <w:t>may</w:t>
      </w:r>
      <w:r>
        <w:rPr>
          <w:i/>
          <w:spacing w:val="-14"/>
          <w:sz w:val="21"/>
        </w:rPr>
        <w:t> </w:t>
      </w:r>
      <w:r>
        <w:rPr>
          <w:i/>
          <w:sz w:val="21"/>
        </w:rPr>
        <w:t>be</w:t>
      </w:r>
      <w:r>
        <w:rPr>
          <w:i/>
          <w:spacing w:val="-14"/>
          <w:sz w:val="21"/>
        </w:rPr>
        <w:t> </w:t>
      </w:r>
      <w:r>
        <w:rPr>
          <w:i/>
          <w:sz w:val="21"/>
        </w:rPr>
        <w:t>expressed</w:t>
      </w:r>
      <w:r>
        <w:rPr>
          <w:i/>
          <w:spacing w:val="-14"/>
          <w:sz w:val="21"/>
        </w:rPr>
        <w:t> </w:t>
      </w:r>
      <w:r>
        <w:rPr>
          <w:i/>
          <w:sz w:val="21"/>
        </w:rPr>
        <w:t>is</w:t>
      </w:r>
      <w:r>
        <w:rPr>
          <w:i/>
          <w:spacing w:val="-14"/>
          <w:sz w:val="21"/>
        </w:rPr>
        <w:t> </w:t>
      </w:r>
      <w:r>
        <w:rPr>
          <w:i/>
          <w:sz w:val="21"/>
        </w:rPr>
        <w:t>as</w:t>
      </w:r>
      <w:r>
        <w:rPr>
          <w:i/>
          <w:spacing w:val="-14"/>
          <w:sz w:val="21"/>
        </w:rPr>
        <w:t> </w:t>
      </w:r>
      <w:r>
        <w:rPr>
          <w:i/>
          <w:sz w:val="21"/>
        </w:rPr>
        <w:t>a</w:t>
      </w:r>
      <w:r>
        <w:rPr>
          <w:i/>
          <w:spacing w:val="-13"/>
          <w:sz w:val="21"/>
        </w:rPr>
        <w:t> </w:t>
      </w:r>
      <w:r>
        <w:rPr>
          <w:i/>
          <w:sz w:val="21"/>
        </w:rPr>
        <w:t>dignity</w:t>
      </w:r>
      <w:r>
        <w:rPr>
          <w:i/>
          <w:spacing w:val="-14"/>
          <w:sz w:val="21"/>
        </w:rPr>
        <w:t> </w:t>
      </w:r>
      <w:r>
        <w:rPr>
          <w:i/>
          <w:sz w:val="21"/>
        </w:rPr>
        <w:t>of</w:t>
      </w:r>
      <w:r>
        <w:rPr>
          <w:i/>
          <w:spacing w:val="-14"/>
          <w:sz w:val="21"/>
        </w:rPr>
        <w:t> </w:t>
      </w:r>
      <w:r>
        <w:rPr>
          <w:i/>
          <w:sz w:val="21"/>
        </w:rPr>
        <w:t>risk</w:t>
      </w:r>
      <w:r>
        <w:rPr>
          <w:i/>
          <w:spacing w:val="-14"/>
          <w:sz w:val="21"/>
        </w:rPr>
        <w:t> </w:t>
      </w:r>
      <w:r>
        <w:rPr>
          <w:i/>
          <w:sz w:val="21"/>
        </w:rPr>
        <w:t>whereby</w:t>
      </w:r>
      <w:r>
        <w:rPr>
          <w:i/>
          <w:spacing w:val="-14"/>
          <w:sz w:val="21"/>
        </w:rPr>
        <w:t> </w:t>
      </w:r>
      <w:r>
        <w:rPr>
          <w:i/>
          <w:sz w:val="21"/>
        </w:rPr>
        <w:t>a</w:t>
      </w:r>
      <w:r>
        <w:rPr>
          <w:i/>
          <w:spacing w:val="-13"/>
          <w:sz w:val="21"/>
        </w:rPr>
        <w:t> </w:t>
      </w:r>
      <w:r>
        <w:rPr>
          <w:i/>
          <w:sz w:val="21"/>
        </w:rPr>
        <w:t>person</w:t>
      </w:r>
      <w:r>
        <w:rPr>
          <w:i/>
          <w:spacing w:val="-14"/>
          <w:sz w:val="21"/>
        </w:rPr>
        <w:t> </w:t>
      </w:r>
      <w:r>
        <w:rPr>
          <w:i/>
          <w:sz w:val="21"/>
        </w:rPr>
        <w:t>may</w:t>
      </w:r>
      <w:r>
        <w:rPr>
          <w:i/>
          <w:spacing w:val="-14"/>
          <w:sz w:val="21"/>
        </w:rPr>
        <w:t> </w:t>
      </w:r>
      <w:r>
        <w:rPr>
          <w:i/>
          <w:sz w:val="21"/>
        </w:rPr>
        <w:t>exercise</w:t>
      </w:r>
      <w:r>
        <w:rPr>
          <w:i/>
          <w:spacing w:val="-14"/>
          <w:sz w:val="21"/>
        </w:rPr>
        <w:t> </w:t>
      </w:r>
      <w:r>
        <w:rPr>
          <w:i/>
          <w:sz w:val="21"/>
        </w:rPr>
        <w:t>their autonomy</w:t>
      </w:r>
      <w:r>
        <w:rPr>
          <w:i/>
          <w:spacing w:val="-25"/>
          <w:sz w:val="21"/>
        </w:rPr>
        <w:t> </w:t>
      </w:r>
      <w:r>
        <w:rPr>
          <w:i/>
          <w:sz w:val="21"/>
        </w:rPr>
        <w:t>and</w:t>
      </w:r>
      <w:r>
        <w:rPr>
          <w:i/>
          <w:spacing w:val="-25"/>
          <w:sz w:val="21"/>
        </w:rPr>
        <w:t> </w:t>
      </w:r>
      <w:r>
        <w:rPr>
          <w:i/>
          <w:sz w:val="21"/>
        </w:rPr>
        <w:t>independence</w:t>
      </w:r>
      <w:r>
        <w:rPr>
          <w:i/>
          <w:spacing w:val="-25"/>
          <w:sz w:val="21"/>
        </w:rPr>
        <w:t> </w:t>
      </w:r>
      <w:r>
        <w:rPr>
          <w:i/>
          <w:sz w:val="21"/>
        </w:rPr>
        <w:t>by</w:t>
      </w:r>
      <w:r>
        <w:rPr>
          <w:i/>
          <w:spacing w:val="-25"/>
          <w:sz w:val="21"/>
        </w:rPr>
        <w:t> </w:t>
      </w:r>
      <w:r>
        <w:rPr>
          <w:i/>
          <w:sz w:val="21"/>
        </w:rPr>
        <w:t>making</w:t>
      </w:r>
      <w:r>
        <w:rPr>
          <w:i/>
          <w:spacing w:val="-25"/>
          <w:sz w:val="21"/>
        </w:rPr>
        <w:t> </w:t>
      </w:r>
      <w:r>
        <w:rPr>
          <w:i/>
          <w:sz w:val="21"/>
        </w:rPr>
        <w:t>choices</w:t>
      </w:r>
      <w:r>
        <w:rPr>
          <w:i/>
          <w:spacing w:val="-25"/>
          <w:sz w:val="21"/>
        </w:rPr>
        <w:t> </w:t>
      </w:r>
      <w:r>
        <w:rPr>
          <w:i/>
          <w:sz w:val="21"/>
        </w:rPr>
        <w:t>that,</w:t>
      </w:r>
      <w:r>
        <w:rPr>
          <w:i/>
          <w:spacing w:val="-25"/>
          <w:sz w:val="21"/>
        </w:rPr>
        <w:t> </w:t>
      </w:r>
      <w:r>
        <w:rPr>
          <w:i/>
          <w:sz w:val="21"/>
        </w:rPr>
        <w:t>in</w:t>
      </w:r>
      <w:r>
        <w:rPr>
          <w:i/>
          <w:spacing w:val="-25"/>
          <w:sz w:val="21"/>
        </w:rPr>
        <w:t> </w:t>
      </w:r>
      <w:r>
        <w:rPr>
          <w:i/>
          <w:sz w:val="21"/>
        </w:rPr>
        <w:t>a</w:t>
      </w:r>
      <w:r>
        <w:rPr>
          <w:i/>
          <w:spacing w:val="-25"/>
          <w:sz w:val="21"/>
        </w:rPr>
        <w:t> </w:t>
      </w:r>
      <w:r>
        <w:rPr>
          <w:i/>
          <w:sz w:val="21"/>
        </w:rPr>
        <w:t>similar</w:t>
      </w:r>
      <w:r>
        <w:rPr>
          <w:i/>
          <w:spacing w:val="-25"/>
          <w:sz w:val="21"/>
        </w:rPr>
        <w:t> </w:t>
      </w:r>
      <w:r>
        <w:rPr>
          <w:i/>
          <w:sz w:val="21"/>
        </w:rPr>
        <w:t>situation,</w:t>
      </w:r>
      <w:r>
        <w:rPr>
          <w:i/>
          <w:spacing w:val="-25"/>
          <w:sz w:val="21"/>
        </w:rPr>
        <w:t> </w:t>
      </w:r>
      <w:r>
        <w:rPr>
          <w:i/>
          <w:sz w:val="21"/>
        </w:rPr>
        <w:t>someone</w:t>
      </w:r>
      <w:r>
        <w:rPr>
          <w:i/>
          <w:spacing w:val="-25"/>
          <w:sz w:val="21"/>
        </w:rPr>
        <w:t> </w:t>
      </w:r>
      <w:r>
        <w:rPr>
          <w:i/>
          <w:sz w:val="21"/>
        </w:rPr>
        <w:t>else</w:t>
      </w:r>
      <w:r>
        <w:rPr>
          <w:i/>
          <w:spacing w:val="-25"/>
          <w:sz w:val="21"/>
        </w:rPr>
        <w:t> </w:t>
      </w:r>
      <w:r>
        <w:rPr>
          <w:i/>
          <w:sz w:val="21"/>
        </w:rPr>
        <w:t>might </w:t>
      </w:r>
      <w:r>
        <w:rPr>
          <w:i/>
          <w:w w:val="95"/>
          <w:sz w:val="21"/>
        </w:rPr>
        <w:t>not</w:t>
      </w:r>
      <w:r>
        <w:rPr>
          <w:i/>
          <w:spacing w:val="-1"/>
          <w:w w:val="95"/>
          <w:sz w:val="21"/>
        </w:rPr>
        <w:t> </w:t>
      </w:r>
      <w:r>
        <w:rPr>
          <w:i/>
          <w:w w:val="95"/>
          <w:sz w:val="21"/>
        </w:rPr>
        <w:t>make.</w:t>
      </w:r>
    </w:p>
    <w:p>
      <w:pPr>
        <w:pStyle w:val="BodyText"/>
        <w:spacing w:before="10"/>
        <w:rPr>
          <w:i/>
          <w:sz w:val="22"/>
        </w:rPr>
      </w:pPr>
    </w:p>
    <w:p>
      <w:pPr>
        <w:pStyle w:val="BodyText"/>
        <w:ind w:left="120" w:right="109"/>
        <w:jc w:val="both"/>
      </w:pPr>
      <w:r>
        <w:rPr/>
        <w:t>This view, largely consistent with the position put forward in the first section of this paper,</w:t>
      </w:r>
      <w:r>
        <w:rPr>
          <w:spacing w:val="-17"/>
        </w:rPr>
        <w:t> </w:t>
      </w:r>
      <w:r>
        <w:rPr/>
        <w:t>is</w:t>
      </w:r>
      <w:r>
        <w:rPr>
          <w:spacing w:val="-18"/>
        </w:rPr>
        <w:t> </w:t>
      </w:r>
      <w:r>
        <w:rPr/>
        <w:t>not</w:t>
      </w:r>
      <w:r>
        <w:rPr>
          <w:spacing w:val="-16"/>
        </w:rPr>
        <w:t> </w:t>
      </w:r>
      <w:r>
        <w:rPr/>
        <w:t>widely</w:t>
      </w:r>
      <w:r>
        <w:rPr>
          <w:spacing w:val="-17"/>
        </w:rPr>
        <w:t> </w:t>
      </w:r>
      <w:r>
        <w:rPr/>
        <w:t>evident</w:t>
      </w:r>
      <w:r>
        <w:rPr>
          <w:spacing w:val="-17"/>
        </w:rPr>
        <w:t> </w:t>
      </w:r>
      <w:r>
        <w:rPr/>
        <w:t>in</w:t>
      </w:r>
      <w:r>
        <w:rPr>
          <w:spacing w:val="-17"/>
        </w:rPr>
        <w:t> </w:t>
      </w:r>
      <w:r>
        <w:rPr/>
        <w:t>the</w:t>
      </w:r>
      <w:r>
        <w:rPr>
          <w:spacing w:val="-19"/>
        </w:rPr>
        <w:t> </w:t>
      </w:r>
      <w:r>
        <w:rPr/>
        <w:t>data.</w:t>
      </w:r>
      <w:r>
        <w:rPr>
          <w:spacing w:val="-17"/>
        </w:rPr>
        <w:t> </w:t>
      </w:r>
      <w:r>
        <w:rPr/>
        <w:t>The</w:t>
      </w:r>
      <w:r>
        <w:rPr>
          <w:spacing w:val="-18"/>
        </w:rPr>
        <w:t> </w:t>
      </w:r>
      <w:r>
        <w:rPr/>
        <w:t>overall</w:t>
      </w:r>
      <w:r>
        <w:rPr>
          <w:spacing w:val="-16"/>
        </w:rPr>
        <w:t> </w:t>
      </w:r>
      <w:r>
        <w:rPr/>
        <w:t>trend</w:t>
      </w:r>
      <w:r>
        <w:rPr>
          <w:spacing w:val="-17"/>
        </w:rPr>
        <w:t> </w:t>
      </w:r>
      <w:r>
        <w:rPr/>
        <w:t>illustrated</w:t>
      </w:r>
      <w:r>
        <w:rPr>
          <w:spacing w:val="-17"/>
        </w:rPr>
        <w:t> </w:t>
      </w:r>
      <w:r>
        <w:rPr/>
        <w:t>in</w:t>
      </w:r>
      <w:r>
        <w:rPr>
          <w:spacing w:val="-16"/>
        </w:rPr>
        <w:t> </w:t>
      </w:r>
      <w:r>
        <w:rPr/>
        <w:t>the</w:t>
      </w:r>
      <w:r>
        <w:rPr>
          <w:spacing w:val="-16"/>
        </w:rPr>
        <w:t> </w:t>
      </w:r>
      <w:r>
        <w:rPr/>
        <w:t>second</w:t>
      </w:r>
      <w:r>
        <w:rPr>
          <w:spacing w:val="-16"/>
        </w:rPr>
        <w:t> </w:t>
      </w:r>
      <w:r>
        <w:rPr/>
        <w:t>study is that the Tribunal does regularly consider a person’s decision-making capacity,</w:t>
      </w:r>
      <w:r>
        <w:rPr>
          <w:spacing w:val="-53"/>
        </w:rPr>
        <w:t> </w:t>
      </w:r>
      <w:r>
        <w:rPr/>
        <w:t>either explicitly or in terms of insight or judgement, but it does not tend to undertake that consideration either with a presumption of capacity or of a recognition of the fundamentally restrictive process of denying a competent person their right to refuse treatment.</w:t>
      </w:r>
    </w:p>
    <w:p>
      <w:pPr>
        <w:pStyle w:val="BodyText"/>
        <w:rPr>
          <w:sz w:val="20"/>
        </w:rPr>
      </w:pPr>
    </w:p>
    <w:p>
      <w:pPr>
        <w:pStyle w:val="BodyText"/>
        <w:rPr>
          <w:sz w:val="20"/>
        </w:rPr>
      </w:pPr>
    </w:p>
    <w:p>
      <w:pPr>
        <w:pStyle w:val="BodyText"/>
        <w:rPr>
          <w:sz w:val="20"/>
        </w:rPr>
      </w:pPr>
    </w:p>
    <w:p>
      <w:pPr>
        <w:pStyle w:val="BodyText"/>
        <w:spacing w:before="1"/>
        <w:rPr>
          <w:sz w:val="17"/>
        </w:rPr>
      </w:pPr>
      <w:r>
        <w:rPr/>
        <w:pict>
          <v:line style="position:absolute;mso-position-horizontal-relative:page;mso-position-vertical-relative:paragraph;z-index:1816;mso-wrap-distance-left:0;mso-wrap-distance-right:0" from="67.019997pt,12.555537pt" to="211.019997pt,12.555537pt" stroked="true" strokeweight=".54pt" strokecolor="#000000">
            <v:stroke dashstyle="solid"/>
            <w10:wrap type="topAndBottom"/>
          </v:line>
        </w:pict>
      </w:r>
    </w:p>
    <w:p>
      <w:pPr>
        <w:spacing w:line="247" w:lineRule="exact" w:before="54"/>
        <w:ind w:left="120" w:right="0" w:firstLine="0"/>
        <w:jc w:val="left"/>
        <w:rPr>
          <w:sz w:val="20"/>
        </w:rPr>
      </w:pPr>
      <w:bookmarkStart w:name="_bookmark59" w:id="61"/>
      <w:bookmarkEnd w:id="61"/>
      <w:r>
        <w:rPr/>
      </w:r>
      <w:r>
        <w:rPr>
          <w:position w:val="7"/>
          <w:sz w:val="13"/>
        </w:rPr>
        <w:t>58 </w:t>
      </w:r>
      <w:r>
        <w:rPr>
          <w:i/>
          <w:sz w:val="21"/>
        </w:rPr>
        <w:t>YOB  </w:t>
      </w:r>
      <w:r>
        <w:rPr>
          <w:sz w:val="20"/>
        </w:rPr>
        <w:t>[2015] VMHT 124.</w:t>
      </w:r>
    </w:p>
    <w:p>
      <w:pPr>
        <w:spacing w:line="247" w:lineRule="exact" w:before="0"/>
        <w:ind w:left="120" w:right="0" w:firstLine="0"/>
        <w:jc w:val="left"/>
        <w:rPr>
          <w:sz w:val="20"/>
        </w:rPr>
      </w:pPr>
      <w:bookmarkStart w:name="_bookmark60" w:id="62"/>
      <w:bookmarkEnd w:id="62"/>
      <w:r>
        <w:rPr/>
      </w:r>
      <w:r>
        <w:rPr>
          <w:position w:val="7"/>
          <w:sz w:val="13"/>
        </w:rPr>
        <w:t>59 </w:t>
      </w:r>
      <w:r>
        <w:rPr>
          <w:i/>
          <w:sz w:val="21"/>
        </w:rPr>
        <w:t>WYV  </w:t>
      </w:r>
      <w:r>
        <w:rPr>
          <w:sz w:val="20"/>
        </w:rPr>
        <w:t>[2014] VMHT 30.</w:t>
      </w:r>
    </w:p>
    <w:p>
      <w:pPr>
        <w:spacing w:after="0" w:line="247" w:lineRule="exact"/>
        <w:jc w:val="left"/>
        <w:rPr>
          <w:sz w:val="20"/>
        </w:rPr>
        <w:sectPr>
          <w:pgSz w:w="11910" w:h="16840"/>
          <w:pgMar w:header="763" w:footer="1025" w:top="980" w:bottom="1220" w:left="1220" w:right="1320"/>
        </w:sectPr>
      </w:pPr>
    </w:p>
    <w:p>
      <w:pPr>
        <w:pStyle w:val="BodyText"/>
        <w:spacing w:before="4"/>
        <w:rPr>
          <w:sz w:val="21"/>
        </w:rPr>
      </w:pPr>
    </w:p>
    <w:p>
      <w:pPr>
        <w:pStyle w:val="ListParagraph"/>
        <w:numPr>
          <w:ilvl w:val="0"/>
          <w:numId w:val="5"/>
        </w:numPr>
        <w:tabs>
          <w:tab w:pos="4282" w:val="left" w:leader="none"/>
        </w:tabs>
        <w:spacing w:line="240" w:lineRule="auto" w:before="100" w:after="0"/>
        <w:ind w:left="4282" w:right="0" w:hanging="561"/>
        <w:jc w:val="left"/>
        <w:rPr>
          <w:sz w:val="24"/>
        </w:rPr>
      </w:pPr>
      <w:r>
        <w:rPr>
          <w:sz w:val="24"/>
        </w:rPr>
        <w:t>DISCUSSION</w:t>
      </w:r>
    </w:p>
    <w:p>
      <w:pPr>
        <w:pStyle w:val="BodyText"/>
        <w:spacing w:before="1"/>
      </w:pPr>
    </w:p>
    <w:p>
      <w:pPr>
        <w:pStyle w:val="BodyText"/>
        <w:spacing w:line="237" w:lineRule="auto"/>
        <w:ind w:left="120" w:right="229"/>
        <w:jc w:val="both"/>
      </w:pPr>
      <w:r>
        <w:rPr/>
        <w:t>On the basis of the arguments put forward in the first section, the Tribunal is obliged to carefully assess the patient’s decision-making capacity when applying the least restrictive criterion. The first study found that a large majority of the Tribunals that heard</w:t>
      </w:r>
      <w:r>
        <w:rPr>
          <w:spacing w:val="-20"/>
        </w:rPr>
        <w:t> </w:t>
      </w:r>
      <w:r>
        <w:rPr/>
        <w:t>these</w:t>
      </w:r>
      <w:r>
        <w:rPr>
          <w:spacing w:val="-20"/>
        </w:rPr>
        <w:t> </w:t>
      </w:r>
      <w:r>
        <w:rPr/>
        <w:t>cases</w:t>
      </w:r>
      <w:r>
        <w:rPr>
          <w:spacing w:val="-20"/>
        </w:rPr>
        <w:t> </w:t>
      </w:r>
      <w:r>
        <w:rPr/>
        <w:t>failed</w:t>
      </w:r>
      <w:r>
        <w:rPr>
          <w:spacing w:val="-19"/>
        </w:rPr>
        <w:t> </w:t>
      </w:r>
      <w:r>
        <w:rPr/>
        <w:t>in</w:t>
      </w:r>
      <w:r>
        <w:rPr>
          <w:spacing w:val="-20"/>
        </w:rPr>
        <w:t> </w:t>
      </w:r>
      <w:r>
        <w:rPr/>
        <w:t>that</w:t>
      </w:r>
      <w:r>
        <w:rPr>
          <w:spacing w:val="-21"/>
        </w:rPr>
        <w:t> </w:t>
      </w:r>
      <w:r>
        <w:rPr/>
        <w:t>obligation.</w:t>
      </w:r>
      <w:r>
        <w:rPr>
          <w:spacing w:val="-20"/>
        </w:rPr>
        <w:t> </w:t>
      </w:r>
      <w:r>
        <w:rPr/>
        <w:t>Even</w:t>
      </w:r>
      <w:r>
        <w:rPr>
          <w:spacing w:val="-20"/>
        </w:rPr>
        <w:t> </w:t>
      </w:r>
      <w:r>
        <w:rPr/>
        <w:t>if</w:t>
      </w:r>
      <w:r>
        <w:rPr>
          <w:spacing w:val="-20"/>
        </w:rPr>
        <w:t> </w:t>
      </w:r>
      <w:r>
        <w:rPr/>
        <w:t>the</w:t>
      </w:r>
      <w:r>
        <w:rPr>
          <w:spacing w:val="-21"/>
        </w:rPr>
        <w:t> </w:t>
      </w:r>
      <w:r>
        <w:rPr/>
        <w:t>assertion</w:t>
      </w:r>
      <w:r>
        <w:rPr>
          <w:spacing w:val="-19"/>
        </w:rPr>
        <w:t> </w:t>
      </w:r>
      <w:r>
        <w:rPr/>
        <w:t>that</w:t>
      </w:r>
      <w:r>
        <w:rPr>
          <w:spacing w:val="-19"/>
        </w:rPr>
        <w:t> </w:t>
      </w:r>
      <w:r>
        <w:rPr/>
        <w:t>the</w:t>
      </w:r>
      <w:r>
        <w:rPr>
          <w:spacing w:val="-19"/>
        </w:rPr>
        <w:t> </w:t>
      </w:r>
      <w:r>
        <w:rPr/>
        <w:t>Tribunal</w:t>
      </w:r>
      <w:r>
        <w:rPr>
          <w:spacing w:val="-18"/>
        </w:rPr>
        <w:t> </w:t>
      </w:r>
      <w:r>
        <w:rPr>
          <w:i/>
          <w:sz w:val="25"/>
        </w:rPr>
        <w:t>should </w:t>
      </w:r>
      <w:r>
        <w:rPr/>
        <w:t>be assessing the decision-making capacity of these patients is not accepted, there is reason to be concerned about the apparent diversity of approaches found when the reasoning</w:t>
      </w:r>
      <w:r>
        <w:rPr>
          <w:spacing w:val="-5"/>
        </w:rPr>
        <w:t> </w:t>
      </w:r>
      <w:r>
        <w:rPr/>
        <w:t>set</w:t>
      </w:r>
      <w:r>
        <w:rPr>
          <w:spacing w:val="-5"/>
        </w:rPr>
        <w:t> </w:t>
      </w:r>
      <w:r>
        <w:rPr/>
        <w:t>out</w:t>
      </w:r>
      <w:r>
        <w:rPr>
          <w:spacing w:val="-6"/>
        </w:rPr>
        <w:t> </w:t>
      </w:r>
      <w:r>
        <w:rPr/>
        <w:t>in</w:t>
      </w:r>
      <w:r>
        <w:rPr>
          <w:spacing w:val="-6"/>
        </w:rPr>
        <w:t> </w:t>
      </w:r>
      <w:r>
        <w:rPr/>
        <w:t>the</w:t>
      </w:r>
      <w:r>
        <w:rPr>
          <w:spacing w:val="-6"/>
        </w:rPr>
        <w:t> </w:t>
      </w:r>
      <w:r>
        <w:rPr/>
        <w:t>statements</w:t>
      </w:r>
      <w:r>
        <w:rPr>
          <w:spacing w:val="-6"/>
        </w:rPr>
        <w:t> </w:t>
      </w:r>
      <w:r>
        <w:rPr/>
        <w:t>is</w:t>
      </w:r>
      <w:r>
        <w:rPr>
          <w:spacing w:val="-6"/>
        </w:rPr>
        <w:t> </w:t>
      </w:r>
      <w:r>
        <w:rPr/>
        <w:t>reviewed.</w:t>
      </w:r>
      <w:r>
        <w:rPr>
          <w:spacing w:val="-5"/>
        </w:rPr>
        <w:t> </w:t>
      </w:r>
      <w:r>
        <w:rPr/>
        <w:t>These</w:t>
      </w:r>
      <w:r>
        <w:rPr>
          <w:spacing w:val="-6"/>
        </w:rPr>
        <w:t> </w:t>
      </w:r>
      <w:r>
        <w:rPr/>
        <w:t>results</w:t>
      </w:r>
      <w:r>
        <w:rPr>
          <w:spacing w:val="-6"/>
        </w:rPr>
        <w:t> </w:t>
      </w:r>
      <w:r>
        <w:rPr/>
        <w:t>suggest</w:t>
      </w:r>
      <w:r>
        <w:rPr>
          <w:spacing w:val="-5"/>
        </w:rPr>
        <w:t> </w:t>
      </w:r>
      <w:r>
        <w:rPr/>
        <w:t>that</w:t>
      </w:r>
      <w:r>
        <w:rPr>
          <w:spacing w:val="-6"/>
        </w:rPr>
        <w:t> </w:t>
      </w:r>
      <w:r>
        <w:rPr/>
        <w:t>there</w:t>
      </w:r>
      <w:r>
        <w:rPr>
          <w:spacing w:val="-6"/>
        </w:rPr>
        <w:t> </w:t>
      </w:r>
      <w:r>
        <w:rPr/>
        <w:t>is</w:t>
      </w:r>
      <w:r>
        <w:rPr>
          <w:spacing w:val="-6"/>
        </w:rPr>
        <w:t> </w:t>
      </w:r>
      <w:r>
        <w:rPr/>
        <w:t>no clear or coherent approach to this</w:t>
      </w:r>
      <w:r>
        <w:rPr>
          <w:spacing w:val="-16"/>
        </w:rPr>
        <w:t> </w:t>
      </w:r>
      <w:r>
        <w:rPr/>
        <w:t>issue.</w:t>
      </w:r>
    </w:p>
    <w:p>
      <w:pPr>
        <w:pStyle w:val="BodyText"/>
        <w:spacing w:before="11"/>
        <w:rPr>
          <w:sz w:val="23"/>
        </w:rPr>
      </w:pPr>
    </w:p>
    <w:p>
      <w:pPr>
        <w:pStyle w:val="BodyText"/>
        <w:ind w:left="120" w:right="228"/>
        <w:jc w:val="both"/>
        <w:rPr>
          <w:sz w:val="16"/>
        </w:rPr>
      </w:pPr>
      <w:r>
        <w:rPr/>
        <w:t>The second study confirms this, but also found that that while capacity is often considered by the Tribunal, and as part of the least restrictive criterion, it is not being considered in a way that is protective of a person’s right to competently refuse treatment,</w:t>
      </w:r>
      <w:r>
        <w:rPr>
          <w:spacing w:val="-6"/>
        </w:rPr>
        <w:t> </w:t>
      </w:r>
      <w:r>
        <w:rPr/>
        <w:t>but</w:t>
      </w:r>
      <w:r>
        <w:rPr>
          <w:spacing w:val="-5"/>
        </w:rPr>
        <w:t> </w:t>
      </w:r>
      <w:r>
        <w:rPr/>
        <w:t>in</w:t>
      </w:r>
      <w:r>
        <w:rPr>
          <w:spacing w:val="-4"/>
        </w:rPr>
        <w:t> </w:t>
      </w:r>
      <w:r>
        <w:rPr/>
        <w:t>a</w:t>
      </w:r>
      <w:r>
        <w:rPr>
          <w:spacing w:val="-5"/>
        </w:rPr>
        <w:t> </w:t>
      </w:r>
      <w:r>
        <w:rPr/>
        <w:t>way</w:t>
      </w:r>
      <w:r>
        <w:rPr>
          <w:spacing w:val="-4"/>
        </w:rPr>
        <w:t> </w:t>
      </w:r>
      <w:r>
        <w:rPr/>
        <w:t>that</w:t>
      </w:r>
      <w:r>
        <w:rPr>
          <w:spacing w:val="-5"/>
        </w:rPr>
        <w:t> </w:t>
      </w:r>
      <w:r>
        <w:rPr/>
        <w:t>promotes</w:t>
      </w:r>
      <w:r>
        <w:rPr>
          <w:spacing w:val="-4"/>
        </w:rPr>
        <w:t> </w:t>
      </w:r>
      <w:r>
        <w:rPr/>
        <w:t>what</w:t>
      </w:r>
      <w:r>
        <w:rPr>
          <w:spacing w:val="-4"/>
        </w:rPr>
        <w:t> </w:t>
      </w:r>
      <w:r>
        <w:rPr/>
        <w:t>Gostin</w:t>
      </w:r>
      <w:r>
        <w:rPr>
          <w:spacing w:val="-5"/>
        </w:rPr>
        <w:t> </w:t>
      </w:r>
      <w:r>
        <w:rPr/>
        <w:t>and</w:t>
      </w:r>
      <w:r>
        <w:rPr>
          <w:spacing w:val="-4"/>
        </w:rPr>
        <w:t> </w:t>
      </w:r>
      <w:r>
        <w:rPr/>
        <w:t>Gable</w:t>
      </w:r>
      <w:r>
        <w:rPr>
          <w:spacing w:val="-6"/>
        </w:rPr>
        <w:t> </w:t>
      </w:r>
      <w:r>
        <w:rPr/>
        <w:t>have</w:t>
      </w:r>
      <w:r>
        <w:rPr>
          <w:spacing w:val="-4"/>
        </w:rPr>
        <w:t> </w:t>
      </w:r>
      <w:r>
        <w:rPr/>
        <w:t>called</w:t>
      </w:r>
      <w:r>
        <w:rPr>
          <w:spacing w:val="-5"/>
        </w:rPr>
        <w:t> </w:t>
      </w:r>
      <w:r>
        <w:rPr/>
        <w:t>‘the</w:t>
      </w:r>
      <w:r>
        <w:rPr>
          <w:spacing w:val="-4"/>
        </w:rPr>
        <w:t> </w:t>
      </w:r>
      <w:r>
        <w:rPr/>
        <w:t>myth</w:t>
      </w:r>
      <w:r>
        <w:rPr>
          <w:spacing w:val="-5"/>
        </w:rPr>
        <w:t> </w:t>
      </w:r>
      <w:r>
        <w:rPr/>
        <w:t>of incompetency’.</w:t>
      </w:r>
      <w:hyperlink w:history="true" w:anchor="_bookmark61">
        <w:r>
          <w:rPr>
            <w:position w:val="8"/>
            <w:sz w:val="16"/>
          </w:rPr>
          <w:t>60 </w:t>
        </w:r>
      </w:hyperlink>
      <w:r>
        <w:rPr/>
        <w:t>They write that ‘Competency is not an all or nothing proposition. It is tied</w:t>
      </w:r>
      <w:r>
        <w:rPr>
          <w:spacing w:val="-5"/>
        </w:rPr>
        <w:t> </w:t>
      </w:r>
      <w:r>
        <w:rPr/>
        <w:t>to</w:t>
      </w:r>
      <w:r>
        <w:rPr>
          <w:spacing w:val="-5"/>
        </w:rPr>
        <w:t> </w:t>
      </w:r>
      <w:r>
        <w:rPr/>
        <w:t>specific</w:t>
      </w:r>
      <w:r>
        <w:rPr>
          <w:spacing w:val="-6"/>
        </w:rPr>
        <w:t> </w:t>
      </w:r>
      <w:r>
        <w:rPr/>
        <w:t>services,</w:t>
      </w:r>
      <w:r>
        <w:rPr>
          <w:spacing w:val="-5"/>
        </w:rPr>
        <w:t> </w:t>
      </w:r>
      <w:r>
        <w:rPr/>
        <w:t>decisions,</w:t>
      </w:r>
      <w:r>
        <w:rPr>
          <w:spacing w:val="-6"/>
        </w:rPr>
        <w:t> </w:t>
      </w:r>
      <w:r>
        <w:rPr/>
        <w:t>or</w:t>
      </w:r>
      <w:r>
        <w:rPr>
          <w:spacing w:val="-5"/>
        </w:rPr>
        <w:t> </w:t>
      </w:r>
      <w:r>
        <w:rPr/>
        <w:t>functions.’</w:t>
      </w:r>
      <w:r>
        <w:rPr>
          <w:spacing w:val="-6"/>
        </w:rPr>
        <w:t> </w:t>
      </w:r>
      <w:r>
        <w:rPr/>
        <w:t>When</w:t>
      </w:r>
      <w:r>
        <w:rPr>
          <w:spacing w:val="-5"/>
        </w:rPr>
        <w:t> </w:t>
      </w:r>
      <w:r>
        <w:rPr/>
        <w:t>a</w:t>
      </w:r>
      <w:r>
        <w:rPr>
          <w:spacing w:val="-6"/>
        </w:rPr>
        <w:t> </w:t>
      </w:r>
      <w:r>
        <w:rPr/>
        <w:t>person’s</w:t>
      </w:r>
      <w:r>
        <w:rPr>
          <w:spacing w:val="-6"/>
        </w:rPr>
        <w:t> </w:t>
      </w:r>
      <w:r>
        <w:rPr/>
        <w:t>capacity</w:t>
      </w:r>
      <w:r>
        <w:rPr>
          <w:spacing w:val="-5"/>
        </w:rPr>
        <w:t> </w:t>
      </w:r>
      <w:r>
        <w:rPr/>
        <w:t>is</w:t>
      </w:r>
      <w:r>
        <w:rPr>
          <w:spacing w:val="-7"/>
        </w:rPr>
        <w:t> </w:t>
      </w:r>
      <w:r>
        <w:rPr/>
        <w:t>used</w:t>
      </w:r>
      <w:r>
        <w:rPr>
          <w:spacing w:val="-5"/>
        </w:rPr>
        <w:t> </w:t>
      </w:r>
      <w:r>
        <w:rPr/>
        <w:t>as</w:t>
      </w:r>
      <w:r>
        <w:rPr>
          <w:spacing w:val="-6"/>
        </w:rPr>
        <w:t> </w:t>
      </w:r>
      <w:r>
        <w:rPr/>
        <w:t>a determination that a person has a mental illness, or as evidence that they need treatment for a mental illness, the link between the capacity to make the decision and the actual decision is lost. While the idea that capacity is intrinsic to mental illness is a long-standing assumption in philosophical debates,</w:t>
      </w:r>
      <w:hyperlink w:history="true" w:anchor="_bookmark62">
        <w:r>
          <w:rPr>
            <w:position w:val="8"/>
            <w:sz w:val="16"/>
          </w:rPr>
          <w:t>61</w:t>
        </w:r>
      </w:hyperlink>
      <w:r>
        <w:rPr>
          <w:position w:val="8"/>
          <w:sz w:val="16"/>
        </w:rPr>
        <w:t> </w:t>
      </w:r>
      <w:r>
        <w:rPr/>
        <w:t>Gostin and Gable write that ‘Policies that assume a constant state of incompetency or impute a finding of incompetency</w:t>
      </w:r>
      <w:r>
        <w:rPr>
          <w:spacing w:val="-8"/>
        </w:rPr>
        <w:t> </w:t>
      </w:r>
      <w:r>
        <w:rPr/>
        <w:t>in</w:t>
      </w:r>
      <w:r>
        <w:rPr>
          <w:spacing w:val="-10"/>
        </w:rPr>
        <w:t> </w:t>
      </w:r>
      <w:r>
        <w:rPr/>
        <w:t>one</w:t>
      </w:r>
      <w:r>
        <w:rPr>
          <w:spacing w:val="-10"/>
        </w:rPr>
        <w:t> </w:t>
      </w:r>
      <w:r>
        <w:rPr/>
        <w:t>area</w:t>
      </w:r>
      <w:r>
        <w:rPr>
          <w:spacing w:val="-9"/>
        </w:rPr>
        <w:t> </w:t>
      </w:r>
      <w:r>
        <w:rPr/>
        <w:t>to</w:t>
      </w:r>
      <w:r>
        <w:rPr>
          <w:spacing w:val="-8"/>
        </w:rPr>
        <w:t> </w:t>
      </w:r>
      <w:r>
        <w:rPr/>
        <w:t>apply</w:t>
      </w:r>
      <w:r>
        <w:rPr>
          <w:spacing w:val="-8"/>
        </w:rPr>
        <w:t> </w:t>
      </w:r>
      <w:r>
        <w:rPr/>
        <w:t>to</w:t>
      </w:r>
      <w:r>
        <w:rPr>
          <w:spacing w:val="-8"/>
        </w:rPr>
        <w:t> </w:t>
      </w:r>
      <w:r>
        <w:rPr/>
        <w:t>all</w:t>
      </w:r>
      <w:r>
        <w:rPr>
          <w:spacing w:val="-10"/>
        </w:rPr>
        <w:t> </w:t>
      </w:r>
      <w:r>
        <w:rPr/>
        <w:t>other</w:t>
      </w:r>
      <w:r>
        <w:rPr>
          <w:spacing w:val="-9"/>
        </w:rPr>
        <w:t> </w:t>
      </w:r>
      <w:r>
        <w:rPr/>
        <w:t>areas</w:t>
      </w:r>
      <w:r>
        <w:rPr>
          <w:spacing w:val="-9"/>
        </w:rPr>
        <w:t> </w:t>
      </w:r>
      <w:r>
        <w:rPr/>
        <w:t>of</w:t>
      </w:r>
      <w:r>
        <w:rPr>
          <w:spacing w:val="-10"/>
        </w:rPr>
        <w:t> </w:t>
      </w:r>
      <w:r>
        <w:rPr/>
        <w:t>decision</w:t>
      </w:r>
      <w:r>
        <w:rPr>
          <w:spacing w:val="-10"/>
        </w:rPr>
        <w:t> </w:t>
      </w:r>
      <w:r>
        <w:rPr/>
        <w:t>making</w:t>
      </w:r>
      <w:r>
        <w:rPr>
          <w:spacing w:val="-8"/>
        </w:rPr>
        <w:t> </w:t>
      </w:r>
      <w:r>
        <w:rPr/>
        <w:t>misunderstand mental disability and violate human rights</w:t>
      </w:r>
      <w:r>
        <w:rPr>
          <w:spacing w:val="-9"/>
        </w:rPr>
        <w:t> </w:t>
      </w:r>
      <w:r>
        <w:rPr/>
        <w:t>standards.’</w:t>
      </w:r>
      <w:hyperlink w:history="true" w:anchor="_bookmark63">
        <w:r>
          <w:rPr>
            <w:position w:val="8"/>
            <w:sz w:val="16"/>
          </w:rPr>
          <w:t>62</w:t>
        </w:r>
      </w:hyperlink>
    </w:p>
    <w:p>
      <w:pPr>
        <w:pStyle w:val="BodyText"/>
        <w:spacing w:before="11"/>
        <w:rPr>
          <w:sz w:val="23"/>
        </w:rPr>
      </w:pPr>
    </w:p>
    <w:p>
      <w:pPr>
        <w:pStyle w:val="BodyText"/>
        <w:ind w:left="120" w:right="229"/>
        <w:jc w:val="both"/>
      </w:pPr>
      <w:r>
        <w:rPr/>
        <w:t>While the Tribunal has not regularly assessed a person’s capacity to determine if their competent refusal should be overborn, it has regularly considered insight, poor judgement and capacity in order to determine if a person is mentally ill or if treatment is required to prevent serious harm. This apparent assumption that a loss of capacity is</w:t>
      </w:r>
      <w:r>
        <w:rPr>
          <w:spacing w:val="-9"/>
        </w:rPr>
        <w:t> </w:t>
      </w:r>
      <w:r>
        <w:rPr/>
        <w:t>inherently</w:t>
      </w:r>
      <w:r>
        <w:rPr>
          <w:spacing w:val="-8"/>
        </w:rPr>
        <w:t> </w:t>
      </w:r>
      <w:r>
        <w:rPr/>
        <w:t>linked</w:t>
      </w:r>
      <w:r>
        <w:rPr>
          <w:spacing w:val="-8"/>
        </w:rPr>
        <w:t> </w:t>
      </w:r>
      <w:r>
        <w:rPr/>
        <w:t>to</w:t>
      </w:r>
      <w:r>
        <w:rPr>
          <w:spacing w:val="-9"/>
        </w:rPr>
        <w:t> </w:t>
      </w:r>
      <w:r>
        <w:rPr/>
        <w:t>mental</w:t>
      </w:r>
      <w:r>
        <w:rPr>
          <w:spacing w:val="-9"/>
        </w:rPr>
        <w:t> </w:t>
      </w:r>
      <w:r>
        <w:rPr/>
        <w:t>illness</w:t>
      </w:r>
      <w:r>
        <w:rPr>
          <w:spacing w:val="-9"/>
        </w:rPr>
        <w:t> </w:t>
      </w:r>
      <w:r>
        <w:rPr/>
        <w:t>is</w:t>
      </w:r>
      <w:r>
        <w:rPr>
          <w:spacing w:val="-9"/>
        </w:rPr>
        <w:t> </w:t>
      </w:r>
      <w:r>
        <w:rPr/>
        <w:t>not</w:t>
      </w:r>
      <w:r>
        <w:rPr>
          <w:spacing w:val="-9"/>
        </w:rPr>
        <w:t> </w:t>
      </w:r>
      <w:r>
        <w:rPr/>
        <w:t>defensible,</w:t>
      </w:r>
      <w:r>
        <w:rPr>
          <w:spacing w:val="-8"/>
        </w:rPr>
        <w:t> </w:t>
      </w:r>
      <w:r>
        <w:rPr/>
        <w:t>and</w:t>
      </w:r>
      <w:r>
        <w:rPr>
          <w:spacing w:val="-8"/>
        </w:rPr>
        <w:t> </w:t>
      </w:r>
      <w:r>
        <w:rPr/>
        <w:t>is</w:t>
      </w:r>
      <w:r>
        <w:rPr>
          <w:spacing w:val="-9"/>
        </w:rPr>
        <w:t> </w:t>
      </w:r>
      <w:r>
        <w:rPr/>
        <w:t>at</w:t>
      </w:r>
      <w:r>
        <w:rPr>
          <w:spacing w:val="-9"/>
        </w:rPr>
        <w:t> </w:t>
      </w:r>
      <w:r>
        <w:rPr/>
        <w:t>odds</w:t>
      </w:r>
      <w:r>
        <w:rPr>
          <w:spacing w:val="-9"/>
        </w:rPr>
        <w:t> </w:t>
      </w:r>
      <w:r>
        <w:rPr/>
        <w:t>with</w:t>
      </w:r>
      <w:r>
        <w:rPr>
          <w:spacing w:val="-9"/>
        </w:rPr>
        <w:t> </w:t>
      </w:r>
      <w:r>
        <w:rPr/>
        <w:t>the</w:t>
      </w:r>
      <w:r>
        <w:rPr>
          <w:spacing w:val="-9"/>
        </w:rPr>
        <w:t> </w:t>
      </w:r>
      <w:r>
        <w:rPr/>
        <w:t>principles of the Act and therefore the intention of</w:t>
      </w:r>
      <w:r>
        <w:rPr>
          <w:spacing w:val="-16"/>
        </w:rPr>
        <w:t> </w:t>
      </w:r>
      <w:r>
        <w:rPr/>
        <w:t>Parliament.</w:t>
      </w:r>
    </w:p>
    <w:p>
      <w:pPr>
        <w:pStyle w:val="BodyText"/>
        <w:spacing w:before="11"/>
        <w:rPr>
          <w:sz w:val="23"/>
        </w:rPr>
      </w:pPr>
    </w:p>
    <w:p>
      <w:pPr>
        <w:pStyle w:val="BodyText"/>
        <w:ind w:left="3678"/>
      </w:pPr>
      <w:r>
        <w:rPr/>
        <w:t>VIII. LIMITATIONS</w:t>
      </w:r>
    </w:p>
    <w:p>
      <w:pPr>
        <w:pStyle w:val="BodyText"/>
        <w:spacing w:before="10"/>
        <w:rPr>
          <w:sz w:val="23"/>
        </w:rPr>
      </w:pPr>
    </w:p>
    <w:p>
      <w:pPr>
        <w:pStyle w:val="BodyText"/>
        <w:ind w:left="120" w:right="229"/>
        <w:jc w:val="both"/>
      </w:pPr>
      <w:r>
        <w:rPr/>
        <w:t>The methodology of the both studies contain a number of issues that urge caution in interpretation.</w:t>
      </w:r>
      <w:r>
        <w:rPr>
          <w:spacing w:val="-11"/>
        </w:rPr>
        <w:t> </w:t>
      </w:r>
      <w:r>
        <w:rPr/>
        <w:t>There</w:t>
      </w:r>
      <w:r>
        <w:rPr>
          <w:spacing w:val="-11"/>
        </w:rPr>
        <w:t> </w:t>
      </w:r>
      <w:r>
        <w:rPr/>
        <w:t>is</w:t>
      </w:r>
      <w:r>
        <w:rPr>
          <w:spacing w:val="-11"/>
        </w:rPr>
        <w:t> </w:t>
      </w:r>
      <w:r>
        <w:rPr/>
        <w:t>an</w:t>
      </w:r>
      <w:r>
        <w:rPr>
          <w:spacing w:val="-10"/>
        </w:rPr>
        <w:t> </w:t>
      </w:r>
      <w:r>
        <w:rPr/>
        <w:t>element</w:t>
      </w:r>
      <w:r>
        <w:rPr>
          <w:spacing w:val="-10"/>
        </w:rPr>
        <w:t> </w:t>
      </w:r>
      <w:r>
        <w:rPr/>
        <w:t>of</w:t>
      </w:r>
      <w:r>
        <w:rPr>
          <w:spacing w:val="-10"/>
        </w:rPr>
        <w:t> </w:t>
      </w:r>
      <w:r>
        <w:rPr/>
        <w:t>sampling</w:t>
      </w:r>
      <w:r>
        <w:rPr>
          <w:spacing w:val="-11"/>
        </w:rPr>
        <w:t> </w:t>
      </w:r>
      <w:r>
        <w:rPr/>
        <w:t>bias,</w:t>
      </w:r>
      <w:r>
        <w:rPr>
          <w:spacing w:val="-11"/>
        </w:rPr>
        <w:t> </w:t>
      </w:r>
      <w:r>
        <w:rPr/>
        <w:t>in</w:t>
      </w:r>
      <w:r>
        <w:rPr>
          <w:spacing w:val="-12"/>
        </w:rPr>
        <w:t> </w:t>
      </w:r>
      <w:r>
        <w:rPr/>
        <w:t>that</w:t>
      </w:r>
      <w:r>
        <w:rPr>
          <w:spacing w:val="-10"/>
        </w:rPr>
        <w:t> </w:t>
      </w:r>
      <w:r>
        <w:rPr/>
        <w:t>the</w:t>
      </w:r>
      <w:r>
        <w:rPr>
          <w:spacing w:val="-10"/>
        </w:rPr>
        <w:t> </w:t>
      </w:r>
      <w:r>
        <w:rPr/>
        <w:t>Tribunal</w:t>
      </w:r>
      <w:r>
        <w:rPr>
          <w:spacing w:val="-10"/>
        </w:rPr>
        <w:t> </w:t>
      </w:r>
      <w:r>
        <w:rPr/>
        <w:t>only</w:t>
      </w:r>
      <w:r>
        <w:rPr>
          <w:spacing w:val="-11"/>
        </w:rPr>
        <w:t> </w:t>
      </w:r>
      <w:r>
        <w:rPr/>
        <w:t>publishes statements of reasons in a limited number of cases, such as where a statement of reasons is requested. It is likely that statements will be requested in cases where one of the parties to the hearing disputes, or is at least troubled by, the outcome. The published cases represent only a fraction of all cases that the Tribunal determines</w:t>
      </w:r>
      <w:r>
        <w:rPr>
          <w:spacing w:val="-38"/>
        </w:rPr>
        <w:t> </w:t>
      </w:r>
      <w:r>
        <w:rPr/>
        <w:t>and it</w:t>
      </w:r>
      <w:r>
        <w:rPr>
          <w:spacing w:val="-15"/>
        </w:rPr>
        <w:t> </w:t>
      </w:r>
      <w:r>
        <w:rPr/>
        <w:t>is</w:t>
      </w:r>
      <w:r>
        <w:rPr>
          <w:spacing w:val="-15"/>
        </w:rPr>
        <w:t> </w:t>
      </w:r>
      <w:r>
        <w:rPr/>
        <w:t>unlikely</w:t>
      </w:r>
      <w:r>
        <w:rPr>
          <w:spacing w:val="-15"/>
        </w:rPr>
        <w:t> </w:t>
      </w:r>
      <w:r>
        <w:rPr/>
        <w:t>that</w:t>
      </w:r>
      <w:r>
        <w:rPr>
          <w:spacing w:val="-15"/>
        </w:rPr>
        <w:t> </w:t>
      </w:r>
      <w:r>
        <w:rPr/>
        <w:t>they</w:t>
      </w:r>
      <w:r>
        <w:rPr>
          <w:spacing w:val="-15"/>
        </w:rPr>
        <w:t> </w:t>
      </w:r>
      <w:r>
        <w:rPr/>
        <w:t>comprise</w:t>
      </w:r>
      <w:r>
        <w:rPr>
          <w:spacing w:val="-15"/>
        </w:rPr>
        <w:t> </w:t>
      </w:r>
      <w:r>
        <w:rPr/>
        <w:t>a</w:t>
      </w:r>
      <w:r>
        <w:rPr>
          <w:spacing w:val="-15"/>
        </w:rPr>
        <w:t> </w:t>
      </w:r>
      <w:r>
        <w:rPr/>
        <w:t>representative</w:t>
      </w:r>
      <w:r>
        <w:rPr>
          <w:spacing w:val="-15"/>
        </w:rPr>
        <w:t> </w:t>
      </w:r>
      <w:r>
        <w:rPr/>
        <w:t>sample</w:t>
      </w:r>
      <w:r>
        <w:rPr>
          <w:spacing w:val="-17"/>
        </w:rPr>
        <w:t> </w:t>
      </w:r>
      <w:r>
        <w:rPr/>
        <w:t>of</w:t>
      </w:r>
      <w:r>
        <w:rPr>
          <w:spacing w:val="-15"/>
        </w:rPr>
        <w:t> </w:t>
      </w:r>
      <w:r>
        <w:rPr/>
        <w:t>all</w:t>
      </w:r>
      <w:r>
        <w:rPr>
          <w:spacing w:val="-15"/>
        </w:rPr>
        <w:t> </w:t>
      </w:r>
      <w:r>
        <w:rPr/>
        <w:t>the</w:t>
      </w:r>
      <w:r>
        <w:rPr>
          <w:spacing w:val="-15"/>
        </w:rPr>
        <w:t> </w:t>
      </w:r>
      <w:r>
        <w:rPr/>
        <w:t>cases</w:t>
      </w:r>
      <w:r>
        <w:rPr>
          <w:spacing w:val="-15"/>
        </w:rPr>
        <w:t> </w:t>
      </w:r>
      <w:r>
        <w:rPr/>
        <w:t>heard.</w:t>
      </w:r>
      <w:r>
        <w:rPr>
          <w:spacing w:val="-16"/>
        </w:rPr>
        <w:t> </w:t>
      </w:r>
      <w:r>
        <w:rPr/>
        <w:t>As</w:t>
      </w:r>
      <w:r>
        <w:rPr>
          <w:spacing w:val="-15"/>
        </w:rPr>
        <w:t> </w:t>
      </w:r>
      <w:r>
        <w:rPr/>
        <w:t>noted above, treatment orders were made in only 65% of published statements of reasons examined</w:t>
      </w:r>
      <w:r>
        <w:rPr>
          <w:spacing w:val="-7"/>
        </w:rPr>
        <w:t> </w:t>
      </w:r>
      <w:r>
        <w:rPr/>
        <w:t>in</w:t>
      </w:r>
      <w:r>
        <w:rPr>
          <w:spacing w:val="-7"/>
        </w:rPr>
        <w:t> </w:t>
      </w:r>
      <w:r>
        <w:rPr/>
        <w:t>the</w:t>
      </w:r>
      <w:r>
        <w:rPr>
          <w:spacing w:val="-8"/>
        </w:rPr>
        <w:t> </w:t>
      </w:r>
      <w:r>
        <w:rPr/>
        <w:t>second</w:t>
      </w:r>
      <w:r>
        <w:rPr>
          <w:spacing w:val="-7"/>
        </w:rPr>
        <w:t> </w:t>
      </w:r>
      <w:r>
        <w:rPr/>
        <w:t>study,</w:t>
      </w:r>
      <w:r>
        <w:rPr>
          <w:spacing w:val="-9"/>
        </w:rPr>
        <w:t> </w:t>
      </w:r>
      <w:r>
        <w:rPr/>
        <w:t>orders</w:t>
      </w:r>
      <w:r>
        <w:rPr>
          <w:spacing w:val="-8"/>
        </w:rPr>
        <w:t> </w:t>
      </w:r>
      <w:r>
        <w:rPr/>
        <w:t>are</w:t>
      </w:r>
      <w:r>
        <w:rPr>
          <w:spacing w:val="-8"/>
        </w:rPr>
        <w:t> </w:t>
      </w:r>
      <w:r>
        <w:rPr/>
        <w:t>actually</w:t>
      </w:r>
      <w:r>
        <w:rPr>
          <w:spacing w:val="-7"/>
        </w:rPr>
        <w:t> </w:t>
      </w:r>
      <w:r>
        <w:rPr/>
        <w:t>made</w:t>
      </w:r>
      <w:r>
        <w:rPr>
          <w:spacing w:val="-9"/>
        </w:rPr>
        <w:t> </w:t>
      </w:r>
      <w:r>
        <w:rPr/>
        <w:t>in</w:t>
      </w:r>
      <w:r>
        <w:rPr>
          <w:spacing w:val="-7"/>
        </w:rPr>
        <w:t> </w:t>
      </w:r>
      <w:r>
        <w:rPr/>
        <w:t>around</w:t>
      </w:r>
      <w:r>
        <w:rPr>
          <w:spacing w:val="-9"/>
        </w:rPr>
        <w:t> </w:t>
      </w:r>
      <w:r>
        <w:rPr/>
        <w:t>94%</w:t>
      </w:r>
      <w:r>
        <w:rPr>
          <w:spacing w:val="-8"/>
        </w:rPr>
        <w:t> </w:t>
      </w:r>
      <w:r>
        <w:rPr/>
        <w:t>of</w:t>
      </w:r>
      <w:r>
        <w:rPr>
          <w:spacing w:val="-7"/>
        </w:rPr>
        <w:t> </w:t>
      </w:r>
      <w:r>
        <w:rPr/>
        <w:t>hearings</w:t>
      </w:r>
      <w:r>
        <w:rPr>
          <w:spacing w:val="-8"/>
        </w:rPr>
        <w:t> </w:t>
      </w:r>
      <w:r>
        <w:rPr/>
        <w:t>for</w:t>
      </w:r>
    </w:p>
    <w:p>
      <w:pPr>
        <w:pStyle w:val="BodyText"/>
        <w:spacing w:before="3"/>
        <w:rPr>
          <w:sz w:val="12"/>
        </w:rPr>
      </w:pPr>
      <w:r>
        <w:rPr/>
        <w:pict>
          <v:line style="position:absolute;mso-position-horizontal-relative:page;mso-position-vertical-relative:paragraph;z-index:1840;mso-wrap-distance-left:0;mso-wrap-distance-right:0" from="67.019997pt,9.650691pt" to="211.019997pt,9.650691pt" stroked="true" strokeweight=".54pt" strokecolor="#000000">
            <v:stroke dashstyle="solid"/>
            <w10:wrap type="topAndBottom"/>
          </v:line>
        </w:pict>
      </w:r>
    </w:p>
    <w:p>
      <w:pPr>
        <w:spacing w:line="230" w:lineRule="auto" w:before="74"/>
        <w:ind w:left="346" w:right="0" w:hanging="226"/>
        <w:jc w:val="left"/>
        <w:rPr>
          <w:sz w:val="20"/>
        </w:rPr>
      </w:pPr>
      <w:bookmarkStart w:name="_bookmark61" w:id="63"/>
      <w:bookmarkEnd w:id="63"/>
      <w:r>
        <w:rPr/>
      </w:r>
      <w:r>
        <w:rPr>
          <w:position w:val="7"/>
          <w:sz w:val="13"/>
        </w:rPr>
        <w:t>60 </w:t>
      </w:r>
      <w:r>
        <w:rPr>
          <w:sz w:val="20"/>
        </w:rPr>
        <w:t>Lawrence O Gostin and Lance Gable, ‘Global Mental Health: Changing Norms, Constant Rights’ (2008) 9(1) </w:t>
      </w:r>
      <w:r>
        <w:rPr>
          <w:i/>
          <w:sz w:val="21"/>
        </w:rPr>
        <w:t>Georgetown Journal of International Affairs </w:t>
      </w:r>
      <w:r>
        <w:rPr>
          <w:sz w:val="20"/>
        </w:rPr>
        <w:t>83, 84.</w:t>
      </w:r>
    </w:p>
    <w:p>
      <w:pPr>
        <w:spacing w:line="228" w:lineRule="auto" w:before="0"/>
        <w:ind w:left="347" w:right="0" w:hanging="227"/>
        <w:jc w:val="left"/>
        <w:rPr>
          <w:sz w:val="20"/>
        </w:rPr>
      </w:pPr>
      <w:bookmarkStart w:name="_bookmark62" w:id="64"/>
      <w:bookmarkEnd w:id="64"/>
      <w:r>
        <w:rPr/>
      </w:r>
      <w:r>
        <w:rPr>
          <w:position w:val="7"/>
          <w:sz w:val="13"/>
        </w:rPr>
        <w:t>61 </w:t>
      </w:r>
      <w:r>
        <w:rPr>
          <w:sz w:val="20"/>
        </w:rPr>
        <w:t>Gerben Meynen, ‘Free Will and Mental Disorder: Exploring the Relationship’ (2010) 31(6)</w:t>
      </w:r>
      <w:r>
        <w:rPr>
          <w:i/>
          <w:sz w:val="21"/>
        </w:rPr>
        <w:t>Theoretical Medicine and Bioethics </w:t>
      </w:r>
      <w:r>
        <w:rPr>
          <w:sz w:val="20"/>
        </w:rPr>
        <w:t>429.</w:t>
      </w:r>
    </w:p>
    <w:p>
      <w:pPr>
        <w:spacing w:line="239" w:lineRule="exact" w:before="0"/>
        <w:ind w:left="120" w:right="0" w:firstLine="0"/>
        <w:jc w:val="left"/>
        <w:rPr>
          <w:sz w:val="20"/>
        </w:rPr>
      </w:pPr>
      <w:bookmarkStart w:name="_bookmark63" w:id="65"/>
      <w:bookmarkEnd w:id="65"/>
      <w:r>
        <w:rPr/>
      </w:r>
      <w:r>
        <w:rPr>
          <w:position w:val="7"/>
          <w:sz w:val="13"/>
        </w:rPr>
        <w:t>62 </w:t>
      </w:r>
      <w:r>
        <w:rPr>
          <w:sz w:val="20"/>
        </w:rPr>
        <w:t>Gostin and Gable, above n 60, 84.</w:t>
      </w:r>
    </w:p>
    <w:p>
      <w:pPr>
        <w:spacing w:after="0" w:line="239" w:lineRule="exact"/>
        <w:jc w:val="left"/>
        <w:rPr>
          <w:sz w:val="20"/>
        </w:rPr>
        <w:sectPr>
          <w:pgSz w:w="11910" w:h="16840"/>
          <w:pgMar w:header="763" w:footer="1025" w:top="980" w:bottom="1220" w:left="1220" w:right="1200"/>
        </w:sectPr>
      </w:pPr>
    </w:p>
    <w:p>
      <w:pPr>
        <w:pStyle w:val="BodyText"/>
        <w:spacing w:before="4"/>
        <w:rPr>
          <w:sz w:val="21"/>
        </w:rPr>
      </w:pPr>
    </w:p>
    <w:p>
      <w:pPr>
        <w:pStyle w:val="BodyText"/>
        <w:spacing w:before="100"/>
        <w:ind w:left="120" w:right="110"/>
        <w:jc w:val="both"/>
        <w:rPr>
          <w:sz w:val="16"/>
        </w:rPr>
      </w:pPr>
      <w:r>
        <w:rPr/>
        <w:t>treatment</w:t>
      </w:r>
      <w:r>
        <w:rPr>
          <w:spacing w:val="-20"/>
        </w:rPr>
        <w:t> </w:t>
      </w:r>
      <w:r>
        <w:rPr/>
        <w:t>orders.</w:t>
      </w:r>
      <w:hyperlink w:history="true" w:anchor="_bookmark64">
        <w:r>
          <w:rPr>
            <w:position w:val="8"/>
            <w:sz w:val="16"/>
          </w:rPr>
          <w:t>63</w:t>
        </w:r>
        <w:r>
          <w:rPr>
            <w:spacing w:val="-13"/>
            <w:position w:val="8"/>
            <w:sz w:val="16"/>
          </w:rPr>
          <w:t> </w:t>
        </w:r>
      </w:hyperlink>
      <w:r>
        <w:rPr/>
        <w:t>Similarly,</w:t>
      </w:r>
      <w:r>
        <w:rPr>
          <w:spacing w:val="-19"/>
        </w:rPr>
        <w:t> </w:t>
      </w:r>
      <w:r>
        <w:rPr/>
        <w:t>of</w:t>
      </w:r>
      <w:r>
        <w:rPr>
          <w:spacing w:val="-18"/>
        </w:rPr>
        <w:t> </w:t>
      </w:r>
      <w:r>
        <w:rPr/>
        <w:t>the</w:t>
      </w:r>
      <w:r>
        <w:rPr>
          <w:spacing w:val="-19"/>
        </w:rPr>
        <w:t> </w:t>
      </w:r>
      <w:r>
        <w:rPr/>
        <w:t>total</w:t>
      </w:r>
      <w:r>
        <w:rPr>
          <w:spacing w:val="-20"/>
        </w:rPr>
        <w:t> </w:t>
      </w:r>
      <w:r>
        <w:rPr/>
        <w:t>hearings</w:t>
      </w:r>
      <w:r>
        <w:rPr>
          <w:spacing w:val="-19"/>
        </w:rPr>
        <w:t> </w:t>
      </w:r>
      <w:r>
        <w:rPr/>
        <w:t>with</w:t>
      </w:r>
      <w:r>
        <w:rPr>
          <w:spacing w:val="-19"/>
        </w:rPr>
        <w:t> </w:t>
      </w:r>
      <w:r>
        <w:rPr/>
        <w:t>published</w:t>
      </w:r>
      <w:r>
        <w:rPr>
          <w:spacing w:val="-18"/>
        </w:rPr>
        <w:t> </w:t>
      </w:r>
      <w:r>
        <w:rPr/>
        <w:t>statements</w:t>
      </w:r>
      <w:r>
        <w:rPr>
          <w:spacing w:val="-19"/>
        </w:rPr>
        <w:t> </w:t>
      </w:r>
      <w:r>
        <w:rPr/>
        <w:t>of</w:t>
      </w:r>
      <w:r>
        <w:rPr>
          <w:spacing w:val="-18"/>
        </w:rPr>
        <w:t> </w:t>
      </w:r>
      <w:r>
        <w:rPr/>
        <w:t>reasons examined in the second study, 66% had legal representation, while the actual percentage of hearings with legal representation is closer to</w:t>
      </w:r>
      <w:r>
        <w:rPr>
          <w:spacing w:val="-16"/>
        </w:rPr>
        <w:t> </w:t>
      </w:r>
      <w:r>
        <w:rPr/>
        <w:t>18%.</w:t>
      </w:r>
      <w:hyperlink w:history="true" w:anchor="_bookmark65">
        <w:r>
          <w:rPr>
            <w:position w:val="8"/>
            <w:sz w:val="16"/>
          </w:rPr>
          <w:t>64</w:t>
        </w:r>
      </w:hyperlink>
    </w:p>
    <w:p>
      <w:pPr>
        <w:pStyle w:val="BodyText"/>
        <w:spacing w:before="11"/>
        <w:rPr>
          <w:sz w:val="23"/>
        </w:rPr>
      </w:pPr>
    </w:p>
    <w:p>
      <w:pPr>
        <w:pStyle w:val="BodyText"/>
        <w:spacing w:before="1"/>
        <w:ind w:left="120" w:right="109"/>
        <w:jc w:val="both"/>
      </w:pPr>
      <w:r>
        <w:rPr/>
        <w:t>Compounding the sampling issue, statements of reasons are reserved in that they are written at some point after the actual hearing and are constructed using contemporaneous brief handwritten notes and recordings of the hearing. While the clearest indicators that a consideration of the patient’s decision-making capacity was conducted</w:t>
      </w:r>
      <w:r>
        <w:rPr>
          <w:spacing w:val="-10"/>
        </w:rPr>
        <w:t> </w:t>
      </w:r>
      <w:r>
        <w:rPr/>
        <w:t>would</w:t>
      </w:r>
      <w:r>
        <w:rPr>
          <w:spacing w:val="-10"/>
        </w:rPr>
        <w:t> </w:t>
      </w:r>
      <w:r>
        <w:rPr/>
        <w:t>be</w:t>
      </w:r>
      <w:r>
        <w:rPr>
          <w:spacing w:val="-9"/>
        </w:rPr>
        <w:t> </w:t>
      </w:r>
      <w:r>
        <w:rPr/>
        <w:t>an</w:t>
      </w:r>
      <w:r>
        <w:rPr>
          <w:spacing w:val="-8"/>
        </w:rPr>
        <w:t> </w:t>
      </w:r>
      <w:r>
        <w:rPr/>
        <w:t>explicit</w:t>
      </w:r>
      <w:r>
        <w:rPr>
          <w:spacing w:val="-9"/>
        </w:rPr>
        <w:t> </w:t>
      </w:r>
      <w:r>
        <w:rPr/>
        <w:t>mention</w:t>
      </w:r>
      <w:r>
        <w:rPr>
          <w:spacing w:val="-8"/>
        </w:rPr>
        <w:t> </w:t>
      </w:r>
      <w:r>
        <w:rPr/>
        <w:t>of</w:t>
      </w:r>
      <w:r>
        <w:rPr>
          <w:spacing w:val="-8"/>
        </w:rPr>
        <w:t> </w:t>
      </w:r>
      <w:r>
        <w:rPr/>
        <w:t>the</w:t>
      </w:r>
      <w:r>
        <w:rPr>
          <w:spacing w:val="-9"/>
        </w:rPr>
        <w:t> </w:t>
      </w:r>
      <w:r>
        <w:rPr/>
        <w:t>same</w:t>
      </w:r>
      <w:r>
        <w:rPr>
          <w:spacing w:val="-9"/>
        </w:rPr>
        <w:t> </w:t>
      </w:r>
      <w:r>
        <w:rPr/>
        <w:t>or</w:t>
      </w:r>
      <w:r>
        <w:rPr>
          <w:spacing w:val="-9"/>
        </w:rPr>
        <w:t> </w:t>
      </w:r>
      <w:r>
        <w:rPr/>
        <w:t>clear</w:t>
      </w:r>
      <w:r>
        <w:rPr>
          <w:spacing w:val="-9"/>
        </w:rPr>
        <w:t> </w:t>
      </w:r>
      <w:r>
        <w:rPr/>
        <w:t>reference</w:t>
      </w:r>
      <w:r>
        <w:rPr>
          <w:spacing w:val="-9"/>
        </w:rPr>
        <w:t> </w:t>
      </w:r>
      <w:r>
        <w:rPr/>
        <w:t>to</w:t>
      </w:r>
      <w:r>
        <w:rPr>
          <w:spacing w:val="-8"/>
        </w:rPr>
        <w:t> </w:t>
      </w:r>
      <w:r>
        <w:rPr/>
        <w:t>the</w:t>
      </w:r>
      <w:r>
        <w:rPr>
          <w:spacing w:val="-10"/>
        </w:rPr>
        <w:t> </w:t>
      </w:r>
      <w:r>
        <w:rPr/>
        <w:t>elements of decision-making capacity, it is important to recognise for the purposes of this exercise</w:t>
      </w:r>
      <w:r>
        <w:rPr>
          <w:spacing w:val="-7"/>
        </w:rPr>
        <w:t> </w:t>
      </w:r>
      <w:r>
        <w:rPr/>
        <w:t>that</w:t>
      </w:r>
      <w:r>
        <w:rPr>
          <w:spacing w:val="-6"/>
        </w:rPr>
        <w:t> </w:t>
      </w:r>
      <w:r>
        <w:rPr/>
        <w:t>the</w:t>
      </w:r>
      <w:r>
        <w:rPr>
          <w:spacing w:val="-7"/>
        </w:rPr>
        <w:t> </w:t>
      </w:r>
      <w:r>
        <w:rPr/>
        <w:t>Tribunal</w:t>
      </w:r>
      <w:r>
        <w:rPr>
          <w:spacing w:val="-8"/>
        </w:rPr>
        <w:t> </w:t>
      </w:r>
      <w:r>
        <w:rPr/>
        <w:t>may</w:t>
      </w:r>
      <w:r>
        <w:rPr>
          <w:spacing w:val="-7"/>
        </w:rPr>
        <w:t> </w:t>
      </w:r>
      <w:r>
        <w:rPr/>
        <w:t>have</w:t>
      </w:r>
      <w:r>
        <w:rPr>
          <w:spacing w:val="-7"/>
        </w:rPr>
        <w:t> </w:t>
      </w:r>
      <w:r>
        <w:rPr/>
        <w:t>considered</w:t>
      </w:r>
      <w:r>
        <w:rPr>
          <w:spacing w:val="-6"/>
        </w:rPr>
        <w:t> </w:t>
      </w:r>
      <w:r>
        <w:rPr/>
        <w:t>this</w:t>
      </w:r>
      <w:r>
        <w:rPr>
          <w:spacing w:val="-7"/>
        </w:rPr>
        <w:t> </w:t>
      </w:r>
      <w:r>
        <w:rPr/>
        <w:t>issue</w:t>
      </w:r>
      <w:r>
        <w:rPr>
          <w:spacing w:val="-7"/>
        </w:rPr>
        <w:t> </w:t>
      </w:r>
      <w:r>
        <w:rPr/>
        <w:t>at</w:t>
      </w:r>
      <w:r>
        <w:rPr>
          <w:spacing w:val="-6"/>
        </w:rPr>
        <w:t> </w:t>
      </w:r>
      <w:r>
        <w:rPr/>
        <w:t>the</w:t>
      </w:r>
      <w:r>
        <w:rPr>
          <w:spacing w:val="-8"/>
        </w:rPr>
        <w:t> </w:t>
      </w:r>
      <w:r>
        <w:rPr/>
        <w:t>hearing</w:t>
      </w:r>
      <w:r>
        <w:rPr>
          <w:spacing w:val="-7"/>
        </w:rPr>
        <w:t> </w:t>
      </w:r>
      <w:r>
        <w:rPr/>
        <w:t>without</w:t>
      </w:r>
      <w:r>
        <w:rPr>
          <w:spacing w:val="-8"/>
        </w:rPr>
        <w:t> </w:t>
      </w:r>
      <w:r>
        <w:rPr/>
        <w:t>either of these clear indicators ending up in the published statement of</w:t>
      </w:r>
      <w:r>
        <w:rPr>
          <w:spacing w:val="-30"/>
        </w:rPr>
        <w:t> </w:t>
      </w:r>
      <w:r>
        <w:rPr/>
        <w:t>reasons.</w:t>
      </w:r>
    </w:p>
    <w:p>
      <w:pPr>
        <w:pStyle w:val="BodyText"/>
      </w:pPr>
    </w:p>
    <w:p>
      <w:pPr>
        <w:pStyle w:val="BodyText"/>
        <w:ind w:left="120" w:right="109"/>
        <w:jc w:val="both"/>
      </w:pPr>
      <w:r>
        <w:rPr/>
        <w:t>It</w:t>
      </w:r>
      <w:r>
        <w:rPr>
          <w:spacing w:val="-17"/>
        </w:rPr>
        <w:t> </w:t>
      </w:r>
      <w:r>
        <w:rPr/>
        <w:t>is</w:t>
      </w:r>
      <w:r>
        <w:rPr>
          <w:spacing w:val="-18"/>
        </w:rPr>
        <w:t> </w:t>
      </w:r>
      <w:r>
        <w:rPr/>
        <w:t>also</w:t>
      </w:r>
      <w:r>
        <w:rPr>
          <w:spacing w:val="-18"/>
        </w:rPr>
        <w:t> </w:t>
      </w:r>
      <w:r>
        <w:rPr/>
        <w:t>inevitable</w:t>
      </w:r>
      <w:r>
        <w:rPr>
          <w:spacing w:val="-18"/>
        </w:rPr>
        <w:t> </w:t>
      </w:r>
      <w:r>
        <w:rPr/>
        <w:t>that</w:t>
      </w:r>
      <w:r>
        <w:rPr>
          <w:spacing w:val="-17"/>
        </w:rPr>
        <w:t> </w:t>
      </w:r>
      <w:r>
        <w:rPr/>
        <w:t>there</w:t>
      </w:r>
      <w:r>
        <w:rPr>
          <w:spacing w:val="-18"/>
        </w:rPr>
        <w:t> </w:t>
      </w:r>
      <w:r>
        <w:rPr/>
        <w:t>will</w:t>
      </w:r>
      <w:r>
        <w:rPr>
          <w:spacing w:val="-18"/>
        </w:rPr>
        <w:t> </w:t>
      </w:r>
      <w:r>
        <w:rPr/>
        <w:t>be</w:t>
      </w:r>
      <w:r>
        <w:rPr>
          <w:spacing w:val="-18"/>
        </w:rPr>
        <w:t> </w:t>
      </w:r>
      <w:r>
        <w:rPr/>
        <w:t>an</w:t>
      </w:r>
      <w:r>
        <w:rPr>
          <w:spacing w:val="-17"/>
        </w:rPr>
        <w:t> </w:t>
      </w:r>
      <w:r>
        <w:rPr/>
        <w:t>element</w:t>
      </w:r>
      <w:r>
        <w:rPr>
          <w:spacing w:val="-17"/>
        </w:rPr>
        <w:t> </w:t>
      </w:r>
      <w:r>
        <w:rPr/>
        <w:t>of</w:t>
      </w:r>
      <w:r>
        <w:rPr>
          <w:spacing w:val="-18"/>
        </w:rPr>
        <w:t> </w:t>
      </w:r>
      <w:r>
        <w:rPr/>
        <w:t>subjectivity</w:t>
      </w:r>
      <w:r>
        <w:rPr>
          <w:spacing w:val="-18"/>
        </w:rPr>
        <w:t> </w:t>
      </w:r>
      <w:r>
        <w:rPr/>
        <w:t>involved</w:t>
      </w:r>
      <w:r>
        <w:rPr>
          <w:spacing w:val="-18"/>
        </w:rPr>
        <w:t> </w:t>
      </w:r>
      <w:r>
        <w:rPr/>
        <w:t>in</w:t>
      </w:r>
      <w:r>
        <w:rPr>
          <w:spacing w:val="-18"/>
        </w:rPr>
        <w:t> </w:t>
      </w:r>
      <w:r>
        <w:rPr/>
        <w:t>the</w:t>
      </w:r>
      <w:r>
        <w:rPr>
          <w:spacing w:val="-19"/>
        </w:rPr>
        <w:t> </w:t>
      </w:r>
      <w:r>
        <w:rPr/>
        <w:t>allocation of some of the cases into groups, or the process of thematic analysis. While efforts were</w:t>
      </w:r>
      <w:r>
        <w:rPr>
          <w:spacing w:val="-5"/>
        </w:rPr>
        <w:t> </w:t>
      </w:r>
      <w:r>
        <w:rPr/>
        <w:t>made</w:t>
      </w:r>
      <w:r>
        <w:rPr>
          <w:spacing w:val="-3"/>
        </w:rPr>
        <w:t> </w:t>
      </w:r>
      <w:r>
        <w:rPr/>
        <w:t>to</w:t>
      </w:r>
      <w:r>
        <w:rPr>
          <w:spacing w:val="-4"/>
        </w:rPr>
        <w:t> </w:t>
      </w:r>
      <w:r>
        <w:rPr/>
        <w:t>make</w:t>
      </w:r>
      <w:r>
        <w:rPr>
          <w:spacing w:val="-5"/>
        </w:rPr>
        <w:t> </w:t>
      </w:r>
      <w:r>
        <w:rPr/>
        <w:t>the</w:t>
      </w:r>
      <w:r>
        <w:rPr>
          <w:spacing w:val="-5"/>
        </w:rPr>
        <w:t> </w:t>
      </w:r>
      <w:r>
        <w:rPr/>
        <w:t>categories</w:t>
      </w:r>
      <w:r>
        <w:rPr>
          <w:spacing w:val="-5"/>
        </w:rPr>
        <w:t> </w:t>
      </w:r>
      <w:r>
        <w:rPr/>
        <w:t>and</w:t>
      </w:r>
      <w:r>
        <w:rPr>
          <w:spacing w:val="-4"/>
        </w:rPr>
        <w:t> </w:t>
      </w:r>
      <w:r>
        <w:rPr/>
        <w:t>themes</w:t>
      </w:r>
      <w:r>
        <w:rPr>
          <w:spacing w:val="-5"/>
        </w:rPr>
        <w:t> </w:t>
      </w:r>
      <w:r>
        <w:rPr/>
        <w:t>as</w:t>
      </w:r>
      <w:r>
        <w:rPr>
          <w:spacing w:val="-5"/>
        </w:rPr>
        <w:t> </w:t>
      </w:r>
      <w:r>
        <w:rPr/>
        <w:t>reliable</w:t>
      </w:r>
      <w:r>
        <w:rPr>
          <w:spacing w:val="-5"/>
        </w:rPr>
        <w:t> </w:t>
      </w:r>
      <w:r>
        <w:rPr/>
        <w:t>and</w:t>
      </w:r>
      <w:r>
        <w:rPr>
          <w:spacing w:val="-5"/>
        </w:rPr>
        <w:t> </w:t>
      </w:r>
      <w:r>
        <w:rPr/>
        <w:t>valid</w:t>
      </w:r>
      <w:r>
        <w:rPr>
          <w:spacing w:val="-5"/>
        </w:rPr>
        <w:t> </w:t>
      </w:r>
      <w:r>
        <w:rPr/>
        <w:t>as</w:t>
      </w:r>
      <w:r>
        <w:rPr>
          <w:spacing w:val="-5"/>
        </w:rPr>
        <w:t> </w:t>
      </w:r>
      <w:r>
        <w:rPr/>
        <w:t>possible,</w:t>
      </w:r>
      <w:r>
        <w:rPr>
          <w:spacing w:val="-4"/>
        </w:rPr>
        <w:t> </w:t>
      </w:r>
      <w:r>
        <w:rPr/>
        <w:t>this</w:t>
      </w:r>
      <w:r>
        <w:rPr>
          <w:spacing w:val="-5"/>
        </w:rPr>
        <w:t> </w:t>
      </w:r>
      <w:r>
        <w:rPr/>
        <w:t>is an inherently subjective process. Even using text queries, as in the second study, only reduces this factor, as longer statements of reasons will necessarily have more words in</w:t>
      </w:r>
      <w:r>
        <w:rPr>
          <w:spacing w:val="-16"/>
        </w:rPr>
        <w:t> </w:t>
      </w:r>
      <w:r>
        <w:rPr/>
        <w:t>them,</w:t>
      </w:r>
      <w:r>
        <w:rPr>
          <w:spacing w:val="-16"/>
        </w:rPr>
        <w:t> </w:t>
      </w:r>
      <w:r>
        <w:rPr/>
        <w:t>and</w:t>
      </w:r>
      <w:r>
        <w:rPr>
          <w:spacing w:val="-14"/>
        </w:rPr>
        <w:t> </w:t>
      </w:r>
      <w:r>
        <w:rPr/>
        <w:t>will</w:t>
      </w:r>
      <w:r>
        <w:rPr>
          <w:spacing w:val="-16"/>
        </w:rPr>
        <w:t> </w:t>
      </w:r>
      <w:r>
        <w:rPr/>
        <w:t>generate</w:t>
      </w:r>
      <w:r>
        <w:rPr>
          <w:spacing w:val="-15"/>
        </w:rPr>
        <w:t> </w:t>
      </w:r>
      <w:r>
        <w:rPr/>
        <w:t>more</w:t>
      </w:r>
      <w:r>
        <w:rPr>
          <w:spacing w:val="-16"/>
        </w:rPr>
        <w:t> </w:t>
      </w:r>
      <w:r>
        <w:rPr/>
        <w:t>returns,</w:t>
      </w:r>
      <w:r>
        <w:rPr>
          <w:spacing w:val="-16"/>
        </w:rPr>
        <w:t> </w:t>
      </w:r>
      <w:r>
        <w:rPr/>
        <w:t>and</w:t>
      </w:r>
      <w:r>
        <w:rPr>
          <w:spacing w:val="-16"/>
        </w:rPr>
        <w:t> </w:t>
      </w:r>
      <w:r>
        <w:rPr/>
        <w:t>the</w:t>
      </w:r>
      <w:r>
        <w:rPr>
          <w:spacing w:val="-16"/>
        </w:rPr>
        <w:t> </w:t>
      </w:r>
      <w:r>
        <w:rPr/>
        <w:t>process</w:t>
      </w:r>
      <w:r>
        <w:rPr>
          <w:spacing w:val="-16"/>
        </w:rPr>
        <w:t> </w:t>
      </w:r>
      <w:r>
        <w:rPr/>
        <w:t>of</w:t>
      </w:r>
      <w:r>
        <w:rPr>
          <w:spacing w:val="-16"/>
        </w:rPr>
        <w:t> </w:t>
      </w:r>
      <w:r>
        <w:rPr/>
        <w:t>removing</w:t>
      </w:r>
      <w:r>
        <w:rPr>
          <w:spacing w:val="-16"/>
        </w:rPr>
        <w:t> </w:t>
      </w:r>
      <w:r>
        <w:rPr/>
        <w:t>irrelevant</w:t>
      </w:r>
      <w:r>
        <w:rPr>
          <w:spacing w:val="-16"/>
        </w:rPr>
        <w:t> </w:t>
      </w:r>
      <w:r>
        <w:rPr/>
        <w:t>returns will be as subjective as group or thematic allocation. The statements of reasons were not written with the intention of being thematically analysed, and considerations are often</w:t>
      </w:r>
      <w:r>
        <w:rPr>
          <w:spacing w:val="-10"/>
        </w:rPr>
        <w:t> </w:t>
      </w:r>
      <w:r>
        <w:rPr/>
        <w:t>recorded</w:t>
      </w:r>
      <w:r>
        <w:rPr>
          <w:spacing w:val="-8"/>
        </w:rPr>
        <w:t> </w:t>
      </w:r>
      <w:r>
        <w:rPr/>
        <w:t>in</w:t>
      </w:r>
      <w:r>
        <w:rPr>
          <w:spacing w:val="-10"/>
        </w:rPr>
        <w:t> </w:t>
      </w:r>
      <w:r>
        <w:rPr/>
        <w:t>unrelated</w:t>
      </w:r>
      <w:r>
        <w:rPr>
          <w:spacing w:val="-8"/>
        </w:rPr>
        <w:t> </w:t>
      </w:r>
      <w:r>
        <w:rPr/>
        <w:t>sections.</w:t>
      </w:r>
      <w:r>
        <w:rPr>
          <w:spacing w:val="-8"/>
        </w:rPr>
        <w:t> </w:t>
      </w:r>
      <w:r>
        <w:rPr/>
        <w:t>This</w:t>
      </w:r>
      <w:r>
        <w:rPr>
          <w:spacing w:val="-9"/>
        </w:rPr>
        <w:t> </w:t>
      </w:r>
      <w:r>
        <w:rPr/>
        <w:t>reduces</w:t>
      </w:r>
      <w:r>
        <w:rPr>
          <w:spacing w:val="-9"/>
        </w:rPr>
        <w:t> </w:t>
      </w:r>
      <w:r>
        <w:rPr/>
        <w:t>the</w:t>
      </w:r>
      <w:r>
        <w:rPr>
          <w:spacing w:val="-9"/>
        </w:rPr>
        <w:t> </w:t>
      </w:r>
      <w:r>
        <w:rPr/>
        <w:t>reliability</w:t>
      </w:r>
      <w:r>
        <w:rPr>
          <w:spacing w:val="-10"/>
        </w:rPr>
        <w:t> </w:t>
      </w:r>
      <w:r>
        <w:rPr/>
        <w:t>of</w:t>
      </w:r>
      <w:r>
        <w:rPr>
          <w:spacing w:val="-11"/>
        </w:rPr>
        <w:t> </w:t>
      </w:r>
      <w:r>
        <w:rPr/>
        <w:t>findings</w:t>
      </w:r>
      <w:r>
        <w:rPr>
          <w:spacing w:val="-9"/>
        </w:rPr>
        <w:t> </w:t>
      </w:r>
      <w:r>
        <w:rPr/>
        <w:t>that</w:t>
      </w:r>
      <w:r>
        <w:rPr>
          <w:spacing w:val="-9"/>
        </w:rPr>
        <w:t> </w:t>
      </w:r>
      <w:r>
        <w:rPr/>
        <w:t>certain aspects of capacity were considered in relation to certain</w:t>
      </w:r>
      <w:r>
        <w:rPr>
          <w:spacing w:val="-22"/>
        </w:rPr>
        <w:t> </w:t>
      </w:r>
      <w:r>
        <w:rPr/>
        <w:t>criteria.</w:t>
      </w:r>
    </w:p>
    <w:p>
      <w:pPr>
        <w:pStyle w:val="BodyText"/>
        <w:spacing w:before="10"/>
        <w:rPr>
          <w:sz w:val="23"/>
        </w:rPr>
      </w:pPr>
    </w:p>
    <w:p>
      <w:pPr>
        <w:pStyle w:val="BodyText"/>
        <w:spacing w:before="1"/>
        <w:ind w:left="120" w:right="110"/>
        <w:jc w:val="both"/>
      </w:pPr>
      <w:r>
        <w:rPr/>
        <w:t>Despite this, these statements of reasons provide a valuable insight into the decision- making process of the Tribunal, and the two studies, undertaken in isolation and by unrelated researchers from different professional backgrounds, produced largely consistent results.</w:t>
      </w:r>
    </w:p>
    <w:p>
      <w:pPr>
        <w:pStyle w:val="BodyText"/>
        <w:spacing w:before="7"/>
        <w:rPr>
          <w:sz w:val="15"/>
        </w:rPr>
      </w:pPr>
    </w:p>
    <w:p>
      <w:pPr>
        <w:pStyle w:val="BodyText"/>
        <w:spacing w:before="100"/>
        <w:ind w:left="3720" w:right="3714"/>
        <w:jc w:val="center"/>
      </w:pPr>
      <w:r>
        <w:rPr/>
        <w:t>VIX CONCLUSION</w:t>
      </w:r>
    </w:p>
    <w:p>
      <w:pPr>
        <w:pStyle w:val="BodyText"/>
        <w:spacing w:before="11"/>
        <w:rPr>
          <w:sz w:val="23"/>
        </w:rPr>
      </w:pPr>
    </w:p>
    <w:p>
      <w:pPr>
        <w:pStyle w:val="BodyText"/>
        <w:ind w:left="120" w:right="109"/>
        <w:jc w:val="both"/>
      </w:pPr>
      <w:r>
        <w:rPr/>
        <w:t>Both authors have argued elsewhere for a capacity criterion which would restore the right of people with a mental illness to competently refuse treatment.</w:t>
      </w:r>
      <w:hyperlink w:history="true" w:anchor="_bookmark66">
        <w:r>
          <w:rPr>
            <w:position w:val="8"/>
            <w:sz w:val="16"/>
          </w:rPr>
          <w:t>65 </w:t>
        </w:r>
      </w:hyperlink>
      <w:r>
        <w:rPr/>
        <w:t>The current Victorian Act does not have an explicit capacity criterion, however the arguments laid out in this paper make it clear that given the fundamentally restrictive and discriminatory nature of denying this right, it should only be breached in a limited number of cases.</w:t>
      </w:r>
    </w:p>
    <w:p>
      <w:pPr>
        <w:pStyle w:val="BodyText"/>
        <w:spacing w:before="11"/>
        <w:rPr>
          <w:sz w:val="23"/>
        </w:rPr>
      </w:pPr>
    </w:p>
    <w:p>
      <w:pPr>
        <w:pStyle w:val="BodyText"/>
        <w:ind w:left="120" w:right="110"/>
        <w:jc w:val="both"/>
      </w:pPr>
      <w:r>
        <w:rPr/>
        <w:t>The two studies presented in this paper suggest that there is reason to believe that when applying probably the most important of the Act’s protections of the rights of people with mental illness, the Tribunal is frequently not taking proper account of whether</w:t>
      </w:r>
      <w:r>
        <w:rPr>
          <w:spacing w:val="-15"/>
        </w:rPr>
        <w:t> </w:t>
      </w:r>
      <w:r>
        <w:rPr/>
        <w:t>or</w:t>
      </w:r>
      <w:r>
        <w:rPr>
          <w:spacing w:val="-17"/>
        </w:rPr>
        <w:t> </w:t>
      </w:r>
      <w:r>
        <w:rPr/>
        <w:t>not</w:t>
      </w:r>
      <w:r>
        <w:rPr>
          <w:spacing w:val="-16"/>
        </w:rPr>
        <w:t> </w:t>
      </w:r>
      <w:r>
        <w:rPr/>
        <w:t>the</w:t>
      </w:r>
      <w:r>
        <w:rPr>
          <w:spacing w:val="-16"/>
        </w:rPr>
        <w:t> </w:t>
      </w:r>
      <w:r>
        <w:rPr/>
        <w:t>patient</w:t>
      </w:r>
      <w:r>
        <w:rPr>
          <w:spacing w:val="-15"/>
        </w:rPr>
        <w:t> </w:t>
      </w:r>
      <w:r>
        <w:rPr/>
        <w:t>is</w:t>
      </w:r>
      <w:r>
        <w:rPr>
          <w:spacing w:val="-16"/>
        </w:rPr>
        <w:t> </w:t>
      </w:r>
      <w:r>
        <w:rPr/>
        <w:t>competently</w:t>
      </w:r>
      <w:r>
        <w:rPr>
          <w:spacing w:val="-16"/>
        </w:rPr>
        <w:t> </w:t>
      </w:r>
      <w:r>
        <w:rPr/>
        <w:t>refusing</w:t>
      </w:r>
      <w:r>
        <w:rPr>
          <w:spacing w:val="-16"/>
        </w:rPr>
        <w:t> </w:t>
      </w:r>
      <w:r>
        <w:rPr/>
        <w:t>the</w:t>
      </w:r>
      <w:r>
        <w:rPr>
          <w:spacing w:val="-16"/>
        </w:rPr>
        <w:t> </w:t>
      </w:r>
      <w:r>
        <w:rPr/>
        <w:t>proposed</w:t>
      </w:r>
      <w:r>
        <w:rPr>
          <w:spacing w:val="-16"/>
        </w:rPr>
        <w:t> </w:t>
      </w:r>
      <w:r>
        <w:rPr/>
        <w:t>treatment.</w:t>
      </w:r>
      <w:r>
        <w:rPr>
          <w:spacing w:val="-16"/>
        </w:rPr>
        <w:t> </w:t>
      </w:r>
      <w:r>
        <w:rPr/>
        <w:t>In</w:t>
      </w:r>
      <w:r>
        <w:rPr>
          <w:spacing w:val="-16"/>
        </w:rPr>
        <w:t> </w:t>
      </w:r>
      <w:r>
        <w:rPr/>
        <w:t>addition,</w:t>
      </w:r>
    </w:p>
    <w:p>
      <w:pPr>
        <w:pStyle w:val="BodyText"/>
        <w:spacing w:before="5"/>
        <w:rPr>
          <w:sz w:val="14"/>
        </w:rPr>
      </w:pPr>
      <w:r>
        <w:rPr/>
        <w:pict>
          <v:line style="position:absolute;mso-position-horizontal-relative:page;mso-position-vertical-relative:paragraph;z-index:1864;mso-wrap-distance-left:0;mso-wrap-distance-right:0" from="67.019997pt,10.951538pt" to="211.019997pt,10.951538pt" stroked="true" strokeweight=".54pt" strokecolor="#000000">
            <v:stroke dashstyle="solid"/>
            <w10:wrap type="topAndBottom"/>
          </v:line>
        </w:pict>
      </w:r>
    </w:p>
    <w:p>
      <w:pPr>
        <w:spacing w:line="242" w:lineRule="auto" w:before="68"/>
        <w:ind w:left="347" w:right="145" w:hanging="227"/>
        <w:jc w:val="left"/>
        <w:rPr>
          <w:sz w:val="20"/>
        </w:rPr>
      </w:pPr>
      <w:bookmarkStart w:name="_bookmark64" w:id="66"/>
      <w:bookmarkEnd w:id="66"/>
      <w:r>
        <w:rPr/>
      </w:r>
      <w:r>
        <w:rPr>
          <w:rFonts w:ascii="Arial" w:hAnsi="Arial"/>
          <w:position w:val="7"/>
          <w:sz w:val="14"/>
        </w:rPr>
        <w:t>63 </w:t>
      </w:r>
      <w:r>
        <w:rPr>
          <w:sz w:val="20"/>
        </w:rPr>
        <w:t>Victorian Mental Health Tribunal, ‘Performance against Key Performance Indicators - 1 January to 31 March 2016’ &lt;</w:t>
      </w:r>
      <w:hyperlink r:id="rId9">
        <w:r>
          <w:rPr>
            <w:sz w:val="20"/>
          </w:rPr>
          <w:t>http://www.mht.vic.gov.au/wp-content/uploads/2016/04/Performance-against-KPIs-</w:t>
        </w:r>
      </w:hyperlink>
      <w:r>
        <w:rPr>
          <w:sz w:val="20"/>
        </w:rPr>
        <w:t> January-to-March-2016.pdf&gt;.</w:t>
      </w:r>
    </w:p>
    <w:p>
      <w:pPr>
        <w:spacing w:before="0"/>
        <w:ind w:left="120" w:right="0" w:firstLine="0"/>
        <w:jc w:val="left"/>
        <w:rPr>
          <w:sz w:val="20"/>
        </w:rPr>
      </w:pPr>
      <w:bookmarkStart w:name="_bookmark65" w:id="67"/>
      <w:bookmarkEnd w:id="67"/>
      <w:r>
        <w:rPr/>
      </w:r>
      <w:r>
        <w:rPr>
          <w:rFonts w:ascii="Arial" w:hAnsi="Arial"/>
          <w:position w:val="7"/>
          <w:sz w:val="14"/>
        </w:rPr>
        <w:t>64 </w:t>
      </w:r>
      <w:r>
        <w:rPr>
          <w:sz w:val="20"/>
        </w:rPr>
        <w:t>Victorian Mental Health Tribunal, ‘Mental Health Tribunal Annual Report 2014-15’.</w:t>
      </w:r>
    </w:p>
    <w:p>
      <w:pPr>
        <w:spacing w:line="241" w:lineRule="exact" w:before="6"/>
        <w:ind w:left="347" w:right="0" w:firstLine="0"/>
        <w:jc w:val="left"/>
        <w:rPr>
          <w:sz w:val="20"/>
        </w:rPr>
      </w:pPr>
      <w:r>
        <w:rPr>
          <w:sz w:val="20"/>
        </w:rPr>
        <w:t>&lt;</w:t>
      </w:r>
      <w:hyperlink r:id="rId10">
        <w:r>
          <w:rPr>
            <w:sz w:val="20"/>
          </w:rPr>
          <w:t>http://www.mht.vic.gov.au/forms-and-publication/mental-health-tribunal-annual-reports-2/&gt;</w:t>
        </w:r>
      </w:hyperlink>
      <w:r>
        <w:rPr>
          <w:sz w:val="20"/>
        </w:rPr>
        <w:t>.</w:t>
      </w:r>
    </w:p>
    <w:p>
      <w:pPr>
        <w:spacing w:before="0"/>
        <w:ind w:left="120" w:right="0" w:firstLine="0"/>
        <w:jc w:val="left"/>
        <w:rPr>
          <w:sz w:val="20"/>
        </w:rPr>
      </w:pPr>
      <w:bookmarkStart w:name="_bookmark66" w:id="68"/>
      <w:bookmarkEnd w:id="68"/>
      <w:r>
        <w:rPr/>
      </w:r>
      <w:r>
        <w:rPr>
          <w:position w:val="7"/>
          <w:sz w:val="13"/>
        </w:rPr>
        <w:t>65 </w:t>
      </w:r>
      <w:r>
        <w:rPr>
          <w:sz w:val="20"/>
        </w:rPr>
        <w:t>Ryan, above n 3; Maylea and Hirsch, above n 19.</w:t>
      </w:r>
    </w:p>
    <w:p>
      <w:pPr>
        <w:spacing w:after="0"/>
        <w:jc w:val="left"/>
        <w:rPr>
          <w:sz w:val="20"/>
        </w:rPr>
        <w:sectPr>
          <w:pgSz w:w="11910" w:h="16840"/>
          <w:pgMar w:header="763" w:footer="1025" w:top="980" w:bottom="1220" w:left="1220" w:right="1320"/>
        </w:sectPr>
      </w:pPr>
    </w:p>
    <w:p>
      <w:pPr>
        <w:pStyle w:val="BodyText"/>
        <w:spacing w:before="4"/>
        <w:rPr>
          <w:sz w:val="21"/>
        </w:rPr>
      </w:pPr>
    </w:p>
    <w:p>
      <w:pPr>
        <w:pStyle w:val="BodyText"/>
        <w:spacing w:before="100"/>
        <w:ind w:left="100" w:right="110"/>
        <w:jc w:val="both"/>
      </w:pPr>
      <w:r>
        <w:rPr/>
        <w:t>the Tribunal is using evidence of a lack of decision-making capacity, closely tied to notions</w:t>
      </w:r>
      <w:r>
        <w:rPr>
          <w:spacing w:val="-13"/>
        </w:rPr>
        <w:t> </w:t>
      </w:r>
      <w:r>
        <w:rPr/>
        <w:t>of</w:t>
      </w:r>
      <w:r>
        <w:rPr>
          <w:spacing w:val="-12"/>
        </w:rPr>
        <w:t> </w:t>
      </w:r>
      <w:r>
        <w:rPr/>
        <w:t>judgement</w:t>
      </w:r>
      <w:r>
        <w:rPr>
          <w:spacing w:val="-14"/>
        </w:rPr>
        <w:t> </w:t>
      </w:r>
      <w:r>
        <w:rPr/>
        <w:t>and</w:t>
      </w:r>
      <w:r>
        <w:rPr>
          <w:spacing w:val="-12"/>
        </w:rPr>
        <w:t> </w:t>
      </w:r>
      <w:r>
        <w:rPr/>
        <w:t>insight,</w:t>
      </w:r>
      <w:r>
        <w:rPr>
          <w:spacing w:val="-12"/>
        </w:rPr>
        <w:t> </w:t>
      </w:r>
      <w:r>
        <w:rPr/>
        <w:t>as</w:t>
      </w:r>
      <w:r>
        <w:rPr>
          <w:spacing w:val="-12"/>
        </w:rPr>
        <w:t> </w:t>
      </w:r>
      <w:r>
        <w:rPr/>
        <w:t>indication</w:t>
      </w:r>
      <w:r>
        <w:rPr>
          <w:spacing w:val="-12"/>
        </w:rPr>
        <w:t> </w:t>
      </w:r>
      <w:r>
        <w:rPr/>
        <w:t>that</w:t>
      </w:r>
      <w:r>
        <w:rPr>
          <w:spacing w:val="-12"/>
        </w:rPr>
        <w:t> </w:t>
      </w:r>
      <w:r>
        <w:rPr/>
        <w:t>a</w:t>
      </w:r>
      <w:r>
        <w:rPr>
          <w:spacing w:val="-13"/>
        </w:rPr>
        <w:t> </w:t>
      </w:r>
      <w:r>
        <w:rPr/>
        <w:t>person</w:t>
      </w:r>
      <w:r>
        <w:rPr>
          <w:spacing w:val="-11"/>
        </w:rPr>
        <w:t> </w:t>
      </w:r>
      <w:r>
        <w:rPr/>
        <w:t>meets</w:t>
      </w:r>
      <w:r>
        <w:rPr>
          <w:spacing w:val="-12"/>
        </w:rPr>
        <w:t> </w:t>
      </w:r>
      <w:r>
        <w:rPr/>
        <w:t>other</w:t>
      </w:r>
      <w:r>
        <w:rPr>
          <w:spacing w:val="-13"/>
        </w:rPr>
        <w:t> </w:t>
      </w:r>
      <w:r>
        <w:rPr/>
        <w:t>criteria.</w:t>
      </w:r>
      <w:r>
        <w:rPr>
          <w:spacing w:val="-11"/>
        </w:rPr>
        <w:t> </w:t>
      </w:r>
      <w:r>
        <w:rPr/>
        <w:t>This, along with the heterogeneity of the Tribunal’s approach to this issue, should be cause for</w:t>
      </w:r>
      <w:r>
        <w:rPr>
          <w:spacing w:val="-6"/>
        </w:rPr>
        <w:t> </w:t>
      </w:r>
      <w:r>
        <w:rPr/>
        <w:t>concern.</w:t>
      </w:r>
    </w:p>
    <w:sectPr>
      <w:pgSz w:w="11910" w:h="16840"/>
      <w:pgMar w:header="763" w:footer="1025" w:top="980" w:bottom="1220" w:left="12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Calibri">
    <w:altName w:val="Calibri"/>
    <w:charset w:val="0"/>
    <w:family w:val="swiss"/>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1.220001pt;margin-top:779.705994pt;width:14.1pt;height:12.2pt;mso-position-horizontal-relative:page;mso-position-vertical-relative:page;z-index:-25216" type="#_x0000_t202" filled="false" stroked="false">
          <v:textbox inset="0,0,0,0">
            <w:txbxContent>
              <w:p>
                <w:pPr>
                  <w:spacing w:line="227" w:lineRule="exact" w:before="0"/>
                  <w:ind w:left="40" w:right="0" w:firstLine="0"/>
                  <w:jc w:val="left"/>
                  <w:rPr>
                    <w:rFonts w:ascii="Palatino Linotype"/>
                    <w:sz w:val="20"/>
                  </w:rPr>
                </w:pPr>
                <w:r>
                  <w:rPr/>
                  <w:fldChar w:fldCharType="begin"/>
                </w:r>
                <w:r>
                  <w:rPr>
                    <w:rFonts w:ascii="Palatino Linotype"/>
                    <w:sz w:val="20"/>
                  </w:rPr>
                  <w:instrText> PAGE </w:instrText>
                </w:r>
                <w:r>
                  <w:rPr/>
                  <w:fldChar w:fldCharType="separate"/>
                </w:r>
                <w:r>
                  <w:rPr/>
                  <w:t>87</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760010pt;margin-top:779.705994pt;width:17pt;height:12.2pt;mso-position-horizontal-relative:page;mso-position-vertical-relative:page;z-index:-25192" type="#_x0000_t202" filled="false" stroked="false">
          <v:textbox inset="0,0,0,0">
            <w:txbxContent>
              <w:p>
                <w:pPr>
                  <w:spacing w:line="227" w:lineRule="exact" w:before="0"/>
                  <w:ind w:left="20" w:right="0" w:firstLine="0"/>
                  <w:jc w:val="left"/>
                  <w:rPr>
                    <w:rFonts w:ascii="Palatino Linotype"/>
                    <w:sz w:val="20"/>
                  </w:rPr>
                </w:pPr>
                <w:r>
                  <w:rPr>
                    <w:rFonts w:ascii="Palatino Linotype"/>
                    <w:sz w:val="20"/>
                  </w:rPr>
                  <w:t>100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760010pt;margin-top:779.705994pt;width:19pt;height:12.2pt;mso-position-horizontal-relative:page;mso-position-vertical-relative:page;z-index:-25168" type="#_x0000_t202" filled="false" stroked="false">
          <v:textbox inset="0,0,0,0">
            <w:txbxContent>
              <w:p>
                <w:pPr>
                  <w:spacing w:line="227" w:lineRule="exact" w:before="0"/>
                  <w:ind w:left="40" w:right="0" w:firstLine="0"/>
                  <w:jc w:val="left"/>
                  <w:rPr>
                    <w:rFonts w:ascii="Palatino Linotype"/>
                    <w:sz w:val="20"/>
                  </w:rPr>
                </w:pPr>
                <w:r>
                  <w:rPr/>
                  <w:fldChar w:fldCharType="begin"/>
                </w:r>
                <w:r>
                  <w:rPr>
                    <w:rFonts w:ascii="Palatino Linotype"/>
                    <w:sz w:val="20"/>
                  </w:rPr>
                  <w:instrText> PAGE </w:instrText>
                </w:r>
                <w:r>
                  <w:rPr/>
                  <w:fldChar w:fldCharType="separate"/>
                </w:r>
                <w:r>
                  <w:rPr/>
                  <w:t>101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55pt;margin-top:37.144981pt;width:284.95pt;height:13pt;mso-position-horizontal-relative:page;mso-position-vertical-relative:page;z-index:-25240" type="#_x0000_t202" filled="false" stroked="false">
          <v:textbox inset="0,0,0,0">
            <w:txbxContent>
              <w:p>
                <w:pPr>
                  <w:spacing w:line="244" w:lineRule="exact" w:before="0"/>
                  <w:ind w:left="20" w:right="0" w:firstLine="0"/>
                  <w:jc w:val="left"/>
                  <w:rPr>
                    <w:rFonts w:ascii="Calibri"/>
                    <w:sz w:val="22"/>
                  </w:rPr>
                </w:pPr>
                <w:r>
                  <w:rPr>
                    <w:rFonts w:ascii="Calibri"/>
                    <w:sz w:val="22"/>
                  </w:rPr>
                  <w:t>[2017] International Journal of Mental Health and Capacity Law</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7"/>
      <w:numFmt w:val="upperRoman"/>
      <w:lvlText w:val="%1."/>
      <w:lvlJc w:val="left"/>
      <w:pPr>
        <w:ind w:left="571" w:hanging="472"/>
        <w:jc w:val="right"/>
      </w:pPr>
      <w:rPr>
        <w:rFonts w:hint="default" w:ascii="Tahoma" w:hAnsi="Tahoma" w:eastAsia="Tahoma" w:cs="Tahoma"/>
        <w:spacing w:val="-1"/>
        <w:w w:val="100"/>
        <w:sz w:val="24"/>
        <w:szCs w:val="24"/>
      </w:rPr>
    </w:lvl>
    <w:lvl w:ilvl="1">
      <w:start w:val="0"/>
      <w:numFmt w:val="bullet"/>
      <w:lvlText w:val="•"/>
      <w:lvlJc w:val="left"/>
      <w:pPr>
        <w:ind w:left="1457" w:hanging="472"/>
      </w:pPr>
      <w:rPr>
        <w:rFonts w:hint="default"/>
      </w:rPr>
    </w:lvl>
    <w:lvl w:ilvl="2">
      <w:start w:val="0"/>
      <w:numFmt w:val="bullet"/>
      <w:lvlText w:val="•"/>
      <w:lvlJc w:val="left"/>
      <w:pPr>
        <w:ind w:left="2334" w:hanging="472"/>
      </w:pPr>
      <w:rPr>
        <w:rFonts w:hint="default"/>
      </w:rPr>
    </w:lvl>
    <w:lvl w:ilvl="3">
      <w:start w:val="0"/>
      <w:numFmt w:val="bullet"/>
      <w:lvlText w:val="•"/>
      <w:lvlJc w:val="left"/>
      <w:pPr>
        <w:ind w:left="3211" w:hanging="472"/>
      </w:pPr>
      <w:rPr>
        <w:rFonts w:hint="default"/>
      </w:rPr>
    </w:lvl>
    <w:lvl w:ilvl="4">
      <w:start w:val="0"/>
      <w:numFmt w:val="bullet"/>
      <w:lvlText w:val="•"/>
      <w:lvlJc w:val="left"/>
      <w:pPr>
        <w:ind w:left="4088" w:hanging="472"/>
      </w:pPr>
      <w:rPr>
        <w:rFonts w:hint="default"/>
      </w:rPr>
    </w:lvl>
    <w:lvl w:ilvl="5">
      <w:start w:val="0"/>
      <w:numFmt w:val="bullet"/>
      <w:lvlText w:val="•"/>
      <w:lvlJc w:val="left"/>
      <w:pPr>
        <w:ind w:left="4965" w:hanging="472"/>
      </w:pPr>
      <w:rPr>
        <w:rFonts w:hint="default"/>
      </w:rPr>
    </w:lvl>
    <w:lvl w:ilvl="6">
      <w:start w:val="0"/>
      <w:numFmt w:val="bullet"/>
      <w:lvlText w:val="•"/>
      <w:lvlJc w:val="left"/>
      <w:pPr>
        <w:ind w:left="5842" w:hanging="472"/>
      </w:pPr>
      <w:rPr>
        <w:rFonts w:hint="default"/>
      </w:rPr>
    </w:lvl>
    <w:lvl w:ilvl="7">
      <w:start w:val="0"/>
      <w:numFmt w:val="bullet"/>
      <w:lvlText w:val="•"/>
      <w:lvlJc w:val="left"/>
      <w:pPr>
        <w:ind w:left="6719" w:hanging="472"/>
      </w:pPr>
      <w:rPr>
        <w:rFonts w:hint="default"/>
      </w:rPr>
    </w:lvl>
    <w:lvl w:ilvl="8">
      <w:start w:val="0"/>
      <w:numFmt w:val="bullet"/>
      <w:lvlText w:val="•"/>
      <w:lvlJc w:val="left"/>
      <w:pPr>
        <w:ind w:left="7596" w:hanging="472"/>
      </w:pPr>
      <w:rPr>
        <w:rFonts w:hint="default"/>
      </w:rPr>
    </w:lvl>
  </w:abstractNum>
  <w:abstractNum w:abstractNumId="3">
    <w:multiLevelType w:val="hybridMultilevel"/>
    <w:lvl w:ilvl="0">
      <w:start w:val="1"/>
      <w:numFmt w:val="lowerRoman"/>
      <w:lvlText w:val="(%1)"/>
      <w:lvlJc w:val="left"/>
      <w:pPr>
        <w:ind w:left="1011" w:hanging="324"/>
        <w:jc w:val="left"/>
      </w:pPr>
      <w:rPr>
        <w:rFonts w:hint="default" w:ascii="Tahoma" w:hAnsi="Tahoma" w:eastAsia="Tahoma" w:cs="Tahoma"/>
        <w:i/>
        <w:spacing w:val="-1"/>
        <w:w w:val="95"/>
        <w:sz w:val="21"/>
        <w:szCs w:val="21"/>
      </w:rPr>
    </w:lvl>
    <w:lvl w:ilvl="1">
      <w:start w:val="0"/>
      <w:numFmt w:val="bullet"/>
      <w:lvlText w:val="•"/>
      <w:lvlJc w:val="left"/>
      <w:pPr>
        <w:ind w:left="1865" w:hanging="324"/>
      </w:pPr>
      <w:rPr>
        <w:rFonts w:hint="default"/>
      </w:rPr>
    </w:lvl>
    <w:lvl w:ilvl="2">
      <w:start w:val="0"/>
      <w:numFmt w:val="bullet"/>
      <w:lvlText w:val="•"/>
      <w:lvlJc w:val="left"/>
      <w:pPr>
        <w:ind w:left="2710" w:hanging="324"/>
      </w:pPr>
      <w:rPr>
        <w:rFonts w:hint="default"/>
      </w:rPr>
    </w:lvl>
    <w:lvl w:ilvl="3">
      <w:start w:val="0"/>
      <w:numFmt w:val="bullet"/>
      <w:lvlText w:val="•"/>
      <w:lvlJc w:val="left"/>
      <w:pPr>
        <w:ind w:left="3555" w:hanging="324"/>
      </w:pPr>
      <w:rPr>
        <w:rFonts w:hint="default"/>
      </w:rPr>
    </w:lvl>
    <w:lvl w:ilvl="4">
      <w:start w:val="0"/>
      <w:numFmt w:val="bullet"/>
      <w:lvlText w:val="•"/>
      <w:lvlJc w:val="left"/>
      <w:pPr>
        <w:ind w:left="4400" w:hanging="324"/>
      </w:pPr>
      <w:rPr>
        <w:rFonts w:hint="default"/>
      </w:rPr>
    </w:lvl>
    <w:lvl w:ilvl="5">
      <w:start w:val="0"/>
      <w:numFmt w:val="bullet"/>
      <w:lvlText w:val="•"/>
      <w:lvlJc w:val="left"/>
      <w:pPr>
        <w:ind w:left="5245" w:hanging="324"/>
      </w:pPr>
      <w:rPr>
        <w:rFonts w:hint="default"/>
      </w:rPr>
    </w:lvl>
    <w:lvl w:ilvl="6">
      <w:start w:val="0"/>
      <w:numFmt w:val="bullet"/>
      <w:lvlText w:val="•"/>
      <w:lvlJc w:val="left"/>
      <w:pPr>
        <w:ind w:left="6090" w:hanging="324"/>
      </w:pPr>
      <w:rPr>
        <w:rFonts w:hint="default"/>
      </w:rPr>
    </w:lvl>
    <w:lvl w:ilvl="7">
      <w:start w:val="0"/>
      <w:numFmt w:val="bullet"/>
      <w:lvlText w:val="•"/>
      <w:lvlJc w:val="left"/>
      <w:pPr>
        <w:ind w:left="6935" w:hanging="324"/>
      </w:pPr>
      <w:rPr>
        <w:rFonts w:hint="default"/>
      </w:rPr>
    </w:lvl>
    <w:lvl w:ilvl="8">
      <w:start w:val="0"/>
      <w:numFmt w:val="bullet"/>
      <w:lvlText w:val="•"/>
      <w:lvlJc w:val="left"/>
      <w:pPr>
        <w:ind w:left="7780" w:hanging="324"/>
      </w:pPr>
      <w:rPr>
        <w:rFonts w:hint="default"/>
      </w:rPr>
    </w:lvl>
  </w:abstractNum>
  <w:abstractNum w:abstractNumId="2">
    <w:multiLevelType w:val="hybridMultilevel"/>
    <w:lvl w:ilvl="0">
      <w:start w:val="1"/>
      <w:numFmt w:val="lowerLetter"/>
      <w:lvlText w:val="(%1)"/>
      <w:lvlJc w:val="left"/>
      <w:pPr>
        <w:ind w:left="970" w:hanging="322"/>
        <w:jc w:val="left"/>
      </w:pPr>
      <w:rPr>
        <w:rFonts w:hint="default" w:ascii="Tahoma" w:hAnsi="Tahoma" w:eastAsia="Tahoma" w:cs="Tahoma"/>
        <w:i/>
        <w:w w:val="95"/>
        <w:sz w:val="21"/>
        <w:szCs w:val="21"/>
      </w:rPr>
    </w:lvl>
    <w:lvl w:ilvl="1">
      <w:start w:val="0"/>
      <w:numFmt w:val="bullet"/>
      <w:lvlText w:val="•"/>
      <w:lvlJc w:val="left"/>
      <w:pPr>
        <w:ind w:left="1829" w:hanging="322"/>
      </w:pPr>
      <w:rPr>
        <w:rFonts w:hint="default"/>
      </w:rPr>
    </w:lvl>
    <w:lvl w:ilvl="2">
      <w:start w:val="0"/>
      <w:numFmt w:val="bullet"/>
      <w:lvlText w:val="•"/>
      <w:lvlJc w:val="left"/>
      <w:pPr>
        <w:ind w:left="2678" w:hanging="322"/>
      </w:pPr>
      <w:rPr>
        <w:rFonts w:hint="default"/>
      </w:rPr>
    </w:lvl>
    <w:lvl w:ilvl="3">
      <w:start w:val="0"/>
      <w:numFmt w:val="bullet"/>
      <w:lvlText w:val="•"/>
      <w:lvlJc w:val="left"/>
      <w:pPr>
        <w:ind w:left="3527" w:hanging="322"/>
      </w:pPr>
      <w:rPr>
        <w:rFonts w:hint="default"/>
      </w:rPr>
    </w:lvl>
    <w:lvl w:ilvl="4">
      <w:start w:val="0"/>
      <w:numFmt w:val="bullet"/>
      <w:lvlText w:val="•"/>
      <w:lvlJc w:val="left"/>
      <w:pPr>
        <w:ind w:left="4376" w:hanging="322"/>
      </w:pPr>
      <w:rPr>
        <w:rFonts w:hint="default"/>
      </w:rPr>
    </w:lvl>
    <w:lvl w:ilvl="5">
      <w:start w:val="0"/>
      <w:numFmt w:val="bullet"/>
      <w:lvlText w:val="•"/>
      <w:lvlJc w:val="left"/>
      <w:pPr>
        <w:ind w:left="5225" w:hanging="322"/>
      </w:pPr>
      <w:rPr>
        <w:rFonts w:hint="default"/>
      </w:rPr>
    </w:lvl>
    <w:lvl w:ilvl="6">
      <w:start w:val="0"/>
      <w:numFmt w:val="bullet"/>
      <w:lvlText w:val="•"/>
      <w:lvlJc w:val="left"/>
      <w:pPr>
        <w:ind w:left="6074" w:hanging="322"/>
      </w:pPr>
      <w:rPr>
        <w:rFonts w:hint="default"/>
      </w:rPr>
    </w:lvl>
    <w:lvl w:ilvl="7">
      <w:start w:val="0"/>
      <w:numFmt w:val="bullet"/>
      <w:lvlText w:val="•"/>
      <w:lvlJc w:val="left"/>
      <w:pPr>
        <w:ind w:left="6923" w:hanging="322"/>
      </w:pPr>
      <w:rPr>
        <w:rFonts w:hint="default"/>
      </w:rPr>
    </w:lvl>
    <w:lvl w:ilvl="8">
      <w:start w:val="0"/>
      <w:numFmt w:val="bullet"/>
      <w:lvlText w:val="•"/>
      <w:lvlJc w:val="left"/>
      <w:pPr>
        <w:ind w:left="7772" w:hanging="322"/>
      </w:pPr>
      <w:rPr>
        <w:rFonts w:hint="default"/>
      </w:rPr>
    </w:lvl>
  </w:abstractNum>
  <w:abstractNum w:abstractNumId="1">
    <w:multiLevelType w:val="hybridMultilevel"/>
    <w:lvl w:ilvl="0">
      <w:start w:val="1"/>
      <w:numFmt w:val="lowerLetter"/>
      <w:lvlText w:val="(%1)"/>
      <w:lvlJc w:val="left"/>
      <w:pPr>
        <w:ind w:left="1009" w:hanging="322"/>
        <w:jc w:val="left"/>
      </w:pPr>
      <w:rPr>
        <w:rFonts w:hint="default" w:ascii="Tahoma" w:hAnsi="Tahoma" w:eastAsia="Tahoma" w:cs="Tahoma"/>
        <w:i/>
        <w:w w:val="95"/>
        <w:sz w:val="21"/>
        <w:szCs w:val="21"/>
      </w:rPr>
    </w:lvl>
    <w:lvl w:ilvl="1">
      <w:start w:val="0"/>
      <w:numFmt w:val="bullet"/>
      <w:lvlText w:val="•"/>
      <w:lvlJc w:val="left"/>
      <w:pPr>
        <w:ind w:left="1849" w:hanging="322"/>
      </w:pPr>
      <w:rPr>
        <w:rFonts w:hint="default"/>
      </w:rPr>
    </w:lvl>
    <w:lvl w:ilvl="2">
      <w:start w:val="0"/>
      <w:numFmt w:val="bullet"/>
      <w:lvlText w:val="•"/>
      <w:lvlJc w:val="left"/>
      <w:pPr>
        <w:ind w:left="2698" w:hanging="322"/>
      </w:pPr>
      <w:rPr>
        <w:rFonts w:hint="default"/>
      </w:rPr>
    </w:lvl>
    <w:lvl w:ilvl="3">
      <w:start w:val="0"/>
      <w:numFmt w:val="bullet"/>
      <w:lvlText w:val="•"/>
      <w:lvlJc w:val="left"/>
      <w:pPr>
        <w:ind w:left="3547" w:hanging="322"/>
      </w:pPr>
      <w:rPr>
        <w:rFonts w:hint="default"/>
      </w:rPr>
    </w:lvl>
    <w:lvl w:ilvl="4">
      <w:start w:val="0"/>
      <w:numFmt w:val="bullet"/>
      <w:lvlText w:val="•"/>
      <w:lvlJc w:val="left"/>
      <w:pPr>
        <w:ind w:left="4396" w:hanging="322"/>
      </w:pPr>
      <w:rPr>
        <w:rFonts w:hint="default"/>
      </w:rPr>
    </w:lvl>
    <w:lvl w:ilvl="5">
      <w:start w:val="0"/>
      <w:numFmt w:val="bullet"/>
      <w:lvlText w:val="•"/>
      <w:lvlJc w:val="left"/>
      <w:pPr>
        <w:ind w:left="5245" w:hanging="322"/>
      </w:pPr>
      <w:rPr>
        <w:rFonts w:hint="default"/>
      </w:rPr>
    </w:lvl>
    <w:lvl w:ilvl="6">
      <w:start w:val="0"/>
      <w:numFmt w:val="bullet"/>
      <w:lvlText w:val="•"/>
      <w:lvlJc w:val="left"/>
      <w:pPr>
        <w:ind w:left="6094" w:hanging="322"/>
      </w:pPr>
      <w:rPr>
        <w:rFonts w:hint="default"/>
      </w:rPr>
    </w:lvl>
    <w:lvl w:ilvl="7">
      <w:start w:val="0"/>
      <w:numFmt w:val="bullet"/>
      <w:lvlText w:val="•"/>
      <w:lvlJc w:val="left"/>
      <w:pPr>
        <w:ind w:left="6943" w:hanging="322"/>
      </w:pPr>
      <w:rPr>
        <w:rFonts w:hint="default"/>
      </w:rPr>
    </w:lvl>
    <w:lvl w:ilvl="8">
      <w:start w:val="0"/>
      <w:numFmt w:val="bullet"/>
      <w:lvlText w:val="•"/>
      <w:lvlJc w:val="left"/>
      <w:pPr>
        <w:ind w:left="7792" w:hanging="322"/>
      </w:pPr>
      <w:rPr>
        <w:rFonts w:hint="default"/>
      </w:rPr>
    </w:lvl>
  </w:abstractNum>
  <w:abstractNum w:abstractNumId="0">
    <w:multiLevelType w:val="hybridMultilevel"/>
    <w:lvl w:ilvl="0">
      <w:start w:val="1"/>
      <w:numFmt w:val="upperRoman"/>
      <w:lvlText w:val="%1."/>
      <w:lvlJc w:val="left"/>
      <w:pPr>
        <w:ind w:left="3941" w:hanging="238"/>
        <w:jc w:val="right"/>
      </w:pPr>
      <w:rPr>
        <w:rFonts w:hint="default" w:ascii="Tahoma" w:hAnsi="Tahoma" w:eastAsia="Tahoma" w:cs="Tahoma"/>
        <w:w w:val="99"/>
        <w:sz w:val="24"/>
        <w:szCs w:val="24"/>
      </w:rPr>
    </w:lvl>
    <w:lvl w:ilvl="1">
      <w:start w:val="0"/>
      <w:numFmt w:val="bullet"/>
      <w:lvlText w:val="•"/>
      <w:lvlJc w:val="left"/>
      <w:pPr>
        <w:ind w:left="4495" w:hanging="238"/>
      </w:pPr>
      <w:rPr>
        <w:rFonts w:hint="default"/>
      </w:rPr>
    </w:lvl>
    <w:lvl w:ilvl="2">
      <w:start w:val="0"/>
      <w:numFmt w:val="bullet"/>
      <w:lvlText w:val="•"/>
      <w:lvlJc w:val="left"/>
      <w:pPr>
        <w:ind w:left="5050" w:hanging="238"/>
      </w:pPr>
      <w:rPr>
        <w:rFonts w:hint="default"/>
      </w:rPr>
    </w:lvl>
    <w:lvl w:ilvl="3">
      <w:start w:val="0"/>
      <w:numFmt w:val="bullet"/>
      <w:lvlText w:val="•"/>
      <w:lvlJc w:val="left"/>
      <w:pPr>
        <w:ind w:left="5605" w:hanging="238"/>
      </w:pPr>
      <w:rPr>
        <w:rFonts w:hint="default"/>
      </w:rPr>
    </w:lvl>
    <w:lvl w:ilvl="4">
      <w:start w:val="0"/>
      <w:numFmt w:val="bullet"/>
      <w:lvlText w:val="•"/>
      <w:lvlJc w:val="left"/>
      <w:pPr>
        <w:ind w:left="6160" w:hanging="238"/>
      </w:pPr>
      <w:rPr>
        <w:rFonts w:hint="default"/>
      </w:rPr>
    </w:lvl>
    <w:lvl w:ilvl="5">
      <w:start w:val="0"/>
      <w:numFmt w:val="bullet"/>
      <w:lvlText w:val="•"/>
      <w:lvlJc w:val="left"/>
      <w:pPr>
        <w:ind w:left="6715" w:hanging="238"/>
      </w:pPr>
      <w:rPr>
        <w:rFonts w:hint="default"/>
      </w:rPr>
    </w:lvl>
    <w:lvl w:ilvl="6">
      <w:start w:val="0"/>
      <w:numFmt w:val="bullet"/>
      <w:lvlText w:val="•"/>
      <w:lvlJc w:val="left"/>
      <w:pPr>
        <w:ind w:left="7270" w:hanging="238"/>
      </w:pPr>
      <w:rPr>
        <w:rFonts w:hint="default"/>
      </w:rPr>
    </w:lvl>
    <w:lvl w:ilvl="7">
      <w:start w:val="0"/>
      <w:numFmt w:val="bullet"/>
      <w:lvlText w:val="•"/>
      <w:lvlJc w:val="left"/>
      <w:pPr>
        <w:ind w:left="7825" w:hanging="238"/>
      </w:pPr>
      <w:rPr>
        <w:rFonts w:hint="default"/>
      </w:rPr>
    </w:lvl>
    <w:lvl w:ilvl="8">
      <w:start w:val="0"/>
      <w:numFmt w:val="bullet"/>
      <w:lvlText w:val="•"/>
      <w:lvlJc w:val="left"/>
      <w:pPr>
        <w:ind w:left="8380" w:hanging="238"/>
      </w:pPr>
      <w:rPr>
        <w:rFonts w:hint="default"/>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rPr>
  </w:style>
  <w:style w:styleId="BodyText" w:type="paragraph">
    <w:name w:val="Body Text"/>
    <w:basedOn w:val="Normal"/>
    <w:uiPriority w:val="1"/>
    <w:qFormat/>
    <w:pPr/>
    <w:rPr>
      <w:rFonts w:ascii="Tahoma" w:hAnsi="Tahoma" w:eastAsia="Tahoma" w:cs="Tahoma"/>
      <w:sz w:val="24"/>
      <w:szCs w:val="24"/>
    </w:rPr>
  </w:style>
  <w:style w:styleId="Heading1" w:type="paragraph">
    <w:name w:val="Heading 1"/>
    <w:basedOn w:val="Normal"/>
    <w:uiPriority w:val="1"/>
    <w:qFormat/>
    <w:pPr>
      <w:ind w:left="120" w:right="110"/>
      <w:jc w:val="both"/>
      <w:outlineLvl w:val="1"/>
    </w:pPr>
    <w:rPr>
      <w:rFonts w:ascii="Tahoma" w:hAnsi="Tahoma" w:eastAsia="Tahoma" w:cs="Tahoma"/>
      <w:i/>
      <w:sz w:val="25"/>
      <w:szCs w:val="25"/>
    </w:rPr>
  </w:style>
  <w:style w:styleId="ListParagraph" w:type="paragraph">
    <w:name w:val="List Paragraph"/>
    <w:basedOn w:val="Normal"/>
    <w:uiPriority w:val="1"/>
    <w:qFormat/>
    <w:pPr>
      <w:ind w:left="970" w:hanging="471"/>
    </w:pPr>
    <w:rPr>
      <w:rFonts w:ascii="Tahoma" w:hAnsi="Tahoma" w:eastAsia="Tahoma" w:cs="Tahoma"/>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yperlink" Target="http://www.mht.vic.gov.au/wp-content/uploads/2016/04/Performance-against-KPIs-" TargetMode="External"/><Relationship Id="rId10" Type="http://schemas.openxmlformats.org/officeDocument/2006/relationships/hyperlink" Target="http://www.mht.vic.gov.au/forms-and-publication/mental-health-tribunal-annual-reports-2/"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Adamson</dc:creator>
  <dcterms:created xsi:type="dcterms:W3CDTF">2018-03-13T10:13:14Z</dcterms:created>
  <dcterms:modified xsi:type="dcterms:W3CDTF">2018-03-13T10:13:14Z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Creator">
    <vt:lpwstr>Acrobat PDFMaker 17 for Word</vt:lpwstr>
  </property>
  <property fmtid="{D5CDD505-2E9C-101B-9397-08002B2CF9AE}" pid="4" name="LastSaved">
    <vt:filetime>2018-03-13T00:00:00Z</vt:filetime>
  </property>
</Properties>
</file>