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2"/>
        <w:ind w:left="678" w:right="507" w:firstLine="0"/>
        <w:jc w:val="center"/>
        <w:rPr>
          <w:b/>
          <w:sz w:val="24"/>
        </w:rPr>
      </w:pPr>
      <w:bookmarkStart w:name="02 Rejoinder - Carroll" w:id="1"/>
      <w:bookmarkEnd w:id="1"/>
      <w:r>
        <w:rPr/>
      </w:r>
      <w:r>
        <w:rPr>
          <w:b/>
          <w:sz w:val="24"/>
        </w:rPr>
        <w:t>REJOINDER (RESPONSE TO ARTICLE BY CHRISTOPHER MAYLEA AND CHRISTOPHER RYAN)</w:t>
      </w:r>
    </w:p>
    <w:p>
      <w:pPr>
        <w:pStyle w:val="BodyText"/>
        <w:rPr>
          <w:b/>
        </w:rPr>
      </w:pPr>
    </w:p>
    <w:p>
      <w:pPr>
        <w:pStyle w:val="BodyText"/>
        <w:ind w:left="676" w:right="507"/>
        <w:jc w:val="center"/>
        <w:rPr>
          <w:sz w:val="16"/>
        </w:rPr>
      </w:pPr>
      <w:r>
        <w:rPr/>
        <w:t>MATTHEW CARROLL</w:t>
      </w:r>
      <w:hyperlink w:history="true" w:anchor="_bookmark0">
        <w:r>
          <w:rPr>
            <w:position w:val="8"/>
            <w:sz w:val="16"/>
          </w:rPr>
          <w:t>*</w:t>
        </w:r>
      </w:hyperlink>
    </w:p>
    <w:p>
      <w:pPr>
        <w:pStyle w:val="BodyText"/>
        <w:spacing w:before="2"/>
      </w:pPr>
    </w:p>
    <w:p>
      <w:pPr>
        <w:pStyle w:val="BodyText"/>
        <w:spacing w:line="237" w:lineRule="auto"/>
        <w:ind w:left="277" w:right="106"/>
        <w:jc w:val="both"/>
      </w:pPr>
      <w:r>
        <w:rPr/>
        <w:t>In ‘Decision-Making Capacity and the Victorian Mental Health Tribunal’ </w:t>
      </w:r>
      <w:hyperlink w:history="true" w:anchor="_bookmark1">
        <w:r>
          <w:rPr>
            <w:position w:val="8"/>
            <w:sz w:val="16"/>
          </w:rPr>
          <w:t>1</w:t>
        </w:r>
      </w:hyperlink>
      <w:r>
        <w:rPr>
          <w:position w:val="8"/>
          <w:sz w:val="16"/>
        </w:rPr>
        <w:t> </w:t>
      </w:r>
      <w:r>
        <w:rPr/>
        <w:t>Drs Christopher Maylea and Christopher Ryan argue that the Victorian Mental Health Tribunal (‘Tribunal’) has an obligation to consider the assessment of a compulsory patient’s decision-making capacity when determining whether or not to make a compulsory Treatment Order. Based on their interpretation of relevant legislation (the </w:t>
      </w:r>
      <w:r>
        <w:rPr>
          <w:i/>
          <w:sz w:val="25"/>
        </w:rPr>
        <w:t>Mental Health Act 2014 </w:t>
      </w:r>
      <w:r>
        <w:rPr/>
        <w:t>(Vic)) and a review of the Tribunal’s published statements of reasons</w:t>
      </w:r>
      <w:r>
        <w:rPr>
          <w:spacing w:val="-9"/>
        </w:rPr>
        <w:t> </w:t>
      </w:r>
      <w:r>
        <w:rPr/>
        <w:t>(that</w:t>
      </w:r>
      <w:r>
        <w:rPr>
          <w:spacing w:val="-9"/>
        </w:rPr>
        <w:t> </w:t>
      </w:r>
      <w:r>
        <w:rPr/>
        <w:t>is,</w:t>
      </w:r>
      <w:r>
        <w:rPr>
          <w:spacing w:val="-8"/>
        </w:rPr>
        <w:t> </w:t>
      </w:r>
      <w:r>
        <w:rPr/>
        <w:t>reasons</w:t>
      </w:r>
      <w:r>
        <w:rPr>
          <w:spacing w:val="-9"/>
        </w:rPr>
        <w:t> </w:t>
      </w:r>
      <w:r>
        <w:rPr/>
        <w:t>for</w:t>
      </w:r>
      <w:r>
        <w:rPr>
          <w:spacing w:val="-10"/>
        </w:rPr>
        <w:t> </w:t>
      </w:r>
      <w:r>
        <w:rPr/>
        <w:t>decision),</w:t>
      </w:r>
      <w:r>
        <w:rPr>
          <w:spacing w:val="-10"/>
        </w:rPr>
        <w:t> </w:t>
      </w:r>
      <w:r>
        <w:rPr/>
        <w:t>the</w:t>
      </w:r>
      <w:r>
        <w:rPr>
          <w:spacing w:val="-9"/>
        </w:rPr>
        <w:t> </w:t>
      </w:r>
      <w:r>
        <w:rPr/>
        <w:t>authors</w:t>
      </w:r>
      <w:r>
        <w:rPr>
          <w:spacing w:val="-9"/>
        </w:rPr>
        <w:t> </w:t>
      </w:r>
      <w:r>
        <w:rPr/>
        <w:t>contend</w:t>
      </w:r>
      <w:r>
        <w:rPr>
          <w:spacing w:val="-8"/>
        </w:rPr>
        <w:t> </w:t>
      </w:r>
      <w:r>
        <w:rPr/>
        <w:t>that</w:t>
      </w:r>
      <w:r>
        <w:rPr>
          <w:spacing w:val="-9"/>
        </w:rPr>
        <w:t> </w:t>
      </w:r>
      <w:r>
        <w:rPr/>
        <w:t>the</w:t>
      </w:r>
      <w:r>
        <w:rPr>
          <w:spacing w:val="-10"/>
        </w:rPr>
        <w:t> </w:t>
      </w:r>
      <w:r>
        <w:rPr/>
        <w:t>Tribunal</w:t>
      </w:r>
      <w:r>
        <w:rPr>
          <w:spacing w:val="-9"/>
        </w:rPr>
        <w:t> </w:t>
      </w:r>
      <w:r>
        <w:rPr/>
        <w:t>makes</w:t>
      </w:r>
      <w:r>
        <w:rPr>
          <w:spacing w:val="-9"/>
        </w:rPr>
        <w:t> </w:t>
      </w:r>
      <w:r>
        <w:rPr/>
        <w:t>an error by not meeting this positive obligation to take this matter into</w:t>
      </w:r>
      <w:r>
        <w:rPr>
          <w:spacing w:val="-20"/>
        </w:rPr>
        <w:t> </w:t>
      </w:r>
      <w:r>
        <w:rPr/>
        <w:t>consideration.</w:t>
      </w:r>
    </w:p>
    <w:p>
      <w:pPr>
        <w:pStyle w:val="BodyText"/>
        <w:spacing w:before="8"/>
      </w:pPr>
    </w:p>
    <w:p>
      <w:pPr>
        <w:pStyle w:val="BodyText"/>
        <w:ind w:left="277" w:right="106"/>
        <w:jc w:val="both"/>
      </w:pPr>
      <w:r>
        <w:rPr/>
        <w:t>This criticism is based on a fundamental misinterpretation of relevant law and a misunderstanding of the processes of the Tribunal. The authors failed to sufficiently recognise</w:t>
      </w:r>
      <w:r>
        <w:rPr>
          <w:spacing w:val="-7"/>
        </w:rPr>
        <w:t> </w:t>
      </w:r>
      <w:r>
        <w:rPr/>
        <w:t>the</w:t>
      </w:r>
      <w:r>
        <w:rPr>
          <w:spacing w:val="-7"/>
        </w:rPr>
        <w:t> </w:t>
      </w:r>
      <w:r>
        <w:rPr/>
        <w:t>distinctive</w:t>
      </w:r>
      <w:r>
        <w:rPr>
          <w:spacing w:val="-7"/>
        </w:rPr>
        <w:t> </w:t>
      </w:r>
      <w:r>
        <w:rPr/>
        <w:t>features</w:t>
      </w:r>
      <w:r>
        <w:rPr>
          <w:spacing w:val="-8"/>
        </w:rPr>
        <w:t> </w:t>
      </w:r>
      <w:r>
        <w:rPr/>
        <w:t>of</w:t>
      </w:r>
      <w:r>
        <w:rPr>
          <w:spacing w:val="-7"/>
        </w:rPr>
        <w:t> </w:t>
      </w:r>
      <w:r>
        <w:rPr/>
        <w:t>the</w:t>
      </w:r>
      <w:r>
        <w:rPr>
          <w:spacing w:val="-7"/>
        </w:rPr>
        <w:t> </w:t>
      </w:r>
      <w:r>
        <w:rPr/>
        <w:t>legislation</w:t>
      </w:r>
      <w:r>
        <w:rPr>
          <w:spacing w:val="-7"/>
        </w:rPr>
        <w:t> </w:t>
      </w:r>
      <w:r>
        <w:rPr/>
        <w:t>that</w:t>
      </w:r>
      <w:r>
        <w:rPr>
          <w:spacing w:val="-7"/>
        </w:rPr>
        <w:t> </w:t>
      </w:r>
      <w:r>
        <w:rPr/>
        <w:t>establishes</w:t>
      </w:r>
      <w:r>
        <w:rPr>
          <w:spacing w:val="-7"/>
        </w:rPr>
        <w:t> </w:t>
      </w:r>
      <w:r>
        <w:rPr/>
        <w:t>the</w:t>
      </w:r>
      <w:r>
        <w:rPr>
          <w:spacing w:val="-8"/>
        </w:rPr>
        <w:t> </w:t>
      </w:r>
      <w:r>
        <w:rPr/>
        <w:t>Tribunal</w:t>
      </w:r>
      <w:r>
        <w:rPr>
          <w:spacing w:val="-6"/>
        </w:rPr>
        <w:t> </w:t>
      </w:r>
      <w:r>
        <w:rPr/>
        <w:t>and</w:t>
      </w:r>
      <w:r>
        <w:rPr>
          <w:spacing w:val="-7"/>
        </w:rPr>
        <w:t> </w:t>
      </w:r>
      <w:r>
        <w:rPr/>
        <w:t>its processes. Their article also generates a misconception that by not focusing on their decision-making capacity, the perspectives of mental health consumers are not being considered as part of Tribunal hearings in</w:t>
      </w:r>
      <w:r>
        <w:rPr>
          <w:spacing w:val="-9"/>
        </w:rPr>
        <w:t> </w:t>
      </w:r>
      <w:r>
        <w:rPr/>
        <w:t>Victoria.</w:t>
      </w:r>
    </w:p>
    <w:p>
      <w:pPr>
        <w:pStyle w:val="BodyText"/>
      </w:pPr>
    </w:p>
    <w:p>
      <w:pPr>
        <w:pStyle w:val="BodyText"/>
        <w:spacing w:before="1"/>
        <w:ind w:left="277" w:right="106"/>
        <w:jc w:val="both"/>
      </w:pPr>
      <w:r>
        <w:rPr/>
        <w:t>The Tribunal welcomes scrutiny of its decisions and encourages investigation of its procedures and decision-making by actively co-operating with researchers and publishing de-identified statements of reasons. </w:t>
      </w:r>
      <w:hyperlink w:history="true" w:anchor="_bookmark2">
        <w:r>
          <w:rPr>
            <w:position w:val="8"/>
            <w:sz w:val="16"/>
          </w:rPr>
          <w:t>2</w:t>
        </w:r>
      </w:hyperlink>
      <w:r>
        <w:rPr>
          <w:position w:val="8"/>
          <w:sz w:val="16"/>
        </w:rPr>
        <w:t> </w:t>
      </w:r>
      <w:r>
        <w:rPr/>
        <w:t>However, the published article misinterprets the relevant law and misrepresents decision-making by the Tribunal and must therefore be corrected.</w:t>
      </w:r>
    </w:p>
    <w:p>
      <w:pPr>
        <w:pStyle w:val="BodyText"/>
      </w:pPr>
    </w:p>
    <w:p>
      <w:pPr>
        <w:pStyle w:val="BodyText"/>
        <w:ind w:left="1234"/>
      </w:pPr>
      <w:r>
        <w:rPr/>
        <w:t>INTERPRETATION OF THE MENTAL HEALTH ACT 2014 (VIC) (Austl)</w:t>
      </w:r>
    </w:p>
    <w:p>
      <w:pPr>
        <w:pStyle w:val="BodyText"/>
        <w:spacing w:before="3"/>
      </w:pPr>
    </w:p>
    <w:p>
      <w:pPr>
        <w:pStyle w:val="BodyText"/>
        <w:spacing w:line="237" w:lineRule="auto"/>
        <w:ind w:left="277" w:right="106"/>
        <w:jc w:val="both"/>
      </w:pPr>
      <w:r>
        <w:rPr/>
        <w:t>As the authors acknowledge, some Australian jurisdictions have chosen to make decision-making capacity a central focus of the legislative criteria governing when a person can or cannot be compelled to receive treatment for a mental illness. After a lengthy,</w:t>
      </w:r>
      <w:r>
        <w:rPr>
          <w:spacing w:val="-7"/>
        </w:rPr>
        <w:t> </w:t>
      </w:r>
      <w:r>
        <w:rPr/>
        <w:t>consultative</w:t>
      </w:r>
      <w:r>
        <w:rPr>
          <w:spacing w:val="-8"/>
        </w:rPr>
        <w:t> </w:t>
      </w:r>
      <w:r>
        <w:rPr/>
        <w:t>review</w:t>
      </w:r>
      <w:r>
        <w:rPr>
          <w:spacing w:val="-8"/>
        </w:rPr>
        <w:t> </w:t>
      </w:r>
      <w:r>
        <w:rPr/>
        <w:t>of</w:t>
      </w:r>
      <w:r>
        <w:rPr>
          <w:spacing w:val="-7"/>
        </w:rPr>
        <w:t> </w:t>
      </w:r>
      <w:r>
        <w:rPr/>
        <w:t>the</w:t>
      </w:r>
      <w:r>
        <w:rPr>
          <w:spacing w:val="-8"/>
        </w:rPr>
        <w:t> </w:t>
      </w:r>
      <w:r>
        <w:rPr/>
        <w:t>former</w:t>
      </w:r>
      <w:r>
        <w:rPr>
          <w:spacing w:val="-7"/>
        </w:rPr>
        <w:t> </w:t>
      </w:r>
      <w:r>
        <w:rPr>
          <w:i/>
          <w:sz w:val="25"/>
        </w:rPr>
        <w:t>Mental</w:t>
      </w:r>
      <w:r>
        <w:rPr>
          <w:i/>
          <w:spacing w:val="-10"/>
          <w:sz w:val="25"/>
        </w:rPr>
        <w:t> </w:t>
      </w:r>
      <w:r>
        <w:rPr>
          <w:i/>
          <w:sz w:val="25"/>
        </w:rPr>
        <w:t>Health</w:t>
      </w:r>
      <w:r>
        <w:rPr>
          <w:i/>
          <w:spacing w:val="-10"/>
          <w:sz w:val="25"/>
        </w:rPr>
        <w:t> </w:t>
      </w:r>
      <w:r>
        <w:rPr>
          <w:i/>
          <w:sz w:val="25"/>
        </w:rPr>
        <w:t>Act</w:t>
      </w:r>
      <w:r>
        <w:rPr>
          <w:i/>
          <w:spacing w:val="-10"/>
          <w:sz w:val="25"/>
        </w:rPr>
        <w:t> </w:t>
      </w:r>
      <w:r>
        <w:rPr>
          <w:i/>
          <w:sz w:val="25"/>
        </w:rPr>
        <w:t>1986</w:t>
      </w:r>
      <w:r>
        <w:rPr>
          <w:i/>
          <w:spacing w:val="-11"/>
          <w:sz w:val="25"/>
        </w:rPr>
        <w:t> </w:t>
      </w:r>
      <w:r>
        <w:rPr/>
        <w:t>(‘the</w:t>
      </w:r>
      <w:r>
        <w:rPr>
          <w:spacing w:val="-8"/>
        </w:rPr>
        <w:t> </w:t>
      </w:r>
      <w:r>
        <w:rPr/>
        <w:t>former</w:t>
      </w:r>
      <w:r>
        <w:rPr>
          <w:spacing w:val="-7"/>
        </w:rPr>
        <w:t> </w:t>
      </w:r>
      <w:r>
        <w:rPr/>
        <w:t>Mental Health</w:t>
      </w:r>
      <w:r>
        <w:rPr>
          <w:spacing w:val="-13"/>
        </w:rPr>
        <w:t> </w:t>
      </w:r>
      <w:r>
        <w:rPr/>
        <w:t>Act’),</w:t>
      </w:r>
      <w:r>
        <w:rPr>
          <w:spacing w:val="-13"/>
        </w:rPr>
        <w:t> </w:t>
      </w:r>
      <w:r>
        <w:rPr/>
        <w:t>Victoria</w:t>
      </w:r>
      <w:r>
        <w:rPr>
          <w:spacing w:val="-14"/>
        </w:rPr>
        <w:t> </w:t>
      </w:r>
      <w:r>
        <w:rPr/>
        <w:t>chose</w:t>
      </w:r>
      <w:r>
        <w:rPr>
          <w:spacing w:val="-14"/>
        </w:rPr>
        <w:t> </w:t>
      </w:r>
      <w:r>
        <w:rPr/>
        <w:t>not</w:t>
      </w:r>
      <w:r>
        <w:rPr>
          <w:spacing w:val="-14"/>
        </w:rPr>
        <w:t> </w:t>
      </w:r>
      <w:r>
        <w:rPr/>
        <w:t>to</w:t>
      </w:r>
      <w:r>
        <w:rPr>
          <w:spacing w:val="-15"/>
        </w:rPr>
        <w:t> </w:t>
      </w:r>
      <w:r>
        <w:rPr/>
        <w:t>do</w:t>
      </w:r>
      <w:r>
        <w:rPr>
          <w:spacing w:val="-15"/>
        </w:rPr>
        <w:t> </w:t>
      </w:r>
      <w:r>
        <w:rPr/>
        <w:t>this.</w:t>
      </w:r>
      <w:r>
        <w:rPr>
          <w:spacing w:val="-15"/>
        </w:rPr>
        <w:t> </w:t>
      </w:r>
      <w:r>
        <w:rPr/>
        <w:t>The</w:t>
      </w:r>
      <w:r>
        <w:rPr>
          <w:spacing w:val="-14"/>
        </w:rPr>
        <w:t> </w:t>
      </w:r>
      <w:r>
        <w:rPr/>
        <w:t>Tribunal</w:t>
      </w:r>
      <w:r>
        <w:rPr>
          <w:spacing w:val="-15"/>
        </w:rPr>
        <w:t> </w:t>
      </w:r>
      <w:r>
        <w:rPr/>
        <w:t>is</w:t>
      </w:r>
      <w:r>
        <w:rPr>
          <w:spacing w:val="-14"/>
        </w:rPr>
        <w:t> </w:t>
      </w:r>
      <w:r>
        <w:rPr/>
        <w:t>very</w:t>
      </w:r>
      <w:r>
        <w:rPr>
          <w:spacing w:val="-13"/>
        </w:rPr>
        <w:t> </w:t>
      </w:r>
      <w:r>
        <w:rPr/>
        <w:t>aware</w:t>
      </w:r>
      <w:r>
        <w:rPr>
          <w:spacing w:val="-14"/>
        </w:rPr>
        <w:t> </w:t>
      </w:r>
      <w:r>
        <w:rPr/>
        <w:t>that</w:t>
      </w:r>
      <w:r>
        <w:rPr>
          <w:spacing w:val="-14"/>
        </w:rPr>
        <w:t> </w:t>
      </w:r>
      <w:r>
        <w:rPr/>
        <w:t>this</w:t>
      </w:r>
      <w:r>
        <w:rPr>
          <w:spacing w:val="-15"/>
        </w:rPr>
        <w:t> </w:t>
      </w:r>
      <w:r>
        <w:rPr/>
        <w:t>approach remains contested, and some stakeholders would have preferred an approach similar to that adopted elsewhere. For example, the West Australian </w:t>
      </w:r>
      <w:r>
        <w:rPr>
          <w:i/>
          <w:sz w:val="25"/>
        </w:rPr>
        <w:t>Mental Health Act 2014 </w:t>
      </w:r>
      <w:r>
        <w:rPr/>
        <w:t>(WA) expressly makes decision-making capacity a central consideration in</w:t>
      </w:r>
      <w:r>
        <w:rPr>
          <w:spacing w:val="-47"/>
        </w:rPr>
        <w:t> </w:t>
      </w:r>
      <w:r>
        <w:rPr/>
        <w:t>determining</w:t>
      </w:r>
    </w:p>
    <w:p>
      <w:pPr>
        <w:pStyle w:val="BodyText"/>
        <w:spacing w:before="5"/>
        <w:rPr>
          <w:sz w:val="41"/>
        </w:rPr>
      </w:pPr>
    </w:p>
    <w:p>
      <w:pPr>
        <w:pStyle w:val="ListParagraph"/>
        <w:numPr>
          <w:ilvl w:val="0"/>
          <w:numId w:val="1"/>
        </w:numPr>
        <w:tabs>
          <w:tab w:pos="310" w:val="left" w:leader="none"/>
        </w:tabs>
        <w:spacing w:line="241" w:lineRule="exact" w:before="0" w:after="0"/>
        <w:ind w:left="309" w:right="0" w:hanging="133"/>
        <w:jc w:val="left"/>
        <w:rPr>
          <w:sz w:val="20"/>
        </w:rPr>
      </w:pPr>
      <w:bookmarkStart w:name="_bookmark0" w:id="2"/>
      <w:bookmarkEnd w:id="2"/>
      <w:r>
        <w:rPr/>
      </w:r>
      <w:bookmarkStart w:name="_bookmark0" w:id="3"/>
      <w:bookmarkEnd w:id="3"/>
      <w:r>
        <w:rPr>
          <w:sz w:val="20"/>
        </w:rPr>
        <w:t>Ma</w:t>
      </w:r>
      <w:r>
        <w:rPr>
          <w:sz w:val="20"/>
        </w:rPr>
        <w:t>tthew Carroll is President of the Victorian Mental Health</w:t>
      </w:r>
      <w:r>
        <w:rPr>
          <w:spacing w:val="-14"/>
          <w:sz w:val="20"/>
        </w:rPr>
        <w:t> </w:t>
      </w:r>
      <w:r>
        <w:rPr>
          <w:sz w:val="20"/>
        </w:rPr>
        <w:t>Tribunal.</w:t>
      </w:r>
    </w:p>
    <w:p>
      <w:pPr>
        <w:spacing w:line="230" w:lineRule="auto" w:before="8"/>
        <w:ind w:left="329" w:right="105" w:hanging="171"/>
        <w:jc w:val="both"/>
        <w:rPr>
          <w:sz w:val="20"/>
        </w:rPr>
      </w:pPr>
      <w:bookmarkStart w:name="_bookmark1" w:id="4"/>
      <w:bookmarkEnd w:id="4"/>
      <w:r>
        <w:rPr/>
      </w:r>
      <w:r>
        <w:rPr>
          <w:position w:val="7"/>
          <w:sz w:val="13"/>
        </w:rPr>
        <w:t>1 </w:t>
      </w:r>
      <w:r>
        <w:rPr>
          <w:sz w:val="20"/>
        </w:rPr>
        <w:t>Christopher Maylea and Christopher James Ryan, ‘Decision-Making Capacity and the Victorian Mental Health Tribunal’ [2017] </w:t>
      </w:r>
      <w:r>
        <w:rPr>
          <w:i/>
          <w:sz w:val="21"/>
        </w:rPr>
        <w:t>International Journal of Mental Health and Capacity Law </w:t>
      </w:r>
      <w:r>
        <w:rPr>
          <w:sz w:val="20"/>
        </w:rPr>
        <w:t>87.</w:t>
      </w:r>
    </w:p>
    <w:p>
      <w:pPr>
        <w:spacing w:before="0"/>
        <w:ind w:left="329" w:right="106" w:hanging="171"/>
        <w:jc w:val="both"/>
        <w:rPr>
          <w:sz w:val="20"/>
        </w:rPr>
      </w:pPr>
      <w:bookmarkStart w:name="_bookmark2" w:id="5"/>
      <w:bookmarkEnd w:id="5"/>
      <w:r>
        <w:rPr/>
      </w:r>
      <w:r>
        <w:rPr>
          <w:position w:val="7"/>
          <w:sz w:val="13"/>
        </w:rPr>
        <w:t>2 </w:t>
      </w:r>
      <w:r>
        <w:rPr>
          <w:sz w:val="20"/>
        </w:rPr>
        <w:t>Statements of reasons are prepared at the request of a party. In 2016-17, such requests were made in only 2.9 percent of conducted hearings. Statements of reasons are published on the AustLII website in accordance with the Tribunal’s publication policy</w:t>
      </w:r>
    </w:p>
    <w:p>
      <w:pPr>
        <w:spacing w:before="0"/>
        <w:ind w:left="329" w:right="106" w:firstLine="16"/>
        <w:jc w:val="both"/>
        <w:rPr>
          <w:sz w:val="20"/>
        </w:rPr>
      </w:pPr>
      <w:r>
        <w:rPr>
          <w:sz w:val="20"/>
        </w:rPr>
        <w:t>(</w:t>
      </w:r>
      <w:hyperlink r:id="rId6">
        <w:r>
          <w:rPr>
            <w:color w:val="0563C1"/>
            <w:sz w:val="20"/>
            <w:u w:val="single" w:color="0563C1"/>
          </w:rPr>
          <w:t>http://www.mht.vic.gov.au/statements-of-reasons/</w:t>
        </w:r>
      </w:hyperlink>
      <w:r>
        <w:rPr>
          <w:sz w:val="20"/>
        </w:rPr>
        <w:t>)</w:t>
      </w:r>
      <w:r>
        <w:rPr>
          <w:spacing w:val="-8"/>
          <w:sz w:val="20"/>
        </w:rPr>
        <w:t> </w:t>
      </w:r>
      <w:r>
        <w:rPr>
          <w:sz w:val="20"/>
        </w:rPr>
        <w:t>–</w:t>
      </w:r>
      <w:r>
        <w:rPr>
          <w:spacing w:val="-8"/>
          <w:sz w:val="20"/>
        </w:rPr>
        <w:t> </w:t>
      </w:r>
      <w:r>
        <w:rPr>
          <w:sz w:val="20"/>
        </w:rPr>
        <w:t>Published</w:t>
      </w:r>
      <w:r>
        <w:rPr>
          <w:spacing w:val="-8"/>
          <w:sz w:val="20"/>
        </w:rPr>
        <w:t> </w:t>
      </w:r>
      <w:r>
        <w:rPr>
          <w:sz w:val="20"/>
        </w:rPr>
        <w:t>statements</w:t>
      </w:r>
      <w:r>
        <w:rPr>
          <w:spacing w:val="-9"/>
          <w:sz w:val="20"/>
        </w:rPr>
        <w:t> </w:t>
      </w:r>
      <w:r>
        <w:rPr>
          <w:sz w:val="20"/>
        </w:rPr>
        <w:t>of</w:t>
      </w:r>
      <w:r>
        <w:rPr>
          <w:spacing w:val="-8"/>
          <w:sz w:val="20"/>
        </w:rPr>
        <w:t> </w:t>
      </w:r>
      <w:r>
        <w:rPr>
          <w:sz w:val="20"/>
        </w:rPr>
        <w:t>reasons</w:t>
      </w:r>
      <w:r>
        <w:rPr>
          <w:spacing w:val="-9"/>
          <w:sz w:val="20"/>
        </w:rPr>
        <w:t> </w:t>
      </w:r>
      <w:r>
        <w:rPr>
          <w:sz w:val="20"/>
        </w:rPr>
        <w:t>account</w:t>
      </w:r>
      <w:r>
        <w:rPr>
          <w:spacing w:val="-8"/>
          <w:sz w:val="20"/>
        </w:rPr>
        <w:t> </w:t>
      </w:r>
      <w:r>
        <w:rPr>
          <w:sz w:val="20"/>
        </w:rPr>
        <w:t>for</w:t>
      </w:r>
      <w:r>
        <w:rPr>
          <w:spacing w:val="-9"/>
          <w:sz w:val="20"/>
        </w:rPr>
        <w:t> </w:t>
      </w:r>
      <w:r>
        <w:rPr>
          <w:sz w:val="20"/>
        </w:rPr>
        <w:t>an even</w:t>
      </w:r>
      <w:r>
        <w:rPr>
          <w:spacing w:val="-18"/>
          <w:sz w:val="20"/>
        </w:rPr>
        <w:t> </w:t>
      </w:r>
      <w:r>
        <w:rPr>
          <w:sz w:val="20"/>
        </w:rPr>
        <w:t>smaller</w:t>
      </w:r>
      <w:r>
        <w:rPr>
          <w:spacing w:val="-19"/>
          <w:sz w:val="20"/>
        </w:rPr>
        <w:t> </w:t>
      </w:r>
      <w:r>
        <w:rPr>
          <w:sz w:val="20"/>
        </w:rPr>
        <w:t>proportion</w:t>
      </w:r>
      <w:r>
        <w:rPr>
          <w:spacing w:val="-19"/>
          <w:sz w:val="20"/>
        </w:rPr>
        <w:t> </w:t>
      </w:r>
      <w:r>
        <w:rPr>
          <w:sz w:val="20"/>
        </w:rPr>
        <w:t>of</w:t>
      </w:r>
      <w:r>
        <w:rPr>
          <w:spacing w:val="-19"/>
          <w:sz w:val="20"/>
        </w:rPr>
        <w:t> </w:t>
      </w:r>
      <w:r>
        <w:rPr>
          <w:sz w:val="20"/>
        </w:rPr>
        <w:t>hearings.</w:t>
      </w:r>
      <w:r>
        <w:rPr>
          <w:spacing w:val="-17"/>
          <w:sz w:val="20"/>
        </w:rPr>
        <w:t> </w:t>
      </w:r>
      <w:r>
        <w:rPr>
          <w:sz w:val="20"/>
        </w:rPr>
        <w:t>In</w:t>
      </w:r>
      <w:r>
        <w:rPr>
          <w:spacing w:val="-18"/>
          <w:sz w:val="20"/>
        </w:rPr>
        <w:t> </w:t>
      </w:r>
      <w:r>
        <w:rPr>
          <w:sz w:val="20"/>
        </w:rPr>
        <w:t>2016-17,</w:t>
      </w:r>
      <w:r>
        <w:rPr>
          <w:spacing w:val="-17"/>
          <w:sz w:val="20"/>
        </w:rPr>
        <w:t> </w:t>
      </w:r>
      <w:r>
        <w:rPr>
          <w:sz w:val="20"/>
        </w:rPr>
        <w:t>43.55</w:t>
      </w:r>
      <w:r>
        <w:rPr>
          <w:spacing w:val="-19"/>
          <w:sz w:val="20"/>
        </w:rPr>
        <w:t> </w:t>
      </w:r>
      <w:r>
        <w:rPr>
          <w:sz w:val="20"/>
        </w:rPr>
        <w:t>percent</w:t>
      </w:r>
      <w:r>
        <w:rPr>
          <w:spacing w:val="-19"/>
          <w:sz w:val="20"/>
        </w:rPr>
        <w:t> </w:t>
      </w:r>
      <w:r>
        <w:rPr>
          <w:sz w:val="20"/>
        </w:rPr>
        <w:t>of</w:t>
      </w:r>
      <w:r>
        <w:rPr>
          <w:spacing w:val="-18"/>
          <w:sz w:val="20"/>
        </w:rPr>
        <w:t> </w:t>
      </w:r>
      <w:r>
        <w:rPr>
          <w:sz w:val="20"/>
        </w:rPr>
        <w:t>statements</w:t>
      </w:r>
      <w:r>
        <w:rPr>
          <w:spacing w:val="-19"/>
          <w:sz w:val="20"/>
        </w:rPr>
        <w:t> </w:t>
      </w:r>
      <w:r>
        <w:rPr>
          <w:sz w:val="20"/>
        </w:rPr>
        <w:t>of</w:t>
      </w:r>
      <w:r>
        <w:rPr>
          <w:spacing w:val="-18"/>
          <w:sz w:val="20"/>
        </w:rPr>
        <w:t> </w:t>
      </w:r>
      <w:r>
        <w:rPr>
          <w:sz w:val="20"/>
        </w:rPr>
        <w:t>reasons</w:t>
      </w:r>
      <w:r>
        <w:rPr>
          <w:spacing w:val="-17"/>
          <w:sz w:val="20"/>
        </w:rPr>
        <w:t> </w:t>
      </w:r>
      <w:r>
        <w:rPr>
          <w:sz w:val="20"/>
        </w:rPr>
        <w:t>were</w:t>
      </w:r>
      <w:r>
        <w:rPr>
          <w:spacing w:val="-19"/>
          <w:sz w:val="20"/>
        </w:rPr>
        <w:t> </w:t>
      </w:r>
      <w:r>
        <w:rPr>
          <w:sz w:val="20"/>
        </w:rPr>
        <w:t>published, a figure that equates to 1.25 percent of the total hearings conducted by the Tribunal during that time period.</w:t>
      </w:r>
    </w:p>
    <w:p>
      <w:pPr>
        <w:spacing w:after="0"/>
        <w:jc w:val="both"/>
        <w:rPr>
          <w:sz w:val="20"/>
        </w:rPr>
        <w:sectPr>
          <w:footerReference w:type="default" r:id="rId5"/>
          <w:type w:val="continuous"/>
          <w:pgSz w:w="11910" w:h="16840"/>
          <w:pgMar w:footer="523" w:top="1320" w:bottom="720" w:left="1060" w:right="1320"/>
          <w:pgNumType w:start="4"/>
        </w:sectPr>
      </w:pPr>
    </w:p>
    <w:p>
      <w:pPr>
        <w:pStyle w:val="BodyText"/>
        <w:ind w:left="277" w:right="106"/>
        <w:jc w:val="both"/>
      </w:pPr>
      <w:r>
        <w:rPr/>
        <w:t>tribunal, the role of the Victorian Mental Health Tribunal is to interpret and apply the law as it is written, and not to reconfigure a clear legislative framework to introduce tests or provisions that were not included when the Victorian Parliament passed the Act.</w:t>
      </w:r>
    </w:p>
    <w:p>
      <w:pPr>
        <w:pStyle w:val="BodyText"/>
        <w:spacing w:before="2"/>
        <w:rPr>
          <w:sz w:val="23"/>
        </w:rPr>
      </w:pPr>
    </w:p>
    <w:p>
      <w:pPr>
        <w:pStyle w:val="BodyText"/>
        <w:ind w:left="277" w:right="107"/>
        <w:jc w:val="both"/>
      </w:pPr>
      <w:r>
        <w:rPr/>
        <w:t>The</w:t>
      </w:r>
      <w:r>
        <w:rPr>
          <w:spacing w:val="-9"/>
        </w:rPr>
        <w:t> </w:t>
      </w:r>
      <w:r>
        <w:rPr>
          <w:i/>
          <w:sz w:val="25"/>
        </w:rPr>
        <w:t>Mental</w:t>
      </w:r>
      <w:r>
        <w:rPr>
          <w:i/>
          <w:spacing w:val="-13"/>
          <w:sz w:val="25"/>
        </w:rPr>
        <w:t> </w:t>
      </w:r>
      <w:r>
        <w:rPr>
          <w:i/>
          <w:sz w:val="25"/>
        </w:rPr>
        <w:t>Health</w:t>
      </w:r>
      <w:r>
        <w:rPr>
          <w:i/>
          <w:spacing w:val="-11"/>
          <w:sz w:val="25"/>
        </w:rPr>
        <w:t> </w:t>
      </w:r>
      <w:r>
        <w:rPr>
          <w:i/>
          <w:sz w:val="25"/>
        </w:rPr>
        <w:t>Act</w:t>
      </w:r>
      <w:r>
        <w:rPr>
          <w:i/>
          <w:spacing w:val="-13"/>
          <w:sz w:val="25"/>
        </w:rPr>
        <w:t> </w:t>
      </w:r>
      <w:r>
        <w:rPr>
          <w:i/>
          <w:sz w:val="25"/>
        </w:rPr>
        <w:t>2014</w:t>
      </w:r>
      <w:r>
        <w:rPr>
          <w:i/>
          <w:spacing w:val="-12"/>
          <w:sz w:val="25"/>
        </w:rPr>
        <w:t> </w:t>
      </w:r>
      <w:r>
        <w:rPr/>
        <w:t>(Vic)</w:t>
      </w:r>
      <w:r>
        <w:rPr>
          <w:spacing w:val="-10"/>
        </w:rPr>
        <w:t> </w:t>
      </w:r>
      <w:r>
        <w:rPr/>
        <w:t>(‘the</w:t>
      </w:r>
      <w:r>
        <w:rPr>
          <w:spacing w:val="-9"/>
        </w:rPr>
        <w:t> </w:t>
      </w:r>
      <w:r>
        <w:rPr/>
        <w:t>Act’)</w:t>
      </w:r>
      <w:r>
        <w:rPr>
          <w:spacing w:val="-10"/>
        </w:rPr>
        <w:t> </w:t>
      </w:r>
      <w:r>
        <w:rPr/>
        <w:t>is</w:t>
      </w:r>
      <w:r>
        <w:rPr>
          <w:spacing w:val="-9"/>
        </w:rPr>
        <w:t> </w:t>
      </w:r>
      <w:r>
        <w:rPr/>
        <w:t>the</w:t>
      </w:r>
      <w:r>
        <w:rPr>
          <w:spacing w:val="-9"/>
        </w:rPr>
        <w:t> </w:t>
      </w:r>
      <w:r>
        <w:rPr/>
        <w:t>legislation</w:t>
      </w:r>
      <w:r>
        <w:rPr>
          <w:spacing w:val="-10"/>
        </w:rPr>
        <w:t> </w:t>
      </w:r>
      <w:r>
        <w:rPr/>
        <w:t>under</w:t>
      </w:r>
      <w:r>
        <w:rPr>
          <w:spacing w:val="-10"/>
        </w:rPr>
        <w:t> </w:t>
      </w:r>
      <w:r>
        <w:rPr/>
        <w:t>which</w:t>
      </w:r>
      <w:r>
        <w:rPr>
          <w:spacing w:val="-8"/>
        </w:rPr>
        <w:t> </w:t>
      </w:r>
      <w:r>
        <w:rPr/>
        <w:t>the</w:t>
      </w:r>
      <w:r>
        <w:rPr>
          <w:spacing w:val="-10"/>
        </w:rPr>
        <w:t> </w:t>
      </w:r>
      <w:r>
        <w:rPr/>
        <w:t>Tribunal operates. Section 5 of the Act sets down four criteria that must be satisfied before a person can be the subject of a compulsory Treatment Order. In brief, these criteria specify that:</w:t>
      </w:r>
    </w:p>
    <w:p>
      <w:pPr>
        <w:pStyle w:val="ListParagraph"/>
        <w:numPr>
          <w:ilvl w:val="1"/>
          <w:numId w:val="1"/>
        </w:numPr>
        <w:tabs>
          <w:tab w:pos="1206" w:val="left" w:leader="none"/>
        </w:tabs>
        <w:spacing w:line="253" w:lineRule="exact" w:before="199" w:after="0"/>
        <w:ind w:left="1205" w:right="0" w:hanging="360"/>
        <w:jc w:val="left"/>
        <w:rPr>
          <w:sz w:val="21"/>
        </w:rPr>
      </w:pPr>
      <w:r>
        <w:rPr>
          <w:sz w:val="21"/>
        </w:rPr>
        <w:t>the person must have mental illness (section</w:t>
      </w:r>
      <w:r>
        <w:rPr>
          <w:spacing w:val="-6"/>
          <w:sz w:val="21"/>
        </w:rPr>
        <w:t> </w:t>
      </w:r>
      <w:r>
        <w:rPr>
          <w:sz w:val="21"/>
        </w:rPr>
        <w:t>5(a));</w:t>
      </w:r>
    </w:p>
    <w:p>
      <w:pPr>
        <w:pStyle w:val="ListParagraph"/>
        <w:numPr>
          <w:ilvl w:val="1"/>
          <w:numId w:val="1"/>
        </w:numPr>
        <w:tabs>
          <w:tab w:pos="1206" w:val="left" w:leader="none"/>
        </w:tabs>
        <w:spacing w:line="240" w:lineRule="auto" w:before="0" w:after="0"/>
        <w:ind w:left="1205" w:right="163" w:hanging="360"/>
        <w:jc w:val="both"/>
        <w:rPr>
          <w:sz w:val="21"/>
        </w:rPr>
      </w:pPr>
      <w:r>
        <w:rPr>
          <w:sz w:val="21"/>
        </w:rPr>
        <w:t>because of that mental illness the person must require immediate treatment to prevent serious deterioration in their mental or physical health or serious harm to themselves or another person (section</w:t>
      </w:r>
      <w:r>
        <w:rPr>
          <w:spacing w:val="-2"/>
          <w:sz w:val="21"/>
        </w:rPr>
        <w:t> </w:t>
      </w:r>
      <w:r>
        <w:rPr>
          <w:sz w:val="21"/>
        </w:rPr>
        <w:t>5(b));</w:t>
      </w:r>
    </w:p>
    <w:p>
      <w:pPr>
        <w:pStyle w:val="ListParagraph"/>
        <w:numPr>
          <w:ilvl w:val="1"/>
          <w:numId w:val="1"/>
        </w:numPr>
        <w:tabs>
          <w:tab w:pos="1206" w:val="left" w:leader="none"/>
        </w:tabs>
        <w:spacing w:line="253" w:lineRule="exact" w:before="0" w:after="0"/>
        <w:ind w:left="1205" w:right="0" w:hanging="360"/>
        <w:jc w:val="left"/>
        <w:rPr>
          <w:sz w:val="21"/>
        </w:rPr>
      </w:pPr>
      <w:r>
        <w:rPr>
          <w:sz w:val="21"/>
        </w:rPr>
        <w:t>immediate treatment will be provided if an Order is made (section</w:t>
      </w:r>
      <w:r>
        <w:rPr>
          <w:spacing w:val="-9"/>
          <w:sz w:val="21"/>
        </w:rPr>
        <w:t> </w:t>
      </w:r>
      <w:r>
        <w:rPr>
          <w:sz w:val="21"/>
        </w:rPr>
        <w:t>5(c));</w:t>
      </w:r>
    </w:p>
    <w:p>
      <w:pPr>
        <w:pStyle w:val="ListParagraph"/>
        <w:numPr>
          <w:ilvl w:val="1"/>
          <w:numId w:val="1"/>
        </w:numPr>
        <w:tabs>
          <w:tab w:pos="1206" w:val="left" w:leader="none"/>
        </w:tabs>
        <w:spacing w:line="240" w:lineRule="auto" w:before="0" w:after="0"/>
        <w:ind w:left="1205" w:right="163" w:hanging="360"/>
        <w:jc w:val="left"/>
        <w:rPr>
          <w:sz w:val="21"/>
        </w:rPr>
      </w:pPr>
      <w:r>
        <w:rPr>
          <w:sz w:val="21"/>
        </w:rPr>
        <w:t>and</w:t>
      </w:r>
      <w:r>
        <w:rPr>
          <w:spacing w:val="-17"/>
          <w:sz w:val="21"/>
        </w:rPr>
        <w:t> </w:t>
      </w:r>
      <w:r>
        <w:rPr>
          <w:sz w:val="21"/>
        </w:rPr>
        <w:t>there</w:t>
      </w:r>
      <w:r>
        <w:rPr>
          <w:spacing w:val="-18"/>
          <w:sz w:val="21"/>
        </w:rPr>
        <w:t> </w:t>
      </w:r>
      <w:r>
        <w:rPr>
          <w:sz w:val="21"/>
        </w:rPr>
        <w:t>is</w:t>
      </w:r>
      <w:r>
        <w:rPr>
          <w:spacing w:val="-18"/>
          <w:sz w:val="21"/>
        </w:rPr>
        <w:t> </w:t>
      </w:r>
      <w:r>
        <w:rPr>
          <w:sz w:val="21"/>
        </w:rPr>
        <w:t>no</w:t>
      </w:r>
      <w:r>
        <w:rPr>
          <w:spacing w:val="-16"/>
          <w:sz w:val="21"/>
        </w:rPr>
        <w:t> </w:t>
      </w:r>
      <w:r>
        <w:rPr>
          <w:sz w:val="21"/>
        </w:rPr>
        <w:t>less</w:t>
      </w:r>
      <w:r>
        <w:rPr>
          <w:spacing w:val="-16"/>
          <w:sz w:val="21"/>
        </w:rPr>
        <w:t> </w:t>
      </w:r>
      <w:r>
        <w:rPr>
          <w:sz w:val="21"/>
        </w:rPr>
        <w:t>restrictive</w:t>
      </w:r>
      <w:r>
        <w:rPr>
          <w:spacing w:val="-16"/>
          <w:sz w:val="21"/>
        </w:rPr>
        <w:t> </w:t>
      </w:r>
      <w:r>
        <w:rPr>
          <w:sz w:val="21"/>
        </w:rPr>
        <w:t>means</w:t>
      </w:r>
      <w:r>
        <w:rPr>
          <w:spacing w:val="-16"/>
          <w:sz w:val="21"/>
        </w:rPr>
        <w:t> </w:t>
      </w:r>
      <w:r>
        <w:rPr>
          <w:sz w:val="21"/>
        </w:rPr>
        <w:t>reasonably</w:t>
      </w:r>
      <w:r>
        <w:rPr>
          <w:spacing w:val="-17"/>
          <w:sz w:val="21"/>
        </w:rPr>
        <w:t> </w:t>
      </w:r>
      <w:r>
        <w:rPr>
          <w:sz w:val="21"/>
        </w:rPr>
        <w:t>available</w:t>
      </w:r>
      <w:r>
        <w:rPr>
          <w:spacing w:val="-18"/>
          <w:sz w:val="21"/>
        </w:rPr>
        <w:t> </w:t>
      </w:r>
      <w:r>
        <w:rPr>
          <w:sz w:val="21"/>
        </w:rPr>
        <w:t>to</w:t>
      </w:r>
      <w:r>
        <w:rPr>
          <w:spacing w:val="-16"/>
          <w:sz w:val="21"/>
        </w:rPr>
        <w:t> </w:t>
      </w:r>
      <w:r>
        <w:rPr>
          <w:sz w:val="21"/>
        </w:rPr>
        <w:t>enable</w:t>
      </w:r>
      <w:r>
        <w:rPr>
          <w:spacing w:val="-16"/>
          <w:sz w:val="21"/>
        </w:rPr>
        <w:t> </w:t>
      </w:r>
      <w:r>
        <w:rPr>
          <w:sz w:val="21"/>
        </w:rPr>
        <w:t>the</w:t>
      </w:r>
      <w:r>
        <w:rPr>
          <w:spacing w:val="-16"/>
          <w:sz w:val="21"/>
        </w:rPr>
        <w:t> </w:t>
      </w:r>
      <w:r>
        <w:rPr>
          <w:sz w:val="21"/>
        </w:rPr>
        <w:t>person</w:t>
      </w:r>
      <w:r>
        <w:rPr>
          <w:spacing w:val="-17"/>
          <w:sz w:val="21"/>
        </w:rPr>
        <w:t> </w:t>
      </w:r>
      <w:r>
        <w:rPr>
          <w:sz w:val="21"/>
        </w:rPr>
        <w:t>to</w:t>
      </w:r>
      <w:r>
        <w:rPr>
          <w:spacing w:val="-16"/>
          <w:sz w:val="21"/>
        </w:rPr>
        <w:t> </w:t>
      </w:r>
      <w:r>
        <w:rPr>
          <w:sz w:val="21"/>
        </w:rPr>
        <w:t>receive the immediate treatment (section</w:t>
      </w:r>
      <w:r>
        <w:rPr>
          <w:spacing w:val="-3"/>
          <w:sz w:val="21"/>
        </w:rPr>
        <w:t> </w:t>
      </w:r>
      <w:r>
        <w:rPr>
          <w:sz w:val="21"/>
        </w:rPr>
        <w:t>5(d)).</w:t>
      </w:r>
    </w:p>
    <w:p>
      <w:pPr>
        <w:pStyle w:val="BodyText"/>
        <w:spacing w:before="200"/>
        <w:ind w:left="278"/>
        <w:jc w:val="both"/>
      </w:pPr>
      <w:r>
        <w:rPr/>
        <w:t>None of these criteria include an assessment of a person’s decision making capacity.</w:t>
      </w:r>
    </w:p>
    <w:p>
      <w:pPr>
        <w:pStyle w:val="BodyText"/>
      </w:pPr>
    </w:p>
    <w:p>
      <w:pPr>
        <w:pStyle w:val="BodyText"/>
        <w:ind w:left="277" w:right="107"/>
        <w:jc w:val="both"/>
      </w:pPr>
      <w:r>
        <w:rPr/>
        <w:t>Nevertheless, the authors argue that the Tribunal must read into section 5 (and, in particular section 5(d), the ‘least restrictive’ criterion) a requirement to consider a person’s</w:t>
      </w:r>
      <w:r>
        <w:rPr>
          <w:spacing w:val="-15"/>
        </w:rPr>
        <w:t> </w:t>
      </w:r>
      <w:r>
        <w:rPr/>
        <w:t>decision-making</w:t>
      </w:r>
      <w:r>
        <w:rPr>
          <w:spacing w:val="-14"/>
        </w:rPr>
        <w:t> </w:t>
      </w:r>
      <w:r>
        <w:rPr/>
        <w:t>capacity</w:t>
      </w:r>
      <w:r>
        <w:rPr>
          <w:spacing w:val="-14"/>
        </w:rPr>
        <w:t> </w:t>
      </w:r>
      <w:r>
        <w:rPr/>
        <w:t>when</w:t>
      </w:r>
      <w:r>
        <w:rPr>
          <w:spacing w:val="-14"/>
        </w:rPr>
        <w:t> </w:t>
      </w:r>
      <w:r>
        <w:rPr/>
        <w:t>deciding</w:t>
      </w:r>
      <w:r>
        <w:rPr>
          <w:spacing w:val="-13"/>
        </w:rPr>
        <w:t> </w:t>
      </w:r>
      <w:r>
        <w:rPr/>
        <w:t>whether</w:t>
      </w:r>
      <w:r>
        <w:rPr>
          <w:spacing w:val="-14"/>
        </w:rPr>
        <w:t> </w:t>
      </w:r>
      <w:r>
        <w:rPr/>
        <w:t>or</w:t>
      </w:r>
      <w:r>
        <w:rPr>
          <w:spacing w:val="-15"/>
        </w:rPr>
        <w:t> </w:t>
      </w:r>
      <w:r>
        <w:rPr/>
        <w:t>not</w:t>
      </w:r>
      <w:r>
        <w:rPr>
          <w:spacing w:val="-15"/>
        </w:rPr>
        <w:t> </w:t>
      </w:r>
      <w:r>
        <w:rPr/>
        <w:t>to</w:t>
      </w:r>
      <w:r>
        <w:rPr>
          <w:spacing w:val="-14"/>
        </w:rPr>
        <w:t> </w:t>
      </w:r>
      <w:r>
        <w:rPr/>
        <w:t>make</w:t>
      </w:r>
      <w:r>
        <w:rPr>
          <w:spacing w:val="-15"/>
        </w:rPr>
        <w:t> </w:t>
      </w:r>
      <w:r>
        <w:rPr/>
        <w:t>a</w:t>
      </w:r>
      <w:r>
        <w:rPr>
          <w:spacing w:val="-14"/>
        </w:rPr>
        <w:t> </w:t>
      </w:r>
      <w:r>
        <w:rPr/>
        <w:t>compulsory Treatment</w:t>
      </w:r>
      <w:r>
        <w:rPr>
          <w:spacing w:val="-18"/>
        </w:rPr>
        <w:t> </w:t>
      </w:r>
      <w:r>
        <w:rPr/>
        <w:t>Order.</w:t>
      </w:r>
      <w:r>
        <w:rPr>
          <w:spacing w:val="-17"/>
        </w:rPr>
        <w:t> </w:t>
      </w:r>
      <w:r>
        <w:rPr/>
        <w:t>While</w:t>
      </w:r>
      <w:r>
        <w:rPr>
          <w:spacing w:val="-18"/>
        </w:rPr>
        <w:t> </w:t>
      </w:r>
      <w:r>
        <w:rPr/>
        <w:t>their</w:t>
      </w:r>
      <w:r>
        <w:rPr>
          <w:spacing w:val="-17"/>
        </w:rPr>
        <w:t> </w:t>
      </w:r>
      <w:r>
        <w:rPr/>
        <w:t>preferred</w:t>
      </w:r>
      <w:r>
        <w:rPr>
          <w:spacing w:val="-17"/>
        </w:rPr>
        <w:t> </w:t>
      </w:r>
      <w:r>
        <w:rPr/>
        <w:t>approach</w:t>
      </w:r>
      <w:r>
        <w:rPr>
          <w:spacing w:val="-17"/>
        </w:rPr>
        <w:t> </w:t>
      </w:r>
      <w:r>
        <w:rPr/>
        <w:t>to</w:t>
      </w:r>
      <w:r>
        <w:rPr>
          <w:spacing w:val="-18"/>
        </w:rPr>
        <w:t> </w:t>
      </w:r>
      <w:r>
        <w:rPr/>
        <w:t>the</w:t>
      </w:r>
      <w:r>
        <w:rPr>
          <w:spacing w:val="-17"/>
        </w:rPr>
        <w:t> </w:t>
      </w:r>
      <w:r>
        <w:rPr/>
        <w:t>conditions</w:t>
      </w:r>
      <w:r>
        <w:rPr>
          <w:spacing w:val="-19"/>
        </w:rPr>
        <w:t> </w:t>
      </w:r>
      <w:r>
        <w:rPr/>
        <w:t>under</w:t>
      </w:r>
      <w:r>
        <w:rPr>
          <w:spacing w:val="-17"/>
        </w:rPr>
        <w:t> </w:t>
      </w:r>
      <w:r>
        <w:rPr/>
        <w:t>which</w:t>
      </w:r>
      <w:r>
        <w:rPr>
          <w:spacing w:val="-18"/>
        </w:rPr>
        <w:t> </w:t>
      </w:r>
      <w:r>
        <w:rPr/>
        <w:t>persons may receive compulsory mental health treatment is understandable, it is simply inconsistent with the language and structure of the Act as well as with the legal principles governing the interpretation of</w:t>
      </w:r>
      <w:r>
        <w:rPr>
          <w:spacing w:val="-3"/>
        </w:rPr>
        <w:t> </w:t>
      </w:r>
      <w:r>
        <w:rPr/>
        <w:t>legislation.</w:t>
      </w:r>
    </w:p>
    <w:p>
      <w:pPr>
        <w:pStyle w:val="BodyText"/>
        <w:spacing w:before="2"/>
      </w:pPr>
    </w:p>
    <w:p>
      <w:pPr>
        <w:pStyle w:val="BodyText"/>
        <w:spacing w:line="237" w:lineRule="auto"/>
        <w:ind w:left="277" w:right="105"/>
        <w:jc w:val="both"/>
      </w:pPr>
      <w:r>
        <w:rPr/>
        <w:t>Key principles of statutory interpretation in the context of the Act were recently addressed by the Supreme Court of Victoria. In </w:t>
      </w:r>
      <w:r>
        <w:rPr>
          <w:i/>
          <w:sz w:val="25"/>
        </w:rPr>
        <w:t>Daniels v Eastern Health </w:t>
      </w:r>
      <w:r>
        <w:rPr/>
        <w:t>(</w:t>
      </w:r>
      <w:r>
        <w:rPr>
          <w:i/>
          <w:sz w:val="25"/>
        </w:rPr>
        <w:t>Daniels’ </w:t>
      </w:r>
      <w:r>
        <w:rPr/>
        <w:t>case) the Court identified four conditions that must be satisfied in order to read (or import) words into a statutory provision namely</w:t>
      </w:r>
      <w:hyperlink w:history="true" w:anchor="_bookmark4">
        <w:r>
          <w:rPr>
            <w:position w:val="8"/>
            <w:sz w:val="16"/>
          </w:rPr>
          <w:t>4</w:t>
        </w:r>
      </w:hyperlink>
      <w:r>
        <w:rPr/>
        <w:t>:</w:t>
      </w:r>
    </w:p>
    <w:p>
      <w:pPr>
        <w:pStyle w:val="ListParagraph"/>
        <w:numPr>
          <w:ilvl w:val="0"/>
          <w:numId w:val="2"/>
        </w:numPr>
        <w:tabs>
          <w:tab w:pos="1206" w:val="left" w:leader="none"/>
        </w:tabs>
        <w:spacing w:line="253" w:lineRule="exact" w:before="197" w:after="0"/>
        <w:ind w:left="1205" w:right="0" w:hanging="360"/>
        <w:jc w:val="left"/>
        <w:rPr>
          <w:sz w:val="21"/>
        </w:rPr>
      </w:pPr>
      <w:r>
        <w:rPr>
          <w:sz w:val="21"/>
        </w:rPr>
        <w:t>the court must know the mischief with which the Act was</w:t>
      </w:r>
      <w:r>
        <w:rPr>
          <w:spacing w:val="-9"/>
          <w:sz w:val="21"/>
        </w:rPr>
        <w:t> </w:t>
      </w:r>
      <w:r>
        <w:rPr>
          <w:sz w:val="21"/>
        </w:rPr>
        <w:t>dealing;</w:t>
      </w:r>
    </w:p>
    <w:p>
      <w:pPr>
        <w:pStyle w:val="ListParagraph"/>
        <w:numPr>
          <w:ilvl w:val="0"/>
          <w:numId w:val="2"/>
        </w:numPr>
        <w:tabs>
          <w:tab w:pos="1206" w:val="left" w:leader="none"/>
        </w:tabs>
        <w:spacing w:line="240" w:lineRule="auto" w:before="0" w:after="0"/>
        <w:ind w:left="1205" w:right="161" w:hanging="360"/>
        <w:jc w:val="left"/>
        <w:rPr>
          <w:sz w:val="21"/>
        </w:rPr>
      </w:pPr>
      <w:r>
        <w:rPr>
          <w:sz w:val="21"/>
        </w:rPr>
        <w:t>the</w:t>
      </w:r>
      <w:r>
        <w:rPr>
          <w:spacing w:val="-19"/>
          <w:sz w:val="21"/>
        </w:rPr>
        <w:t> </w:t>
      </w:r>
      <w:r>
        <w:rPr>
          <w:sz w:val="21"/>
        </w:rPr>
        <w:t>court</w:t>
      </w:r>
      <w:r>
        <w:rPr>
          <w:spacing w:val="-19"/>
          <w:sz w:val="21"/>
        </w:rPr>
        <w:t> </w:t>
      </w:r>
      <w:r>
        <w:rPr>
          <w:sz w:val="21"/>
        </w:rPr>
        <w:t>must</w:t>
      </w:r>
      <w:r>
        <w:rPr>
          <w:spacing w:val="-18"/>
          <w:sz w:val="21"/>
        </w:rPr>
        <w:t> </w:t>
      </w:r>
      <w:r>
        <w:rPr>
          <w:sz w:val="21"/>
        </w:rPr>
        <w:t>be</w:t>
      </w:r>
      <w:r>
        <w:rPr>
          <w:spacing w:val="-19"/>
          <w:sz w:val="21"/>
        </w:rPr>
        <w:t> </w:t>
      </w:r>
      <w:r>
        <w:rPr>
          <w:sz w:val="21"/>
        </w:rPr>
        <w:t>satisfied</w:t>
      </w:r>
      <w:r>
        <w:rPr>
          <w:spacing w:val="-18"/>
          <w:sz w:val="21"/>
        </w:rPr>
        <w:t> </w:t>
      </w:r>
      <w:r>
        <w:rPr>
          <w:sz w:val="21"/>
        </w:rPr>
        <w:t>that</w:t>
      </w:r>
      <w:r>
        <w:rPr>
          <w:spacing w:val="-19"/>
          <w:sz w:val="21"/>
        </w:rPr>
        <w:t> </w:t>
      </w:r>
      <w:r>
        <w:rPr>
          <w:sz w:val="21"/>
        </w:rPr>
        <w:t>by</w:t>
      </w:r>
      <w:r>
        <w:rPr>
          <w:spacing w:val="-19"/>
          <w:sz w:val="21"/>
        </w:rPr>
        <w:t> </w:t>
      </w:r>
      <w:r>
        <w:rPr>
          <w:sz w:val="21"/>
        </w:rPr>
        <w:t>inadvertence</w:t>
      </w:r>
      <w:r>
        <w:rPr>
          <w:spacing w:val="-19"/>
          <w:sz w:val="21"/>
        </w:rPr>
        <w:t> </w:t>
      </w:r>
      <w:r>
        <w:rPr>
          <w:sz w:val="21"/>
        </w:rPr>
        <w:t>Parliament</w:t>
      </w:r>
      <w:r>
        <w:rPr>
          <w:spacing w:val="-19"/>
          <w:sz w:val="21"/>
        </w:rPr>
        <w:t> </w:t>
      </w:r>
      <w:r>
        <w:rPr>
          <w:sz w:val="21"/>
        </w:rPr>
        <w:t>has</w:t>
      </w:r>
      <w:r>
        <w:rPr>
          <w:spacing w:val="-20"/>
          <w:sz w:val="21"/>
        </w:rPr>
        <w:t> </w:t>
      </w:r>
      <w:r>
        <w:rPr>
          <w:sz w:val="21"/>
        </w:rPr>
        <w:t>overlooked</w:t>
      </w:r>
      <w:r>
        <w:rPr>
          <w:spacing w:val="-18"/>
          <w:sz w:val="21"/>
        </w:rPr>
        <w:t> </w:t>
      </w:r>
      <w:r>
        <w:rPr>
          <w:sz w:val="21"/>
        </w:rPr>
        <w:t>an</w:t>
      </w:r>
      <w:r>
        <w:rPr>
          <w:spacing w:val="-18"/>
          <w:sz w:val="21"/>
        </w:rPr>
        <w:t> </w:t>
      </w:r>
      <w:r>
        <w:rPr>
          <w:sz w:val="21"/>
        </w:rPr>
        <w:t>eventuality which must be dealt with if the purpose of the Act is to be</w:t>
      </w:r>
      <w:r>
        <w:rPr>
          <w:spacing w:val="-15"/>
          <w:sz w:val="21"/>
        </w:rPr>
        <w:t> </w:t>
      </w:r>
      <w:r>
        <w:rPr>
          <w:sz w:val="21"/>
        </w:rPr>
        <w:t>achieved;</w:t>
      </w:r>
    </w:p>
    <w:p>
      <w:pPr>
        <w:pStyle w:val="ListParagraph"/>
        <w:numPr>
          <w:ilvl w:val="0"/>
          <w:numId w:val="2"/>
        </w:numPr>
        <w:tabs>
          <w:tab w:pos="1206" w:val="left" w:leader="none"/>
        </w:tabs>
        <w:spacing w:line="240" w:lineRule="auto" w:before="1" w:after="0"/>
        <w:ind w:left="1205" w:right="163" w:hanging="360"/>
        <w:jc w:val="left"/>
        <w:rPr>
          <w:sz w:val="21"/>
        </w:rPr>
      </w:pPr>
      <w:r>
        <w:rPr>
          <w:sz w:val="21"/>
        </w:rPr>
        <w:t>the court must be able to state with certainty what words Parliament would have used to overcome the omission if its attention had been drawn to the defect;</w:t>
      </w:r>
      <w:r>
        <w:rPr>
          <w:spacing w:val="-14"/>
          <w:sz w:val="21"/>
        </w:rPr>
        <w:t> </w:t>
      </w:r>
      <w:r>
        <w:rPr>
          <w:sz w:val="21"/>
        </w:rPr>
        <w:t>and</w:t>
      </w:r>
    </w:p>
    <w:p>
      <w:pPr>
        <w:pStyle w:val="ListParagraph"/>
        <w:numPr>
          <w:ilvl w:val="0"/>
          <w:numId w:val="2"/>
        </w:numPr>
        <w:tabs>
          <w:tab w:pos="1206" w:val="left" w:leader="none"/>
        </w:tabs>
        <w:spacing w:line="240" w:lineRule="auto" w:before="0" w:after="0"/>
        <w:ind w:left="1205" w:right="162" w:hanging="360"/>
        <w:jc w:val="both"/>
        <w:rPr>
          <w:sz w:val="21"/>
        </w:rPr>
      </w:pPr>
      <w:r>
        <w:rPr>
          <w:sz w:val="21"/>
        </w:rPr>
        <w:t>the modified construction (with the additional words) must be reasonably open and not be unnatural, incongruous or unreasonable and must be consistent with the statutory scheme.</w:t>
      </w:r>
    </w:p>
    <w:p>
      <w:pPr>
        <w:pStyle w:val="BodyText"/>
        <w:spacing w:line="237" w:lineRule="auto" w:before="192"/>
        <w:ind w:left="278" w:right="106"/>
        <w:jc w:val="both"/>
      </w:pPr>
      <w:r>
        <w:rPr/>
        <w:t>Notably, the second and third conditions identified in </w:t>
      </w:r>
      <w:r>
        <w:rPr>
          <w:i/>
          <w:sz w:val="25"/>
        </w:rPr>
        <w:t>Daniels’ </w:t>
      </w:r>
      <w:r>
        <w:rPr/>
        <w:t>case make it inappropriate to adopt Maylea and Ryan’s approach of importing a requirement of ‘carefully considering’ a person’s decision-making capacity when determining whether</w:t>
      </w:r>
    </w:p>
    <w:p>
      <w:pPr>
        <w:pStyle w:val="BodyText"/>
        <w:rPr>
          <w:sz w:val="28"/>
        </w:rPr>
      </w:pPr>
    </w:p>
    <w:p>
      <w:pPr>
        <w:spacing w:line="247" w:lineRule="exact" w:before="172"/>
        <w:ind w:left="164" w:right="0" w:firstLine="0"/>
        <w:jc w:val="left"/>
        <w:rPr>
          <w:sz w:val="20"/>
        </w:rPr>
      </w:pPr>
      <w:bookmarkStart w:name="_bookmark3" w:id="6"/>
      <w:bookmarkEnd w:id="6"/>
      <w:r>
        <w:rPr/>
      </w:r>
      <w:r>
        <w:rPr>
          <w:position w:val="7"/>
          <w:sz w:val="13"/>
        </w:rPr>
        <w:t>3 </w:t>
      </w:r>
      <w:r>
        <w:rPr>
          <w:i/>
          <w:sz w:val="21"/>
        </w:rPr>
        <w:t>Mental Health Act 2014 </w:t>
      </w:r>
      <w:r>
        <w:rPr>
          <w:sz w:val="20"/>
        </w:rPr>
        <w:t>(WA) ss 25(1)(c), 25(2)(c).</w:t>
      </w:r>
    </w:p>
    <w:p>
      <w:pPr>
        <w:spacing w:line="228" w:lineRule="auto" w:before="4"/>
        <w:ind w:left="271" w:right="107" w:hanging="102"/>
        <w:jc w:val="both"/>
        <w:rPr>
          <w:sz w:val="20"/>
        </w:rPr>
      </w:pPr>
      <w:bookmarkStart w:name="_bookmark4" w:id="7"/>
      <w:bookmarkEnd w:id="7"/>
      <w:r>
        <w:rPr/>
      </w:r>
      <w:r>
        <w:rPr>
          <w:position w:val="7"/>
          <w:sz w:val="13"/>
        </w:rPr>
        <w:t>4 </w:t>
      </w:r>
      <w:r>
        <w:rPr>
          <w:i/>
          <w:sz w:val="21"/>
        </w:rPr>
        <w:t>Daniels v Eastern Health </w:t>
      </w:r>
      <w:r>
        <w:rPr>
          <w:sz w:val="20"/>
        </w:rPr>
        <w:t>[2016] VSC 148 [11] (per McDonald J) quoting </w:t>
      </w:r>
      <w:r>
        <w:rPr>
          <w:i/>
          <w:sz w:val="21"/>
        </w:rPr>
        <w:t>Bermingham v Corrective Services Commission of New South Wales </w:t>
      </w:r>
      <w:r>
        <w:rPr>
          <w:sz w:val="20"/>
        </w:rPr>
        <w:t>(1988) 15 NSWLR 292, 299 (per McHugh JA) quoting </w:t>
      </w:r>
      <w:r>
        <w:rPr>
          <w:i/>
          <w:sz w:val="21"/>
        </w:rPr>
        <w:t>Wentworth Securities v Jones </w:t>
      </w:r>
      <w:r>
        <w:rPr>
          <w:sz w:val="20"/>
        </w:rPr>
        <w:t>[1980] AC 74, [105-6] (per Lord Diplock).</w:t>
      </w:r>
    </w:p>
    <w:p>
      <w:pPr>
        <w:spacing w:after="0" w:line="228" w:lineRule="auto"/>
        <w:jc w:val="both"/>
        <w:rPr>
          <w:sz w:val="20"/>
        </w:rPr>
        <w:sectPr>
          <w:headerReference w:type="default" r:id="rId7"/>
          <w:pgSz w:w="11910" w:h="16840"/>
          <w:pgMar w:header="1421" w:footer="523" w:top="1700" w:bottom="720" w:left="1060" w:right="1320"/>
        </w:sectPr>
      </w:pPr>
    </w:p>
    <w:p>
      <w:pPr>
        <w:pStyle w:val="BodyText"/>
        <w:spacing w:before="8"/>
        <w:rPr>
          <w:sz w:val="15"/>
        </w:rPr>
      </w:pPr>
    </w:p>
    <w:p>
      <w:pPr>
        <w:pStyle w:val="BodyText"/>
        <w:spacing w:before="101"/>
        <w:ind w:left="277" w:right="106"/>
        <w:jc w:val="both"/>
      </w:pPr>
      <w:r>
        <w:rPr/>
        <w:t>Regarding the second condition, as previously noted, the Victorian Parliament did not include</w:t>
      </w:r>
      <w:r>
        <w:rPr>
          <w:spacing w:val="-21"/>
        </w:rPr>
        <w:t> </w:t>
      </w:r>
      <w:r>
        <w:rPr/>
        <w:t>decision-making</w:t>
      </w:r>
      <w:r>
        <w:rPr>
          <w:spacing w:val="-20"/>
        </w:rPr>
        <w:t> </w:t>
      </w:r>
      <w:r>
        <w:rPr/>
        <w:t>capacity</w:t>
      </w:r>
      <w:r>
        <w:rPr>
          <w:spacing w:val="-22"/>
        </w:rPr>
        <w:t> </w:t>
      </w:r>
      <w:r>
        <w:rPr/>
        <w:t>as</w:t>
      </w:r>
      <w:r>
        <w:rPr>
          <w:spacing w:val="-21"/>
        </w:rPr>
        <w:t> </w:t>
      </w:r>
      <w:r>
        <w:rPr/>
        <w:t>one</w:t>
      </w:r>
      <w:r>
        <w:rPr>
          <w:spacing w:val="-22"/>
        </w:rPr>
        <w:t> </w:t>
      </w:r>
      <w:r>
        <w:rPr/>
        <w:t>of</w:t>
      </w:r>
      <w:r>
        <w:rPr>
          <w:spacing w:val="-22"/>
        </w:rPr>
        <w:t> </w:t>
      </w:r>
      <w:r>
        <w:rPr/>
        <w:t>the</w:t>
      </w:r>
      <w:r>
        <w:rPr>
          <w:spacing w:val="-21"/>
        </w:rPr>
        <w:t> </w:t>
      </w:r>
      <w:r>
        <w:rPr/>
        <w:t>criteria</w:t>
      </w:r>
      <w:r>
        <w:rPr>
          <w:spacing w:val="-21"/>
        </w:rPr>
        <w:t> </w:t>
      </w:r>
      <w:r>
        <w:rPr/>
        <w:t>governing</w:t>
      </w:r>
      <w:r>
        <w:rPr>
          <w:spacing w:val="-22"/>
        </w:rPr>
        <w:t> </w:t>
      </w:r>
      <w:r>
        <w:rPr/>
        <w:t>compulsory</w:t>
      </w:r>
      <w:r>
        <w:rPr>
          <w:spacing w:val="-22"/>
        </w:rPr>
        <w:t> </w:t>
      </w:r>
      <w:r>
        <w:rPr/>
        <w:t>Treatment Orders, but this was not an inadvertent omission; instead, it expressly opted for a different formulation of the criteria for compulsory treatment. The deliberate nature</w:t>
      </w:r>
      <w:r>
        <w:rPr>
          <w:spacing w:val="-47"/>
        </w:rPr>
        <w:t> </w:t>
      </w:r>
      <w:r>
        <w:rPr/>
        <w:t>of the omission of decision-making capacity as a criterion governing the making of compulsory</w:t>
      </w:r>
      <w:r>
        <w:rPr>
          <w:spacing w:val="-11"/>
        </w:rPr>
        <w:t> </w:t>
      </w:r>
      <w:r>
        <w:rPr/>
        <w:t>Treatment</w:t>
      </w:r>
      <w:r>
        <w:rPr>
          <w:spacing w:val="-11"/>
        </w:rPr>
        <w:t> </w:t>
      </w:r>
      <w:r>
        <w:rPr/>
        <w:t>Orders</w:t>
      </w:r>
      <w:r>
        <w:rPr>
          <w:spacing w:val="-10"/>
        </w:rPr>
        <w:t> </w:t>
      </w:r>
      <w:r>
        <w:rPr/>
        <w:t>is</w:t>
      </w:r>
      <w:r>
        <w:rPr>
          <w:spacing w:val="-12"/>
        </w:rPr>
        <w:t> </w:t>
      </w:r>
      <w:r>
        <w:rPr/>
        <w:t>demonstrated</w:t>
      </w:r>
      <w:r>
        <w:rPr>
          <w:spacing w:val="-11"/>
        </w:rPr>
        <w:t> </w:t>
      </w:r>
      <w:r>
        <w:rPr/>
        <w:t>or</w:t>
      </w:r>
      <w:r>
        <w:rPr>
          <w:spacing w:val="-10"/>
        </w:rPr>
        <w:t> </w:t>
      </w:r>
      <w:r>
        <w:rPr/>
        <w:t>reinforced</w:t>
      </w:r>
      <w:r>
        <w:rPr>
          <w:spacing w:val="-10"/>
        </w:rPr>
        <w:t> </w:t>
      </w:r>
      <w:r>
        <w:rPr/>
        <w:t>by</w:t>
      </w:r>
      <w:r>
        <w:rPr>
          <w:spacing w:val="-10"/>
        </w:rPr>
        <w:t> </w:t>
      </w:r>
      <w:r>
        <w:rPr/>
        <w:t>the</w:t>
      </w:r>
      <w:r>
        <w:rPr>
          <w:spacing w:val="-11"/>
        </w:rPr>
        <w:t> </w:t>
      </w:r>
      <w:r>
        <w:rPr/>
        <w:t>fact</w:t>
      </w:r>
      <w:r>
        <w:rPr>
          <w:spacing w:val="-10"/>
        </w:rPr>
        <w:t> </w:t>
      </w:r>
      <w:r>
        <w:rPr/>
        <w:t>that</w:t>
      </w:r>
      <w:r>
        <w:rPr>
          <w:spacing w:val="-10"/>
        </w:rPr>
        <w:t> </w:t>
      </w:r>
      <w:r>
        <w:rPr/>
        <w:t>elsewhere the legislation includes provisions that do incorporate the consideration of decision- making capacity and/or the provision of informed</w:t>
      </w:r>
      <w:r>
        <w:rPr>
          <w:spacing w:val="-3"/>
        </w:rPr>
        <w:t> </w:t>
      </w:r>
      <w:r>
        <w:rPr/>
        <w:t>consent:</w:t>
      </w:r>
    </w:p>
    <w:p>
      <w:pPr>
        <w:pStyle w:val="BodyText"/>
        <w:spacing w:before="11"/>
        <w:rPr>
          <w:sz w:val="23"/>
        </w:rPr>
      </w:pPr>
    </w:p>
    <w:p>
      <w:pPr>
        <w:pStyle w:val="BodyText"/>
        <w:ind w:left="278"/>
        <w:jc w:val="both"/>
      </w:pPr>
      <w:r>
        <w:rPr>
          <w:u w:val="single"/>
        </w:rPr>
        <w:t>Firstly</w:t>
      </w:r>
    </w:p>
    <w:p>
      <w:pPr>
        <w:pStyle w:val="BodyText"/>
        <w:spacing w:before="9"/>
        <w:rPr>
          <w:sz w:val="15"/>
        </w:rPr>
      </w:pPr>
    </w:p>
    <w:p>
      <w:pPr>
        <w:pStyle w:val="BodyText"/>
        <w:spacing w:before="100"/>
        <w:ind w:left="277" w:right="107"/>
        <w:jc w:val="both"/>
      </w:pPr>
      <w:r>
        <w:rPr/>
        <w:t>Decision-making capacity and the provision (or withholding) of informed consent must be considered in the context of the actual provision of treatment. </w:t>
      </w:r>
      <w:hyperlink w:history="true" w:anchor="_bookmark5">
        <w:r>
          <w:rPr>
            <w:position w:val="8"/>
            <w:sz w:val="16"/>
          </w:rPr>
          <w:t>5</w:t>
        </w:r>
      </w:hyperlink>
      <w:r>
        <w:rPr>
          <w:position w:val="8"/>
          <w:sz w:val="16"/>
        </w:rPr>
        <w:t> </w:t>
      </w:r>
      <w:r>
        <w:rPr/>
        <w:t>Despite the contention of the authors these provisions do not bear upon the making of Treatment Orders by the Tribunal.</w:t>
      </w:r>
    </w:p>
    <w:p>
      <w:pPr>
        <w:pStyle w:val="BodyText"/>
        <w:spacing w:before="12"/>
        <w:rPr>
          <w:sz w:val="23"/>
        </w:rPr>
      </w:pPr>
    </w:p>
    <w:p>
      <w:pPr>
        <w:pStyle w:val="BodyText"/>
        <w:ind w:left="278"/>
        <w:jc w:val="both"/>
      </w:pPr>
      <w:r>
        <w:rPr>
          <w:u w:val="single"/>
        </w:rPr>
        <w:t>Secondly</w:t>
      </w:r>
    </w:p>
    <w:p>
      <w:pPr>
        <w:pStyle w:val="BodyText"/>
        <w:spacing w:before="8"/>
        <w:rPr>
          <w:sz w:val="15"/>
        </w:rPr>
      </w:pPr>
    </w:p>
    <w:p>
      <w:pPr>
        <w:pStyle w:val="BodyText"/>
        <w:spacing w:before="101"/>
        <w:ind w:left="278" w:right="106"/>
        <w:jc w:val="both"/>
        <w:rPr>
          <w:sz w:val="16"/>
        </w:rPr>
      </w:pPr>
      <w:r>
        <w:rPr/>
        <w:t>When determining applications for an electroconvulsive treatment (‘ECT’) Order for an adult compulsory patient,</w:t>
      </w:r>
      <w:hyperlink w:history="true" w:anchor="_bookmark6">
        <w:r>
          <w:rPr>
            <w:position w:val="8"/>
            <w:sz w:val="16"/>
          </w:rPr>
          <w:t>6 </w:t>
        </w:r>
      </w:hyperlink>
      <w:r>
        <w:rPr/>
        <w:t>the first question the Tribunal must consider is whether or not the person has capacity to give (or by implication withhold) informed consent for ECT.</w:t>
      </w:r>
      <w:hyperlink w:history="true" w:anchor="_bookmark7">
        <w:r>
          <w:rPr>
            <w:position w:val="8"/>
            <w:sz w:val="16"/>
          </w:rPr>
          <w:t>7 </w:t>
        </w:r>
      </w:hyperlink>
      <w:r>
        <w:rPr/>
        <w:t>If the Tribunal decides a person has capacity it must refuse the application.</w:t>
      </w:r>
      <w:hyperlink w:history="true" w:anchor="_bookmark8">
        <w:r>
          <w:rPr>
            <w:position w:val="8"/>
            <w:sz w:val="16"/>
          </w:rPr>
          <w:t>8</w:t>
        </w:r>
      </w:hyperlink>
    </w:p>
    <w:p>
      <w:pPr>
        <w:pStyle w:val="BodyText"/>
        <w:spacing w:before="11"/>
        <w:rPr>
          <w:sz w:val="23"/>
        </w:rPr>
      </w:pPr>
    </w:p>
    <w:p>
      <w:pPr>
        <w:pStyle w:val="BodyText"/>
        <w:spacing w:before="1"/>
        <w:ind w:left="278"/>
        <w:jc w:val="both"/>
      </w:pPr>
      <w:r>
        <w:rPr>
          <w:u w:val="single"/>
        </w:rPr>
        <w:t>Thirdly</w:t>
      </w:r>
    </w:p>
    <w:p>
      <w:pPr>
        <w:pStyle w:val="BodyText"/>
        <w:spacing w:before="8"/>
        <w:rPr>
          <w:sz w:val="15"/>
        </w:rPr>
      </w:pPr>
    </w:p>
    <w:p>
      <w:pPr>
        <w:pStyle w:val="BodyText"/>
        <w:spacing w:before="100"/>
        <w:ind w:left="278" w:right="106"/>
        <w:jc w:val="both"/>
        <w:rPr>
          <w:sz w:val="16"/>
        </w:rPr>
      </w:pPr>
      <w:r>
        <w:rPr/>
        <w:t>In relation to the authorisation of neurosurgery for mental illness, the Tribunal cannot grant</w:t>
      </w:r>
      <w:r>
        <w:rPr>
          <w:spacing w:val="-8"/>
        </w:rPr>
        <w:t> </w:t>
      </w:r>
      <w:r>
        <w:rPr/>
        <w:t>an</w:t>
      </w:r>
      <w:r>
        <w:rPr>
          <w:spacing w:val="-7"/>
        </w:rPr>
        <w:t> </w:t>
      </w:r>
      <w:r>
        <w:rPr/>
        <w:t>application</w:t>
      </w:r>
      <w:r>
        <w:rPr>
          <w:spacing w:val="-9"/>
        </w:rPr>
        <w:t> </w:t>
      </w:r>
      <w:r>
        <w:rPr/>
        <w:t>unless</w:t>
      </w:r>
      <w:r>
        <w:rPr>
          <w:spacing w:val="-8"/>
        </w:rPr>
        <w:t> </w:t>
      </w:r>
      <w:r>
        <w:rPr/>
        <w:t>it</w:t>
      </w:r>
      <w:r>
        <w:rPr>
          <w:spacing w:val="-6"/>
        </w:rPr>
        <w:t> </w:t>
      </w:r>
      <w:r>
        <w:rPr/>
        <w:t>is</w:t>
      </w:r>
      <w:r>
        <w:rPr>
          <w:spacing w:val="-8"/>
        </w:rPr>
        <w:t> </w:t>
      </w:r>
      <w:r>
        <w:rPr/>
        <w:t>satisfied</w:t>
      </w:r>
      <w:r>
        <w:rPr>
          <w:spacing w:val="-7"/>
        </w:rPr>
        <w:t> </w:t>
      </w:r>
      <w:r>
        <w:rPr/>
        <w:t>that</w:t>
      </w:r>
      <w:r>
        <w:rPr>
          <w:spacing w:val="-8"/>
        </w:rPr>
        <w:t> </w:t>
      </w:r>
      <w:r>
        <w:rPr/>
        <w:t>the</w:t>
      </w:r>
      <w:r>
        <w:rPr>
          <w:spacing w:val="-8"/>
        </w:rPr>
        <w:t> </w:t>
      </w:r>
      <w:r>
        <w:rPr/>
        <w:t>person</w:t>
      </w:r>
      <w:r>
        <w:rPr>
          <w:spacing w:val="-9"/>
        </w:rPr>
        <w:t> </w:t>
      </w:r>
      <w:r>
        <w:rPr/>
        <w:t>who</w:t>
      </w:r>
      <w:r>
        <w:rPr>
          <w:spacing w:val="-7"/>
        </w:rPr>
        <w:t> </w:t>
      </w:r>
      <w:r>
        <w:rPr/>
        <w:t>is</w:t>
      </w:r>
      <w:r>
        <w:rPr>
          <w:spacing w:val="-8"/>
        </w:rPr>
        <w:t> </w:t>
      </w:r>
      <w:r>
        <w:rPr/>
        <w:t>to</w:t>
      </w:r>
      <w:r>
        <w:rPr>
          <w:spacing w:val="-7"/>
        </w:rPr>
        <w:t> </w:t>
      </w:r>
      <w:r>
        <w:rPr/>
        <w:t>be</w:t>
      </w:r>
      <w:r>
        <w:rPr>
          <w:spacing w:val="-7"/>
        </w:rPr>
        <w:t> </w:t>
      </w:r>
      <w:r>
        <w:rPr/>
        <w:t>treated</w:t>
      </w:r>
      <w:r>
        <w:rPr>
          <w:spacing w:val="-7"/>
        </w:rPr>
        <w:t> </w:t>
      </w:r>
      <w:r>
        <w:rPr/>
        <w:t>has</w:t>
      </w:r>
      <w:r>
        <w:rPr>
          <w:spacing w:val="-8"/>
        </w:rPr>
        <w:t> </w:t>
      </w:r>
      <w:r>
        <w:rPr/>
        <w:t>given informed consent in writing to the</w:t>
      </w:r>
      <w:r>
        <w:rPr>
          <w:spacing w:val="-5"/>
        </w:rPr>
        <w:t> </w:t>
      </w:r>
      <w:r>
        <w:rPr/>
        <w:t>procedure.</w:t>
      </w:r>
      <w:hyperlink w:history="true" w:anchor="_bookmark9">
        <w:r>
          <w:rPr>
            <w:position w:val="8"/>
            <w:sz w:val="16"/>
          </w:rPr>
          <w:t>9</w:t>
        </w:r>
      </w:hyperlink>
    </w:p>
    <w:p>
      <w:pPr>
        <w:pStyle w:val="BodyText"/>
      </w:pPr>
    </w:p>
    <w:p>
      <w:pPr>
        <w:pStyle w:val="BodyText"/>
        <w:ind w:left="278"/>
        <w:jc w:val="both"/>
      </w:pPr>
      <w:r>
        <w:rPr>
          <w:u w:val="single"/>
        </w:rPr>
        <w:t>Fourthly</w:t>
      </w:r>
    </w:p>
    <w:p>
      <w:pPr>
        <w:pStyle w:val="BodyText"/>
        <w:spacing w:before="8"/>
        <w:rPr>
          <w:sz w:val="15"/>
        </w:rPr>
      </w:pPr>
    </w:p>
    <w:p>
      <w:pPr>
        <w:pStyle w:val="BodyText"/>
        <w:spacing w:before="101"/>
        <w:ind w:left="277" w:right="106"/>
        <w:jc w:val="both"/>
        <w:rPr>
          <w:sz w:val="16"/>
        </w:rPr>
      </w:pPr>
      <w:r>
        <w:rPr/>
        <w:t>The Tribunal must consider decision-making capacity or the withholding of informed consent when determining applications concerning interstate transfer of treatment orders or interstate transfer orders.</w:t>
      </w:r>
      <w:hyperlink w:history="true" w:anchor="_bookmark10">
        <w:r>
          <w:rPr>
            <w:position w:val="8"/>
            <w:sz w:val="16"/>
          </w:rPr>
          <w:t>10</w:t>
        </w:r>
      </w:hyperlink>
    </w:p>
    <w:p>
      <w:pPr>
        <w:pStyle w:val="BodyText"/>
        <w:rPr>
          <w:sz w:val="28"/>
        </w:rPr>
      </w:pPr>
    </w:p>
    <w:p>
      <w:pPr>
        <w:pStyle w:val="BodyText"/>
        <w:rPr>
          <w:sz w:val="28"/>
        </w:rPr>
      </w:pPr>
    </w:p>
    <w:p>
      <w:pPr>
        <w:pStyle w:val="BodyText"/>
        <w:spacing w:before="10"/>
        <w:rPr>
          <w:sz w:val="28"/>
        </w:rPr>
      </w:pPr>
    </w:p>
    <w:p>
      <w:pPr>
        <w:spacing w:line="252" w:lineRule="exact" w:before="0"/>
        <w:ind w:left="159" w:right="0" w:firstLine="0"/>
        <w:jc w:val="left"/>
        <w:rPr>
          <w:sz w:val="20"/>
        </w:rPr>
      </w:pPr>
      <w:bookmarkStart w:name="_bookmark5" w:id="8"/>
      <w:bookmarkEnd w:id="8"/>
      <w:r>
        <w:rPr/>
      </w:r>
      <w:r>
        <w:rPr>
          <w:position w:val="7"/>
          <w:sz w:val="13"/>
        </w:rPr>
        <w:t>5 </w:t>
      </w:r>
      <w:r>
        <w:rPr>
          <w:sz w:val="20"/>
        </w:rPr>
        <w:t>Mental </w:t>
      </w:r>
      <w:r>
        <w:rPr>
          <w:i/>
          <w:sz w:val="21"/>
        </w:rPr>
        <w:t>Health Act 2014 </w:t>
      </w:r>
      <w:r>
        <w:rPr>
          <w:sz w:val="20"/>
        </w:rPr>
        <w:t>(Vic) ss 70, 71.</w:t>
      </w:r>
    </w:p>
    <w:p>
      <w:pPr>
        <w:spacing w:before="0"/>
        <w:ind w:left="329" w:right="106" w:hanging="160"/>
        <w:jc w:val="both"/>
        <w:rPr>
          <w:sz w:val="20"/>
        </w:rPr>
      </w:pPr>
      <w:bookmarkStart w:name="_bookmark6" w:id="9"/>
      <w:bookmarkEnd w:id="9"/>
      <w:r>
        <w:rPr/>
      </w:r>
      <w:r>
        <w:rPr>
          <w:position w:val="7"/>
          <w:sz w:val="13"/>
        </w:rPr>
        <w:t>6</w:t>
      </w:r>
      <w:r>
        <w:rPr>
          <w:spacing w:val="-4"/>
          <w:position w:val="7"/>
          <w:sz w:val="13"/>
        </w:rPr>
        <w:t> </w:t>
      </w:r>
      <w:r>
        <w:rPr>
          <w:sz w:val="20"/>
        </w:rPr>
        <w:t>Decision-making</w:t>
      </w:r>
      <w:r>
        <w:rPr>
          <w:spacing w:val="-11"/>
          <w:sz w:val="20"/>
        </w:rPr>
        <w:t> </w:t>
      </w:r>
      <w:r>
        <w:rPr>
          <w:sz w:val="20"/>
        </w:rPr>
        <w:t>capacity</w:t>
      </w:r>
      <w:r>
        <w:rPr>
          <w:spacing w:val="-11"/>
          <w:sz w:val="20"/>
        </w:rPr>
        <w:t> </w:t>
      </w:r>
      <w:r>
        <w:rPr>
          <w:sz w:val="20"/>
        </w:rPr>
        <w:t>is</w:t>
      </w:r>
      <w:r>
        <w:rPr>
          <w:spacing w:val="-11"/>
          <w:sz w:val="20"/>
        </w:rPr>
        <w:t> </w:t>
      </w:r>
      <w:r>
        <w:rPr>
          <w:sz w:val="20"/>
        </w:rPr>
        <w:t>also</w:t>
      </w:r>
      <w:r>
        <w:rPr>
          <w:spacing w:val="-10"/>
          <w:sz w:val="20"/>
        </w:rPr>
        <w:t> </w:t>
      </w:r>
      <w:r>
        <w:rPr>
          <w:sz w:val="20"/>
        </w:rPr>
        <w:t>relevant</w:t>
      </w:r>
      <w:r>
        <w:rPr>
          <w:spacing w:val="-10"/>
          <w:sz w:val="20"/>
        </w:rPr>
        <w:t> </w:t>
      </w:r>
      <w:r>
        <w:rPr>
          <w:sz w:val="20"/>
        </w:rPr>
        <w:t>to</w:t>
      </w:r>
      <w:r>
        <w:rPr>
          <w:spacing w:val="-12"/>
          <w:sz w:val="20"/>
        </w:rPr>
        <w:t> </w:t>
      </w:r>
      <w:r>
        <w:rPr>
          <w:sz w:val="20"/>
        </w:rPr>
        <w:t>ECT</w:t>
      </w:r>
      <w:r>
        <w:rPr>
          <w:spacing w:val="-11"/>
          <w:sz w:val="20"/>
        </w:rPr>
        <w:t> </w:t>
      </w:r>
      <w:r>
        <w:rPr>
          <w:sz w:val="20"/>
        </w:rPr>
        <w:t>applications</w:t>
      </w:r>
      <w:r>
        <w:rPr>
          <w:spacing w:val="-10"/>
          <w:sz w:val="20"/>
        </w:rPr>
        <w:t> </w:t>
      </w:r>
      <w:r>
        <w:rPr>
          <w:sz w:val="20"/>
        </w:rPr>
        <w:t>beyond</w:t>
      </w:r>
      <w:r>
        <w:rPr>
          <w:spacing w:val="-11"/>
          <w:sz w:val="20"/>
        </w:rPr>
        <w:t> </w:t>
      </w:r>
      <w:r>
        <w:rPr>
          <w:sz w:val="20"/>
        </w:rPr>
        <w:t>those</w:t>
      </w:r>
      <w:r>
        <w:rPr>
          <w:spacing w:val="-12"/>
          <w:sz w:val="20"/>
        </w:rPr>
        <w:t> </w:t>
      </w:r>
      <w:r>
        <w:rPr>
          <w:sz w:val="20"/>
        </w:rPr>
        <w:t>concerning</w:t>
      </w:r>
      <w:r>
        <w:rPr>
          <w:spacing w:val="-11"/>
          <w:sz w:val="20"/>
        </w:rPr>
        <w:t> </w:t>
      </w:r>
      <w:r>
        <w:rPr>
          <w:sz w:val="20"/>
        </w:rPr>
        <w:t>adult</w:t>
      </w:r>
      <w:r>
        <w:rPr>
          <w:spacing w:val="-11"/>
          <w:sz w:val="20"/>
        </w:rPr>
        <w:t> </w:t>
      </w:r>
      <w:r>
        <w:rPr>
          <w:sz w:val="20"/>
        </w:rPr>
        <w:t>compulsory patients but this is the single largest group and the relevant point can be sufficiently illustrated by focusing on this</w:t>
      </w:r>
      <w:r>
        <w:rPr>
          <w:spacing w:val="-4"/>
          <w:sz w:val="20"/>
        </w:rPr>
        <w:t> </w:t>
      </w:r>
      <w:r>
        <w:rPr>
          <w:sz w:val="20"/>
        </w:rPr>
        <w:t>cohort.</w:t>
      </w:r>
    </w:p>
    <w:p>
      <w:pPr>
        <w:spacing w:line="243" w:lineRule="exact" w:before="0"/>
        <w:ind w:left="159" w:right="0" w:firstLine="0"/>
        <w:jc w:val="left"/>
        <w:rPr>
          <w:sz w:val="20"/>
        </w:rPr>
      </w:pPr>
      <w:bookmarkStart w:name="_bookmark7" w:id="10"/>
      <w:bookmarkEnd w:id="10"/>
      <w:r>
        <w:rPr/>
      </w:r>
      <w:r>
        <w:rPr>
          <w:position w:val="7"/>
          <w:sz w:val="13"/>
        </w:rPr>
        <w:t>7 </w:t>
      </w:r>
      <w:r>
        <w:rPr>
          <w:i/>
          <w:sz w:val="21"/>
        </w:rPr>
        <w:t>Mental Health Act 2014 </w:t>
      </w:r>
      <w:r>
        <w:rPr>
          <w:sz w:val="20"/>
        </w:rPr>
        <w:t>(Vic) s 96.</w:t>
      </w:r>
    </w:p>
    <w:p>
      <w:pPr>
        <w:spacing w:before="0"/>
        <w:ind w:left="329" w:right="41" w:hanging="160"/>
        <w:jc w:val="left"/>
        <w:rPr>
          <w:sz w:val="20"/>
        </w:rPr>
      </w:pPr>
      <w:bookmarkStart w:name="_bookmark8" w:id="11"/>
      <w:bookmarkEnd w:id="11"/>
      <w:r>
        <w:rPr/>
      </w:r>
      <w:r>
        <w:rPr>
          <w:position w:val="7"/>
          <w:sz w:val="13"/>
        </w:rPr>
        <w:t>8 </w:t>
      </w:r>
      <w:r>
        <w:rPr>
          <w:sz w:val="20"/>
        </w:rPr>
        <w:t>In 2016/17 the Tribunal refused 100 (14.5%) ECT applications, of those 41% were refused on the basis that the person had capacity to provide informed consent.</w:t>
      </w:r>
    </w:p>
    <w:p>
      <w:pPr>
        <w:spacing w:line="237" w:lineRule="exact" w:before="0"/>
        <w:ind w:left="159" w:right="0" w:firstLine="0"/>
        <w:jc w:val="left"/>
        <w:rPr>
          <w:sz w:val="20"/>
        </w:rPr>
      </w:pPr>
      <w:bookmarkStart w:name="_bookmark9" w:id="12"/>
      <w:bookmarkEnd w:id="12"/>
      <w:r>
        <w:rPr/>
      </w:r>
      <w:r>
        <w:rPr>
          <w:position w:val="7"/>
          <w:sz w:val="13"/>
        </w:rPr>
        <w:t>9 </w:t>
      </w:r>
      <w:r>
        <w:rPr>
          <w:i/>
          <w:sz w:val="21"/>
        </w:rPr>
        <w:t>Mental Health Act 2014 </w:t>
      </w:r>
      <w:r>
        <w:rPr>
          <w:sz w:val="20"/>
        </w:rPr>
        <w:t>(Vic) s 102.</w:t>
      </w:r>
    </w:p>
    <w:p>
      <w:pPr>
        <w:spacing w:line="247" w:lineRule="exact" w:before="0"/>
        <w:ind w:left="101" w:right="0" w:firstLine="0"/>
        <w:jc w:val="left"/>
        <w:rPr>
          <w:sz w:val="20"/>
        </w:rPr>
      </w:pPr>
      <w:bookmarkStart w:name="_bookmark10" w:id="13"/>
      <w:bookmarkEnd w:id="13"/>
      <w:r>
        <w:rPr/>
      </w:r>
      <w:r>
        <w:rPr>
          <w:position w:val="7"/>
          <w:sz w:val="13"/>
        </w:rPr>
        <w:t>10 </w:t>
      </w:r>
      <w:r>
        <w:rPr>
          <w:i/>
          <w:sz w:val="21"/>
        </w:rPr>
        <w:t>Mental Health Act 2014 </w:t>
      </w:r>
      <w:r>
        <w:rPr>
          <w:sz w:val="20"/>
        </w:rPr>
        <w:t>(Vic) ss 321, 323.</w:t>
      </w:r>
    </w:p>
    <w:p>
      <w:pPr>
        <w:spacing w:after="0" w:line="247" w:lineRule="exact"/>
        <w:jc w:val="left"/>
        <w:rPr>
          <w:sz w:val="20"/>
        </w:rPr>
        <w:sectPr>
          <w:headerReference w:type="default" r:id="rId8"/>
          <w:pgSz w:w="11910" w:h="16840"/>
          <w:pgMar w:header="1421" w:footer="523" w:top="1700" w:bottom="720" w:left="1060" w:right="1320"/>
        </w:sectPr>
      </w:pPr>
    </w:p>
    <w:p>
      <w:pPr>
        <w:pStyle w:val="BodyText"/>
        <w:ind w:left="277" w:right="107"/>
        <w:jc w:val="both"/>
      </w:pPr>
      <w:r>
        <w:rPr/>
        <w:t>in</w:t>
      </w:r>
      <w:r>
        <w:rPr>
          <w:spacing w:val="-18"/>
        </w:rPr>
        <w:t> </w:t>
      </w:r>
      <w:r>
        <w:rPr/>
        <w:t>the</w:t>
      </w:r>
      <w:r>
        <w:rPr>
          <w:spacing w:val="-19"/>
        </w:rPr>
        <w:t> </w:t>
      </w:r>
      <w:r>
        <w:rPr/>
        <w:t>former</w:t>
      </w:r>
      <w:r>
        <w:rPr>
          <w:spacing w:val="-17"/>
        </w:rPr>
        <w:t> </w:t>
      </w:r>
      <w:r>
        <w:rPr/>
        <w:t>Mental</w:t>
      </w:r>
      <w:r>
        <w:rPr>
          <w:spacing w:val="-18"/>
        </w:rPr>
        <w:t> </w:t>
      </w:r>
      <w:r>
        <w:rPr/>
        <w:t>Health</w:t>
      </w:r>
      <w:r>
        <w:rPr>
          <w:spacing w:val="-18"/>
        </w:rPr>
        <w:t> </w:t>
      </w:r>
      <w:r>
        <w:rPr/>
        <w:t>Act</w:t>
      </w:r>
      <w:r>
        <w:rPr>
          <w:spacing w:val="-18"/>
        </w:rPr>
        <w:t> </w:t>
      </w:r>
      <w:r>
        <w:rPr/>
        <w:t>did</w:t>
      </w:r>
      <w:r>
        <w:rPr>
          <w:spacing w:val="-17"/>
        </w:rPr>
        <w:t> </w:t>
      </w:r>
      <w:r>
        <w:rPr/>
        <w:t>require</w:t>
      </w:r>
      <w:r>
        <w:rPr>
          <w:spacing w:val="-19"/>
        </w:rPr>
        <w:t> </w:t>
      </w:r>
      <w:r>
        <w:rPr/>
        <w:t>consideration</w:t>
      </w:r>
      <w:r>
        <w:rPr>
          <w:spacing w:val="-18"/>
        </w:rPr>
        <w:t> </w:t>
      </w:r>
      <w:r>
        <w:rPr/>
        <w:t>of</w:t>
      </w:r>
      <w:r>
        <w:rPr>
          <w:spacing w:val="-18"/>
        </w:rPr>
        <w:t> </w:t>
      </w:r>
      <w:r>
        <w:rPr/>
        <w:t>a</w:t>
      </w:r>
      <w:r>
        <w:rPr>
          <w:spacing w:val="-20"/>
        </w:rPr>
        <w:t> </w:t>
      </w:r>
      <w:r>
        <w:rPr/>
        <w:t>person’s</w:t>
      </w:r>
      <w:r>
        <w:rPr>
          <w:spacing w:val="-18"/>
        </w:rPr>
        <w:t> </w:t>
      </w:r>
      <w:r>
        <w:rPr/>
        <w:t>ability</w:t>
      </w:r>
      <w:r>
        <w:rPr>
          <w:spacing w:val="-19"/>
        </w:rPr>
        <w:t> </w:t>
      </w:r>
      <w:r>
        <w:rPr/>
        <w:t>to</w:t>
      </w:r>
      <w:r>
        <w:rPr>
          <w:spacing w:val="-18"/>
        </w:rPr>
        <w:t> </w:t>
      </w:r>
      <w:r>
        <w:rPr/>
        <w:t>consent to</w:t>
      </w:r>
      <w:r>
        <w:rPr>
          <w:spacing w:val="-7"/>
        </w:rPr>
        <w:t> </w:t>
      </w:r>
      <w:r>
        <w:rPr/>
        <w:t>necessary</w:t>
      </w:r>
      <w:r>
        <w:rPr>
          <w:spacing w:val="-6"/>
        </w:rPr>
        <w:t> </w:t>
      </w:r>
      <w:r>
        <w:rPr/>
        <w:t>treatment.</w:t>
      </w:r>
      <w:hyperlink w:history="true" w:anchor="_bookmark11">
        <w:r>
          <w:rPr>
            <w:position w:val="8"/>
            <w:sz w:val="16"/>
          </w:rPr>
          <w:t>11</w:t>
        </w:r>
        <w:r>
          <w:rPr>
            <w:spacing w:val="-2"/>
            <w:position w:val="8"/>
            <w:sz w:val="16"/>
          </w:rPr>
          <w:t> </w:t>
        </w:r>
      </w:hyperlink>
      <w:r>
        <w:rPr/>
        <w:t>The</w:t>
      </w:r>
      <w:r>
        <w:rPr>
          <w:spacing w:val="-8"/>
        </w:rPr>
        <w:t> </w:t>
      </w:r>
      <w:r>
        <w:rPr/>
        <w:t>particular</w:t>
      </w:r>
      <w:r>
        <w:rPr>
          <w:spacing w:val="-7"/>
        </w:rPr>
        <w:t> </w:t>
      </w:r>
      <w:r>
        <w:rPr/>
        <w:t>approach</w:t>
      </w:r>
      <w:r>
        <w:rPr>
          <w:spacing w:val="-6"/>
        </w:rPr>
        <w:t> </w:t>
      </w:r>
      <w:r>
        <w:rPr/>
        <w:t>in</w:t>
      </w:r>
      <w:r>
        <w:rPr>
          <w:spacing w:val="-7"/>
        </w:rPr>
        <w:t> </w:t>
      </w:r>
      <w:r>
        <w:rPr/>
        <w:t>the</w:t>
      </w:r>
      <w:r>
        <w:rPr>
          <w:spacing w:val="-8"/>
        </w:rPr>
        <w:t> </w:t>
      </w:r>
      <w:r>
        <w:rPr/>
        <w:t>former</w:t>
      </w:r>
      <w:r>
        <w:rPr>
          <w:spacing w:val="-7"/>
        </w:rPr>
        <w:t> </w:t>
      </w:r>
      <w:r>
        <w:rPr/>
        <w:t>Mental</w:t>
      </w:r>
      <w:r>
        <w:rPr>
          <w:spacing w:val="-6"/>
        </w:rPr>
        <w:t> </w:t>
      </w:r>
      <w:r>
        <w:rPr/>
        <w:t>Health</w:t>
      </w:r>
      <w:r>
        <w:rPr>
          <w:spacing w:val="-7"/>
        </w:rPr>
        <w:t> </w:t>
      </w:r>
      <w:r>
        <w:rPr/>
        <w:t>Act</w:t>
      </w:r>
      <w:r>
        <w:rPr>
          <w:spacing w:val="-6"/>
        </w:rPr>
        <w:t> </w:t>
      </w:r>
      <w:r>
        <w:rPr/>
        <w:t>was strongly criticised and was unlikely to have been replicated in the treatment criteria of a</w:t>
      </w:r>
      <w:r>
        <w:rPr>
          <w:spacing w:val="-13"/>
        </w:rPr>
        <w:t> </w:t>
      </w:r>
      <w:r>
        <w:rPr/>
        <w:t>new</w:t>
      </w:r>
      <w:r>
        <w:rPr>
          <w:spacing w:val="-14"/>
        </w:rPr>
        <w:t> </w:t>
      </w:r>
      <w:r>
        <w:rPr/>
        <w:t>Act.</w:t>
      </w:r>
      <w:r>
        <w:rPr>
          <w:spacing w:val="-14"/>
        </w:rPr>
        <w:t> </w:t>
      </w:r>
      <w:r>
        <w:rPr/>
        <w:t>What</w:t>
      </w:r>
      <w:r>
        <w:rPr>
          <w:spacing w:val="-14"/>
        </w:rPr>
        <w:t> </w:t>
      </w:r>
      <w:r>
        <w:rPr/>
        <w:t>is</w:t>
      </w:r>
      <w:r>
        <w:rPr>
          <w:spacing w:val="-13"/>
        </w:rPr>
        <w:t> </w:t>
      </w:r>
      <w:r>
        <w:rPr/>
        <w:t>relevant</w:t>
      </w:r>
      <w:r>
        <w:rPr>
          <w:spacing w:val="-14"/>
        </w:rPr>
        <w:t> </w:t>
      </w:r>
      <w:r>
        <w:rPr/>
        <w:t>for</w:t>
      </w:r>
      <w:r>
        <w:rPr>
          <w:spacing w:val="-15"/>
        </w:rPr>
        <w:t> </w:t>
      </w:r>
      <w:r>
        <w:rPr/>
        <w:t>present</w:t>
      </w:r>
      <w:r>
        <w:rPr>
          <w:spacing w:val="-12"/>
        </w:rPr>
        <w:t> </w:t>
      </w:r>
      <w:r>
        <w:rPr/>
        <w:t>purposes</w:t>
      </w:r>
      <w:r>
        <w:rPr>
          <w:spacing w:val="-13"/>
        </w:rPr>
        <w:t> </w:t>
      </w:r>
      <w:r>
        <w:rPr/>
        <w:t>is</w:t>
      </w:r>
      <w:r>
        <w:rPr>
          <w:spacing w:val="-14"/>
        </w:rPr>
        <w:t> </w:t>
      </w:r>
      <w:r>
        <w:rPr/>
        <w:t>that</w:t>
      </w:r>
      <w:r>
        <w:rPr>
          <w:spacing w:val="-14"/>
        </w:rPr>
        <w:t> </w:t>
      </w:r>
      <w:r>
        <w:rPr/>
        <w:t>Parliament</w:t>
      </w:r>
      <w:r>
        <w:rPr>
          <w:spacing w:val="-14"/>
        </w:rPr>
        <w:t> </w:t>
      </w:r>
      <w:r>
        <w:rPr/>
        <w:t>not</w:t>
      </w:r>
      <w:r>
        <w:rPr>
          <w:spacing w:val="-14"/>
        </w:rPr>
        <w:t> </w:t>
      </w:r>
      <w:r>
        <w:rPr/>
        <w:t>only</w:t>
      </w:r>
      <w:r>
        <w:rPr>
          <w:spacing w:val="-13"/>
        </w:rPr>
        <w:t> </w:t>
      </w:r>
      <w:r>
        <w:rPr/>
        <w:t>abandoned that</w:t>
      </w:r>
      <w:r>
        <w:rPr>
          <w:spacing w:val="-9"/>
        </w:rPr>
        <w:t> </w:t>
      </w:r>
      <w:r>
        <w:rPr/>
        <w:t>approach,</w:t>
      </w:r>
      <w:r>
        <w:rPr>
          <w:spacing w:val="-9"/>
        </w:rPr>
        <w:t> </w:t>
      </w:r>
      <w:r>
        <w:rPr/>
        <w:t>it</w:t>
      </w:r>
      <w:r>
        <w:rPr>
          <w:spacing w:val="-10"/>
        </w:rPr>
        <w:t> </w:t>
      </w:r>
      <w:r>
        <w:rPr/>
        <w:t>also</w:t>
      </w:r>
      <w:r>
        <w:rPr>
          <w:spacing w:val="-10"/>
        </w:rPr>
        <w:t> </w:t>
      </w:r>
      <w:r>
        <w:rPr/>
        <w:t>did</w:t>
      </w:r>
      <w:r>
        <w:rPr>
          <w:spacing w:val="-9"/>
        </w:rPr>
        <w:t> </w:t>
      </w:r>
      <w:r>
        <w:rPr/>
        <w:t>not</w:t>
      </w:r>
      <w:r>
        <w:rPr>
          <w:spacing w:val="-9"/>
        </w:rPr>
        <w:t> </w:t>
      </w:r>
      <w:r>
        <w:rPr/>
        <w:t>replace</w:t>
      </w:r>
      <w:r>
        <w:rPr>
          <w:spacing w:val="-9"/>
        </w:rPr>
        <w:t> </w:t>
      </w:r>
      <w:r>
        <w:rPr/>
        <w:t>it</w:t>
      </w:r>
      <w:r>
        <w:rPr>
          <w:spacing w:val="-9"/>
        </w:rPr>
        <w:t> </w:t>
      </w:r>
      <w:r>
        <w:rPr/>
        <w:t>with</w:t>
      </w:r>
      <w:r>
        <w:rPr>
          <w:spacing w:val="-9"/>
        </w:rPr>
        <w:t> </w:t>
      </w:r>
      <w:r>
        <w:rPr/>
        <w:t>a</w:t>
      </w:r>
      <w:r>
        <w:rPr>
          <w:spacing w:val="-10"/>
        </w:rPr>
        <w:t> </w:t>
      </w:r>
      <w:r>
        <w:rPr/>
        <w:t>differently</w:t>
      </w:r>
      <w:r>
        <w:rPr>
          <w:spacing w:val="-10"/>
        </w:rPr>
        <w:t> </w:t>
      </w:r>
      <w:r>
        <w:rPr/>
        <w:t>formulated</w:t>
      </w:r>
      <w:r>
        <w:rPr>
          <w:spacing w:val="-11"/>
        </w:rPr>
        <w:t> </w:t>
      </w:r>
      <w:r>
        <w:rPr/>
        <w:t>criterion</w:t>
      </w:r>
      <w:r>
        <w:rPr>
          <w:spacing w:val="-9"/>
        </w:rPr>
        <w:t> </w:t>
      </w:r>
      <w:r>
        <w:rPr/>
        <w:t>regarding decision-making capacity. This, alongside Parliament’s inclusion of specific provisions relating to decision-making capacity and/or informed consent elsewhere in the Act, demonstrates the absence of such an inclusion in the criteria governing compulsory Treatment Orders simply cannot be regarded as something that was inadvertently overlooked.</w:t>
      </w:r>
    </w:p>
    <w:p>
      <w:pPr>
        <w:pStyle w:val="BodyText"/>
        <w:spacing w:before="2"/>
        <w:rPr>
          <w:sz w:val="23"/>
        </w:rPr>
      </w:pPr>
    </w:p>
    <w:p>
      <w:pPr>
        <w:pStyle w:val="BodyText"/>
        <w:ind w:left="277" w:right="105"/>
        <w:jc w:val="both"/>
      </w:pPr>
      <w:r>
        <w:rPr/>
        <w:t>Additionally, the third condition identified in </w:t>
      </w:r>
      <w:r>
        <w:rPr>
          <w:i/>
          <w:sz w:val="25"/>
        </w:rPr>
        <w:t>Daniels’ </w:t>
      </w:r>
      <w:r>
        <w:rPr/>
        <w:t>case presents a further hurdle to the authors’ suggestion that decision-making capacity be incorporated into the Tribunal’s decision-making regarding compulsory Treatment Orders. As explained above,</w:t>
      </w:r>
      <w:r>
        <w:rPr>
          <w:spacing w:val="-18"/>
        </w:rPr>
        <w:t> </w:t>
      </w:r>
      <w:r>
        <w:rPr/>
        <w:t>the</w:t>
      </w:r>
      <w:r>
        <w:rPr>
          <w:spacing w:val="-19"/>
        </w:rPr>
        <w:t> </w:t>
      </w:r>
      <w:r>
        <w:rPr/>
        <w:t>Act</w:t>
      </w:r>
      <w:r>
        <w:rPr>
          <w:spacing w:val="-17"/>
        </w:rPr>
        <w:t> </w:t>
      </w:r>
      <w:r>
        <w:rPr/>
        <w:t>is</w:t>
      </w:r>
      <w:r>
        <w:rPr>
          <w:spacing w:val="-18"/>
        </w:rPr>
        <w:t> </w:t>
      </w:r>
      <w:r>
        <w:rPr/>
        <w:t>not</w:t>
      </w:r>
      <w:r>
        <w:rPr>
          <w:spacing w:val="-18"/>
        </w:rPr>
        <w:t> </w:t>
      </w:r>
      <w:r>
        <w:rPr/>
        <w:t>silent</w:t>
      </w:r>
      <w:r>
        <w:rPr>
          <w:spacing w:val="-17"/>
        </w:rPr>
        <w:t> </w:t>
      </w:r>
      <w:r>
        <w:rPr/>
        <w:t>in</w:t>
      </w:r>
      <w:r>
        <w:rPr>
          <w:spacing w:val="-17"/>
        </w:rPr>
        <w:t> </w:t>
      </w:r>
      <w:r>
        <w:rPr/>
        <w:t>relation</w:t>
      </w:r>
      <w:r>
        <w:rPr>
          <w:spacing w:val="-18"/>
        </w:rPr>
        <w:t> </w:t>
      </w:r>
      <w:r>
        <w:rPr/>
        <w:t>to</w:t>
      </w:r>
      <w:r>
        <w:rPr>
          <w:spacing w:val="-18"/>
        </w:rPr>
        <w:t> </w:t>
      </w:r>
      <w:r>
        <w:rPr/>
        <w:t>decision-making</w:t>
      </w:r>
      <w:r>
        <w:rPr>
          <w:spacing w:val="-18"/>
        </w:rPr>
        <w:t> </w:t>
      </w:r>
      <w:r>
        <w:rPr/>
        <w:t>capacity</w:t>
      </w:r>
      <w:r>
        <w:rPr>
          <w:spacing w:val="-17"/>
        </w:rPr>
        <w:t> </w:t>
      </w:r>
      <w:r>
        <w:rPr/>
        <w:t>and</w:t>
      </w:r>
      <w:r>
        <w:rPr>
          <w:spacing w:val="-17"/>
        </w:rPr>
        <w:t> </w:t>
      </w:r>
      <w:r>
        <w:rPr/>
        <w:t>informed</w:t>
      </w:r>
      <w:r>
        <w:rPr>
          <w:spacing w:val="-17"/>
        </w:rPr>
        <w:t> </w:t>
      </w:r>
      <w:r>
        <w:rPr/>
        <w:t>consent</w:t>
      </w:r>
    </w:p>
    <w:p>
      <w:pPr>
        <w:pStyle w:val="BodyText"/>
        <w:ind w:left="277" w:right="105"/>
        <w:jc w:val="both"/>
      </w:pPr>
      <w:r>
        <w:rPr/>
        <w:t>– these concepts are incorporated in various parts of the Act. But where they are the Act employs very different formulations or approaches.</w:t>
      </w:r>
      <w:hyperlink w:history="true" w:anchor="_bookmark12">
        <w:r>
          <w:rPr>
            <w:position w:val="8"/>
            <w:sz w:val="16"/>
          </w:rPr>
          <w:t>12</w:t>
        </w:r>
      </w:hyperlink>
      <w:r>
        <w:rPr>
          <w:position w:val="8"/>
          <w:sz w:val="16"/>
        </w:rPr>
        <w:t> </w:t>
      </w:r>
      <w:r>
        <w:rPr/>
        <w:t>Consequently, it would be impossible to conclude with the requisite degree of certainty what words or approach Parliament would have employed if it were to include decision-making capacity within the criteria governing the making of compulsory Treatment Orders.</w:t>
      </w:r>
    </w:p>
    <w:p>
      <w:pPr>
        <w:pStyle w:val="BodyText"/>
        <w:spacing w:before="5"/>
        <w:rPr>
          <w:sz w:val="23"/>
        </w:rPr>
      </w:pPr>
    </w:p>
    <w:p>
      <w:pPr>
        <w:spacing w:line="235" w:lineRule="auto" w:before="0"/>
        <w:ind w:left="277" w:right="106" w:firstLine="0"/>
        <w:jc w:val="both"/>
        <w:rPr>
          <w:sz w:val="24"/>
        </w:rPr>
      </w:pPr>
      <w:r>
        <w:rPr>
          <w:sz w:val="24"/>
        </w:rPr>
        <w:t>Thus, principles of statutory interpretation, including the implications of the </w:t>
      </w:r>
      <w:r>
        <w:rPr>
          <w:i/>
          <w:sz w:val="25"/>
        </w:rPr>
        <w:t>Charter</w:t>
      </w:r>
      <w:r>
        <w:rPr>
          <w:i/>
          <w:spacing w:val="-56"/>
          <w:sz w:val="25"/>
        </w:rPr>
        <w:t> </w:t>
      </w:r>
      <w:r>
        <w:rPr>
          <w:i/>
          <w:sz w:val="25"/>
        </w:rPr>
        <w:t>of Human</w:t>
      </w:r>
      <w:r>
        <w:rPr>
          <w:i/>
          <w:spacing w:val="-29"/>
          <w:sz w:val="25"/>
        </w:rPr>
        <w:t> </w:t>
      </w:r>
      <w:r>
        <w:rPr>
          <w:i/>
          <w:sz w:val="25"/>
        </w:rPr>
        <w:t>Rights</w:t>
      </w:r>
      <w:r>
        <w:rPr>
          <w:i/>
          <w:spacing w:val="-30"/>
          <w:sz w:val="25"/>
        </w:rPr>
        <w:t> </w:t>
      </w:r>
      <w:r>
        <w:rPr>
          <w:i/>
          <w:sz w:val="25"/>
        </w:rPr>
        <w:t>and</w:t>
      </w:r>
      <w:r>
        <w:rPr>
          <w:i/>
          <w:spacing w:val="-31"/>
          <w:sz w:val="25"/>
        </w:rPr>
        <w:t> </w:t>
      </w:r>
      <w:r>
        <w:rPr>
          <w:i/>
          <w:sz w:val="25"/>
        </w:rPr>
        <w:t>Responsibilities</w:t>
      </w:r>
      <w:r>
        <w:rPr>
          <w:i/>
          <w:spacing w:val="-31"/>
          <w:sz w:val="25"/>
        </w:rPr>
        <w:t> </w:t>
      </w:r>
      <w:r>
        <w:rPr>
          <w:i/>
          <w:sz w:val="25"/>
        </w:rPr>
        <w:t>Act</w:t>
      </w:r>
      <w:r>
        <w:rPr>
          <w:i/>
          <w:spacing w:val="-30"/>
          <w:sz w:val="25"/>
        </w:rPr>
        <w:t> </w:t>
      </w:r>
      <w:r>
        <w:rPr>
          <w:i/>
          <w:sz w:val="25"/>
        </w:rPr>
        <w:t>2006</w:t>
      </w:r>
      <w:r>
        <w:rPr>
          <w:i/>
          <w:spacing w:val="-29"/>
          <w:sz w:val="25"/>
        </w:rPr>
        <w:t> </w:t>
      </w:r>
      <w:r>
        <w:rPr>
          <w:sz w:val="24"/>
        </w:rPr>
        <w:t>(Vic),</w:t>
      </w:r>
      <w:hyperlink w:history="true" w:anchor="_bookmark13">
        <w:r>
          <w:rPr>
            <w:position w:val="8"/>
            <w:sz w:val="16"/>
          </w:rPr>
          <w:t>13</w:t>
        </w:r>
        <w:r>
          <w:rPr>
            <w:spacing w:val="-12"/>
            <w:position w:val="8"/>
            <w:sz w:val="16"/>
          </w:rPr>
          <w:t> </w:t>
        </w:r>
      </w:hyperlink>
      <w:r>
        <w:rPr>
          <w:sz w:val="24"/>
        </w:rPr>
        <w:t>do</w:t>
      </w:r>
      <w:r>
        <w:rPr>
          <w:spacing w:val="-27"/>
          <w:sz w:val="24"/>
        </w:rPr>
        <w:t> </w:t>
      </w:r>
      <w:r>
        <w:rPr>
          <w:sz w:val="24"/>
        </w:rPr>
        <w:t>not</w:t>
      </w:r>
      <w:r>
        <w:rPr>
          <w:spacing w:val="-26"/>
          <w:sz w:val="24"/>
        </w:rPr>
        <w:t> </w:t>
      </w:r>
      <w:r>
        <w:rPr>
          <w:sz w:val="24"/>
        </w:rPr>
        <w:t>support</w:t>
      </w:r>
      <w:r>
        <w:rPr>
          <w:spacing w:val="-26"/>
          <w:sz w:val="24"/>
        </w:rPr>
        <w:t> </w:t>
      </w:r>
      <w:r>
        <w:rPr>
          <w:sz w:val="24"/>
        </w:rPr>
        <w:t>reading</w:t>
      </w:r>
      <w:r>
        <w:rPr>
          <w:spacing w:val="-26"/>
          <w:sz w:val="24"/>
        </w:rPr>
        <w:t> </w:t>
      </w:r>
      <w:r>
        <w:rPr>
          <w:sz w:val="24"/>
        </w:rPr>
        <w:t>in</w:t>
      </w:r>
      <w:r>
        <w:rPr>
          <w:spacing w:val="-26"/>
          <w:sz w:val="24"/>
        </w:rPr>
        <w:t> </w:t>
      </w:r>
      <w:r>
        <w:rPr>
          <w:sz w:val="24"/>
        </w:rPr>
        <w:t>decision- making capacity to section 5 of the Act as contended by the</w:t>
      </w:r>
      <w:r>
        <w:rPr>
          <w:spacing w:val="-8"/>
          <w:sz w:val="24"/>
        </w:rPr>
        <w:t> </w:t>
      </w:r>
      <w:r>
        <w:rPr>
          <w:sz w:val="24"/>
        </w:rPr>
        <w:t>authors.</w:t>
      </w:r>
    </w:p>
    <w:p>
      <w:pPr>
        <w:pStyle w:val="BodyText"/>
        <w:spacing w:before="10"/>
        <w:rPr>
          <w:sz w:val="23"/>
        </w:rPr>
      </w:pPr>
    </w:p>
    <w:p>
      <w:pPr>
        <w:pStyle w:val="BodyText"/>
        <w:ind w:left="277" w:right="105"/>
        <w:jc w:val="both"/>
      </w:pPr>
      <w:r>
        <w:rPr/>
        <w:t>Consequently, it is unsurprising that the majority of Statements of Reasons published by the Tribunal which were examined by the authors did not refer to the ‘decision- making</w:t>
      </w:r>
      <w:r>
        <w:rPr>
          <w:spacing w:val="-7"/>
        </w:rPr>
        <w:t> </w:t>
      </w:r>
      <w:r>
        <w:rPr/>
        <w:t>capacity’</w:t>
      </w:r>
      <w:r>
        <w:rPr>
          <w:spacing w:val="-8"/>
        </w:rPr>
        <w:t> </w:t>
      </w:r>
      <w:r>
        <w:rPr/>
        <w:t>of</w:t>
      </w:r>
      <w:r>
        <w:rPr>
          <w:spacing w:val="-9"/>
        </w:rPr>
        <w:t> </w:t>
      </w:r>
      <w:r>
        <w:rPr/>
        <w:t>the</w:t>
      </w:r>
      <w:r>
        <w:rPr>
          <w:spacing w:val="-9"/>
        </w:rPr>
        <w:t> </w:t>
      </w:r>
      <w:r>
        <w:rPr/>
        <w:t>person.</w:t>
      </w:r>
      <w:r>
        <w:rPr>
          <w:spacing w:val="-9"/>
        </w:rPr>
        <w:t> </w:t>
      </w:r>
      <w:r>
        <w:rPr/>
        <w:t>In</w:t>
      </w:r>
      <w:r>
        <w:rPr>
          <w:spacing w:val="-9"/>
        </w:rPr>
        <w:t> </w:t>
      </w:r>
      <w:r>
        <w:rPr/>
        <w:t>summary,</w:t>
      </w:r>
      <w:r>
        <w:rPr>
          <w:spacing w:val="-7"/>
        </w:rPr>
        <w:t> </w:t>
      </w:r>
      <w:r>
        <w:rPr/>
        <w:t>this</w:t>
      </w:r>
      <w:r>
        <w:rPr>
          <w:spacing w:val="-8"/>
        </w:rPr>
        <w:t> </w:t>
      </w:r>
      <w:r>
        <w:rPr/>
        <w:t>is</w:t>
      </w:r>
      <w:r>
        <w:rPr>
          <w:spacing w:val="-9"/>
        </w:rPr>
        <w:t> </w:t>
      </w:r>
      <w:r>
        <w:rPr/>
        <w:t>not</w:t>
      </w:r>
      <w:r>
        <w:rPr>
          <w:spacing w:val="-8"/>
        </w:rPr>
        <w:t> </w:t>
      </w:r>
      <w:r>
        <w:rPr/>
        <w:t>a</w:t>
      </w:r>
      <w:r>
        <w:rPr>
          <w:spacing w:val="-10"/>
        </w:rPr>
        <w:t> </w:t>
      </w:r>
      <w:r>
        <w:rPr/>
        <w:t>relevant</w:t>
      </w:r>
      <w:r>
        <w:rPr>
          <w:spacing w:val="-8"/>
        </w:rPr>
        <w:t> </w:t>
      </w:r>
      <w:r>
        <w:rPr/>
        <w:t>criterion</w:t>
      </w:r>
      <w:r>
        <w:rPr>
          <w:spacing w:val="-9"/>
        </w:rPr>
        <w:t> </w:t>
      </w:r>
      <w:r>
        <w:rPr/>
        <w:t>listed</w:t>
      </w:r>
      <w:r>
        <w:rPr>
          <w:spacing w:val="-7"/>
        </w:rPr>
        <w:t> </w:t>
      </w:r>
      <w:r>
        <w:rPr/>
        <w:t>in</w:t>
      </w:r>
      <w:r>
        <w:rPr>
          <w:spacing w:val="-9"/>
        </w:rPr>
        <w:t> </w:t>
      </w:r>
      <w:r>
        <w:rPr/>
        <w:t>the Act nor is it legitimately imported by principles of statutory</w:t>
      </w:r>
      <w:r>
        <w:rPr>
          <w:spacing w:val="-11"/>
        </w:rPr>
        <w:t> </w:t>
      </w:r>
      <w:r>
        <w:rPr/>
        <w:t>interpretation.</w:t>
      </w:r>
    </w:p>
    <w:p>
      <w:pPr>
        <w:pStyle w:val="BodyText"/>
      </w:pPr>
    </w:p>
    <w:p>
      <w:pPr>
        <w:pStyle w:val="BodyText"/>
        <w:ind w:left="1564"/>
      </w:pPr>
      <w:r>
        <w:rPr/>
        <w:t>CONSIDERING THE VIEWS OF MENTAL HEALTH CONSUMERS</w:t>
      </w:r>
    </w:p>
    <w:p>
      <w:pPr>
        <w:pStyle w:val="BodyText"/>
      </w:pPr>
    </w:p>
    <w:p>
      <w:pPr>
        <w:pStyle w:val="BodyText"/>
        <w:spacing w:before="1"/>
        <w:ind w:left="278" w:right="106"/>
        <w:jc w:val="both"/>
      </w:pPr>
      <w:r>
        <w:rPr/>
        <w:t>It</w:t>
      </w:r>
      <w:r>
        <w:rPr>
          <w:spacing w:val="-6"/>
        </w:rPr>
        <w:t> </w:t>
      </w:r>
      <w:r>
        <w:rPr/>
        <w:t>is</w:t>
      </w:r>
      <w:r>
        <w:rPr>
          <w:spacing w:val="-6"/>
        </w:rPr>
        <w:t> </w:t>
      </w:r>
      <w:r>
        <w:rPr/>
        <w:t>important</w:t>
      </w:r>
      <w:r>
        <w:rPr>
          <w:spacing w:val="-6"/>
        </w:rPr>
        <w:t> </w:t>
      </w:r>
      <w:r>
        <w:rPr/>
        <w:t>to</w:t>
      </w:r>
      <w:r>
        <w:rPr>
          <w:spacing w:val="-6"/>
        </w:rPr>
        <w:t> </w:t>
      </w:r>
      <w:r>
        <w:rPr/>
        <w:t>note</w:t>
      </w:r>
      <w:r>
        <w:rPr>
          <w:spacing w:val="-6"/>
        </w:rPr>
        <w:t> </w:t>
      </w:r>
      <w:r>
        <w:rPr/>
        <w:t>that</w:t>
      </w:r>
      <w:r>
        <w:rPr>
          <w:spacing w:val="-5"/>
        </w:rPr>
        <w:t> </w:t>
      </w:r>
      <w:r>
        <w:rPr/>
        <w:t>although</w:t>
      </w:r>
      <w:r>
        <w:rPr>
          <w:spacing w:val="-6"/>
        </w:rPr>
        <w:t> </w:t>
      </w:r>
      <w:r>
        <w:rPr/>
        <w:t>the</w:t>
      </w:r>
      <w:r>
        <w:rPr>
          <w:spacing w:val="-7"/>
        </w:rPr>
        <w:t> </w:t>
      </w:r>
      <w:r>
        <w:rPr/>
        <w:t>Act</w:t>
      </w:r>
      <w:r>
        <w:rPr>
          <w:spacing w:val="-8"/>
        </w:rPr>
        <w:t> </w:t>
      </w:r>
      <w:r>
        <w:rPr/>
        <w:t>does</w:t>
      </w:r>
      <w:r>
        <w:rPr>
          <w:spacing w:val="-7"/>
        </w:rPr>
        <w:t> </w:t>
      </w:r>
      <w:r>
        <w:rPr/>
        <w:t>not</w:t>
      </w:r>
      <w:r>
        <w:rPr>
          <w:spacing w:val="-6"/>
        </w:rPr>
        <w:t> </w:t>
      </w:r>
      <w:r>
        <w:rPr/>
        <w:t>include</w:t>
      </w:r>
      <w:r>
        <w:rPr>
          <w:spacing w:val="-7"/>
        </w:rPr>
        <w:t> </w:t>
      </w:r>
      <w:r>
        <w:rPr/>
        <w:t>decision-making</w:t>
      </w:r>
      <w:r>
        <w:rPr>
          <w:spacing w:val="-7"/>
        </w:rPr>
        <w:t> </w:t>
      </w:r>
      <w:r>
        <w:rPr/>
        <w:t>capacity of the person as a requisite consideration for the making of compulsory Treatment Orders,</w:t>
      </w:r>
      <w:r>
        <w:rPr>
          <w:spacing w:val="10"/>
        </w:rPr>
        <w:t> </w:t>
      </w:r>
      <w:r>
        <w:rPr/>
        <w:t>the</w:t>
      </w:r>
      <w:r>
        <w:rPr>
          <w:spacing w:val="8"/>
        </w:rPr>
        <w:t> </w:t>
      </w:r>
      <w:r>
        <w:rPr/>
        <w:t>Act</w:t>
      </w:r>
      <w:r>
        <w:rPr>
          <w:spacing w:val="10"/>
        </w:rPr>
        <w:t> </w:t>
      </w:r>
      <w:r>
        <w:rPr/>
        <w:t>does</w:t>
      </w:r>
      <w:r>
        <w:rPr>
          <w:spacing w:val="8"/>
        </w:rPr>
        <w:t> </w:t>
      </w:r>
      <w:r>
        <w:rPr/>
        <w:t>not</w:t>
      </w:r>
      <w:r>
        <w:rPr>
          <w:spacing w:val="8"/>
        </w:rPr>
        <w:t> </w:t>
      </w:r>
      <w:r>
        <w:rPr/>
        <w:t>disregard</w:t>
      </w:r>
      <w:r>
        <w:rPr>
          <w:spacing w:val="10"/>
        </w:rPr>
        <w:t> </w:t>
      </w:r>
      <w:r>
        <w:rPr/>
        <w:t>the</w:t>
      </w:r>
      <w:r>
        <w:rPr>
          <w:spacing w:val="8"/>
        </w:rPr>
        <w:t> </w:t>
      </w:r>
      <w:r>
        <w:rPr/>
        <w:t>views</w:t>
      </w:r>
      <w:r>
        <w:rPr>
          <w:spacing w:val="10"/>
        </w:rPr>
        <w:t> </w:t>
      </w:r>
      <w:r>
        <w:rPr/>
        <w:t>and</w:t>
      </w:r>
      <w:r>
        <w:rPr>
          <w:spacing w:val="10"/>
        </w:rPr>
        <w:t> </w:t>
      </w:r>
      <w:r>
        <w:rPr/>
        <w:t>preferences</w:t>
      </w:r>
      <w:r>
        <w:rPr>
          <w:spacing w:val="10"/>
        </w:rPr>
        <w:t> </w:t>
      </w:r>
      <w:r>
        <w:rPr/>
        <w:t>of</w:t>
      </w:r>
      <w:r>
        <w:rPr>
          <w:spacing w:val="10"/>
        </w:rPr>
        <w:t> </w:t>
      </w:r>
      <w:r>
        <w:rPr/>
        <w:t>the</w:t>
      </w:r>
      <w:r>
        <w:rPr>
          <w:spacing w:val="10"/>
        </w:rPr>
        <w:t> </w:t>
      </w:r>
      <w:r>
        <w:rPr/>
        <w:t>person.</w:t>
      </w:r>
      <w:r>
        <w:rPr>
          <w:spacing w:val="10"/>
        </w:rPr>
        <w:t> </w:t>
      </w:r>
      <w:r>
        <w:rPr/>
        <w:t>Indeed,</w:t>
      </w:r>
    </w:p>
    <w:p>
      <w:pPr>
        <w:pStyle w:val="BodyText"/>
        <w:rPr>
          <w:sz w:val="28"/>
        </w:rPr>
      </w:pPr>
    </w:p>
    <w:p>
      <w:pPr>
        <w:spacing w:line="252" w:lineRule="exact" w:before="204"/>
        <w:ind w:left="101" w:right="0" w:firstLine="0"/>
        <w:jc w:val="left"/>
        <w:rPr>
          <w:sz w:val="20"/>
        </w:rPr>
      </w:pPr>
      <w:bookmarkStart w:name="_bookmark11" w:id="14"/>
      <w:bookmarkEnd w:id="14"/>
      <w:r>
        <w:rPr/>
      </w:r>
      <w:r>
        <w:rPr>
          <w:position w:val="7"/>
          <w:sz w:val="13"/>
        </w:rPr>
        <w:t>11 </w:t>
      </w:r>
      <w:r>
        <w:rPr>
          <w:i/>
          <w:sz w:val="21"/>
        </w:rPr>
        <w:t>Mental Health Act 1986 </w:t>
      </w:r>
      <w:r>
        <w:rPr>
          <w:sz w:val="20"/>
        </w:rPr>
        <w:t>(Vic) s 8(d).</w:t>
      </w:r>
    </w:p>
    <w:p>
      <w:pPr>
        <w:spacing w:before="0"/>
        <w:ind w:left="329" w:right="105" w:hanging="216"/>
        <w:jc w:val="both"/>
        <w:rPr>
          <w:sz w:val="20"/>
        </w:rPr>
      </w:pPr>
      <w:bookmarkStart w:name="_bookmark12" w:id="15"/>
      <w:bookmarkEnd w:id="15"/>
      <w:r>
        <w:rPr/>
      </w:r>
      <w:r>
        <w:rPr>
          <w:position w:val="7"/>
          <w:sz w:val="13"/>
        </w:rPr>
        <w:t>12 </w:t>
      </w:r>
      <w:r>
        <w:rPr>
          <w:sz w:val="20"/>
        </w:rPr>
        <w:t>For example, in some cases the Tribunal’s task is to determine whether the person has given informed consent rather than whether they have capacity to give informed consent (noting that capacity to give informed</w:t>
      </w:r>
      <w:r>
        <w:rPr>
          <w:spacing w:val="-15"/>
          <w:sz w:val="20"/>
        </w:rPr>
        <w:t> </w:t>
      </w:r>
      <w:r>
        <w:rPr>
          <w:sz w:val="20"/>
        </w:rPr>
        <w:t>consent</w:t>
      </w:r>
      <w:r>
        <w:rPr>
          <w:spacing w:val="-14"/>
          <w:sz w:val="20"/>
        </w:rPr>
        <w:t> </w:t>
      </w:r>
      <w:r>
        <w:rPr>
          <w:sz w:val="20"/>
        </w:rPr>
        <w:t>is</w:t>
      </w:r>
      <w:r>
        <w:rPr>
          <w:spacing w:val="-14"/>
          <w:sz w:val="20"/>
        </w:rPr>
        <w:t> </w:t>
      </w:r>
      <w:r>
        <w:rPr>
          <w:sz w:val="20"/>
        </w:rPr>
        <w:t>merely</w:t>
      </w:r>
      <w:r>
        <w:rPr>
          <w:spacing w:val="-15"/>
          <w:sz w:val="20"/>
        </w:rPr>
        <w:t> </w:t>
      </w:r>
      <w:r>
        <w:rPr>
          <w:sz w:val="20"/>
        </w:rPr>
        <w:t>one</w:t>
      </w:r>
      <w:r>
        <w:rPr>
          <w:spacing w:val="-14"/>
          <w:sz w:val="20"/>
        </w:rPr>
        <w:t> </w:t>
      </w:r>
      <w:r>
        <w:rPr>
          <w:sz w:val="20"/>
        </w:rPr>
        <w:t>of</w:t>
      </w:r>
      <w:r>
        <w:rPr>
          <w:spacing w:val="-15"/>
          <w:sz w:val="20"/>
        </w:rPr>
        <w:t> </w:t>
      </w:r>
      <w:r>
        <w:rPr>
          <w:sz w:val="20"/>
        </w:rPr>
        <w:t>the</w:t>
      </w:r>
      <w:r>
        <w:rPr>
          <w:spacing w:val="-14"/>
          <w:sz w:val="20"/>
        </w:rPr>
        <w:t> </w:t>
      </w:r>
      <w:r>
        <w:rPr>
          <w:sz w:val="20"/>
        </w:rPr>
        <w:t>requirements</w:t>
      </w:r>
      <w:r>
        <w:rPr>
          <w:spacing w:val="-15"/>
          <w:sz w:val="20"/>
        </w:rPr>
        <w:t> </w:t>
      </w:r>
      <w:r>
        <w:rPr>
          <w:sz w:val="20"/>
        </w:rPr>
        <w:t>of</w:t>
      </w:r>
      <w:r>
        <w:rPr>
          <w:spacing w:val="-15"/>
          <w:sz w:val="20"/>
        </w:rPr>
        <w:t> </w:t>
      </w:r>
      <w:r>
        <w:rPr>
          <w:sz w:val="20"/>
        </w:rPr>
        <w:t>informed</w:t>
      </w:r>
      <w:r>
        <w:rPr>
          <w:spacing w:val="-15"/>
          <w:sz w:val="20"/>
        </w:rPr>
        <w:t> </w:t>
      </w:r>
      <w:r>
        <w:rPr>
          <w:sz w:val="20"/>
        </w:rPr>
        <w:t>consent</w:t>
      </w:r>
      <w:r>
        <w:rPr>
          <w:spacing w:val="-14"/>
          <w:sz w:val="20"/>
        </w:rPr>
        <w:t> </w:t>
      </w:r>
      <w:r>
        <w:rPr>
          <w:sz w:val="20"/>
        </w:rPr>
        <w:t>(see</w:t>
      </w:r>
      <w:r>
        <w:rPr>
          <w:spacing w:val="-14"/>
          <w:sz w:val="20"/>
        </w:rPr>
        <w:t> </w:t>
      </w:r>
      <w:r>
        <w:rPr>
          <w:sz w:val="20"/>
        </w:rPr>
        <w:t>––</w:t>
      </w:r>
      <w:r>
        <w:rPr>
          <w:spacing w:val="35"/>
          <w:sz w:val="20"/>
        </w:rPr>
        <w:t> </w:t>
      </w:r>
      <w:r>
        <w:rPr>
          <w:sz w:val="20"/>
        </w:rPr>
        <w:t>s</w:t>
      </w:r>
      <w:r>
        <w:rPr>
          <w:spacing w:val="-14"/>
          <w:sz w:val="20"/>
        </w:rPr>
        <w:t> </w:t>
      </w:r>
      <w:r>
        <w:rPr>
          <w:sz w:val="20"/>
        </w:rPr>
        <w:t>69(1)(a))).</w:t>
      </w:r>
      <w:r>
        <w:rPr>
          <w:spacing w:val="-15"/>
          <w:sz w:val="20"/>
        </w:rPr>
        <w:t> </w:t>
      </w:r>
      <w:r>
        <w:rPr>
          <w:sz w:val="20"/>
        </w:rPr>
        <w:t>Examples of</w:t>
      </w:r>
      <w:r>
        <w:rPr>
          <w:spacing w:val="-6"/>
          <w:sz w:val="20"/>
        </w:rPr>
        <w:t> </w:t>
      </w:r>
      <w:r>
        <w:rPr>
          <w:sz w:val="20"/>
        </w:rPr>
        <w:t>such</w:t>
      </w:r>
      <w:r>
        <w:rPr>
          <w:spacing w:val="-6"/>
          <w:sz w:val="20"/>
        </w:rPr>
        <w:t> </w:t>
      </w:r>
      <w:r>
        <w:rPr>
          <w:sz w:val="20"/>
        </w:rPr>
        <w:t>sections</w:t>
      </w:r>
      <w:r>
        <w:rPr>
          <w:spacing w:val="-5"/>
          <w:sz w:val="20"/>
        </w:rPr>
        <w:t> </w:t>
      </w:r>
      <w:r>
        <w:rPr>
          <w:sz w:val="20"/>
        </w:rPr>
        <w:t>include:</w:t>
      </w:r>
      <w:r>
        <w:rPr>
          <w:spacing w:val="-6"/>
          <w:sz w:val="20"/>
        </w:rPr>
        <w:t> </w:t>
      </w:r>
      <w:r>
        <w:rPr>
          <w:sz w:val="20"/>
        </w:rPr>
        <w:t>s</w:t>
      </w:r>
      <w:r>
        <w:rPr>
          <w:spacing w:val="-6"/>
          <w:sz w:val="20"/>
        </w:rPr>
        <w:t> </w:t>
      </w:r>
      <w:r>
        <w:rPr>
          <w:sz w:val="20"/>
        </w:rPr>
        <w:t>102(2)(a)</w:t>
      </w:r>
      <w:r>
        <w:rPr>
          <w:spacing w:val="-6"/>
          <w:sz w:val="20"/>
        </w:rPr>
        <w:t> </w:t>
      </w:r>
      <w:r>
        <w:rPr>
          <w:sz w:val="20"/>
        </w:rPr>
        <w:t>pertaining</w:t>
      </w:r>
      <w:r>
        <w:rPr>
          <w:spacing w:val="-6"/>
          <w:sz w:val="20"/>
        </w:rPr>
        <w:t> </w:t>
      </w:r>
      <w:r>
        <w:rPr>
          <w:sz w:val="20"/>
        </w:rPr>
        <w:t>to</w:t>
      </w:r>
      <w:r>
        <w:rPr>
          <w:spacing w:val="-6"/>
          <w:sz w:val="20"/>
        </w:rPr>
        <w:t> </w:t>
      </w:r>
      <w:r>
        <w:rPr>
          <w:sz w:val="20"/>
        </w:rPr>
        <w:t>the</w:t>
      </w:r>
      <w:r>
        <w:rPr>
          <w:spacing w:val="-6"/>
          <w:sz w:val="20"/>
        </w:rPr>
        <w:t> </w:t>
      </w:r>
      <w:r>
        <w:rPr>
          <w:sz w:val="20"/>
        </w:rPr>
        <w:t>Tribunal’s</w:t>
      </w:r>
      <w:r>
        <w:rPr>
          <w:spacing w:val="-5"/>
          <w:sz w:val="20"/>
        </w:rPr>
        <w:t> </w:t>
      </w:r>
      <w:r>
        <w:rPr>
          <w:sz w:val="20"/>
        </w:rPr>
        <w:t>powers</w:t>
      </w:r>
      <w:r>
        <w:rPr>
          <w:spacing w:val="-5"/>
          <w:sz w:val="20"/>
        </w:rPr>
        <w:t> </w:t>
      </w:r>
      <w:r>
        <w:rPr>
          <w:sz w:val="20"/>
        </w:rPr>
        <w:t>in</w:t>
      </w:r>
      <w:r>
        <w:rPr>
          <w:spacing w:val="-6"/>
          <w:sz w:val="20"/>
        </w:rPr>
        <w:t> </w:t>
      </w:r>
      <w:r>
        <w:rPr>
          <w:sz w:val="20"/>
        </w:rPr>
        <w:t>respect</w:t>
      </w:r>
      <w:r>
        <w:rPr>
          <w:spacing w:val="-6"/>
          <w:sz w:val="20"/>
        </w:rPr>
        <w:t> </w:t>
      </w:r>
      <w:r>
        <w:rPr>
          <w:sz w:val="20"/>
        </w:rPr>
        <w:t>of</w:t>
      </w:r>
      <w:r>
        <w:rPr>
          <w:spacing w:val="-6"/>
          <w:sz w:val="20"/>
        </w:rPr>
        <w:t> </w:t>
      </w:r>
      <w:r>
        <w:rPr>
          <w:sz w:val="20"/>
        </w:rPr>
        <w:t>an</w:t>
      </w:r>
      <w:r>
        <w:rPr>
          <w:spacing w:val="-6"/>
          <w:sz w:val="20"/>
        </w:rPr>
        <w:t> </w:t>
      </w:r>
      <w:r>
        <w:rPr>
          <w:sz w:val="20"/>
        </w:rPr>
        <w:t>application</w:t>
      </w:r>
      <w:r>
        <w:rPr>
          <w:spacing w:val="-6"/>
          <w:sz w:val="20"/>
        </w:rPr>
        <w:t> </w:t>
      </w:r>
      <w:r>
        <w:rPr>
          <w:sz w:val="20"/>
        </w:rPr>
        <w:t>for neurosurgery for mental illness and s 96(2)(a)(i) relating to ECT applications involving young persons who</w:t>
      </w:r>
      <w:r>
        <w:rPr>
          <w:spacing w:val="-5"/>
          <w:sz w:val="20"/>
        </w:rPr>
        <w:t> </w:t>
      </w:r>
      <w:r>
        <w:rPr>
          <w:sz w:val="20"/>
        </w:rPr>
        <w:t>have</w:t>
      </w:r>
      <w:r>
        <w:rPr>
          <w:spacing w:val="-5"/>
          <w:sz w:val="20"/>
        </w:rPr>
        <w:t> </w:t>
      </w:r>
      <w:r>
        <w:rPr>
          <w:sz w:val="20"/>
        </w:rPr>
        <w:t>capacity</w:t>
      </w:r>
      <w:r>
        <w:rPr>
          <w:spacing w:val="-5"/>
          <w:sz w:val="20"/>
        </w:rPr>
        <w:t> </w:t>
      </w:r>
      <w:r>
        <w:rPr>
          <w:sz w:val="20"/>
        </w:rPr>
        <w:t>to</w:t>
      </w:r>
      <w:r>
        <w:rPr>
          <w:spacing w:val="-5"/>
          <w:sz w:val="20"/>
        </w:rPr>
        <w:t> </w:t>
      </w:r>
      <w:r>
        <w:rPr>
          <w:sz w:val="20"/>
        </w:rPr>
        <w:t>give</w:t>
      </w:r>
      <w:r>
        <w:rPr>
          <w:spacing w:val="-5"/>
          <w:sz w:val="20"/>
        </w:rPr>
        <w:t> </w:t>
      </w:r>
      <w:r>
        <w:rPr>
          <w:sz w:val="20"/>
        </w:rPr>
        <w:t>informed</w:t>
      </w:r>
      <w:r>
        <w:rPr>
          <w:spacing w:val="-5"/>
          <w:sz w:val="20"/>
        </w:rPr>
        <w:t> </w:t>
      </w:r>
      <w:r>
        <w:rPr>
          <w:sz w:val="20"/>
        </w:rPr>
        <w:t>consent.</w:t>
      </w:r>
      <w:r>
        <w:rPr>
          <w:spacing w:val="-4"/>
          <w:sz w:val="20"/>
        </w:rPr>
        <w:t> </w:t>
      </w:r>
      <w:r>
        <w:rPr>
          <w:sz w:val="20"/>
        </w:rPr>
        <w:t>In</w:t>
      </w:r>
      <w:r>
        <w:rPr>
          <w:spacing w:val="-5"/>
          <w:sz w:val="20"/>
        </w:rPr>
        <w:t> </w:t>
      </w:r>
      <w:r>
        <w:rPr>
          <w:sz w:val="20"/>
        </w:rPr>
        <w:t>other</w:t>
      </w:r>
      <w:r>
        <w:rPr>
          <w:spacing w:val="-6"/>
          <w:sz w:val="20"/>
        </w:rPr>
        <w:t> </w:t>
      </w:r>
      <w:r>
        <w:rPr>
          <w:sz w:val="20"/>
        </w:rPr>
        <w:t>cases,</w:t>
      </w:r>
      <w:r>
        <w:rPr>
          <w:spacing w:val="-4"/>
          <w:sz w:val="20"/>
        </w:rPr>
        <w:t> </w:t>
      </w:r>
      <w:r>
        <w:rPr>
          <w:sz w:val="20"/>
        </w:rPr>
        <w:t>the</w:t>
      </w:r>
      <w:r>
        <w:rPr>
          <w:spacing w:val="-5"/>
          <w:sz w:val="20"/>
        </w:rPr>
        <w:t> </w:t>
      </w:r>
      <w:r>
        <w:rPr>
          <w:sz w:val="20"/>
        </w:rPr>
        <w:t>test</w:t>
      </w:r>
      <w:r>
        <w:rPr>
          <w:spacing w:val="-5"/>
          <w:sz w:val="20"/>
        </w:rPr>
        <w:t> </w:t>
      </w:r>
      <w:r>
        <w:rPr>
          <w:sz w:val="20"/>
        </w:rPr>
        <w:t>the</w:t>
      </w:r>
      <w:r>
        <w:rPr>
          <w:spacing w:val="-5"/>
          <w:sz w:val="20"/>
        </w:rPr>
        <w:t> </w:t>
      </w:r>
      <w:r>
        <w:rPr>
          <w:sz w:val="20"/>
        </w:rPr>
        <w:t>Tribunal</w:t>
      </w:r>
      <w:r>
        <w:rPr>
          <w:spacing w:val="-6"/>
          <w:sz w:val="20"/>
        </w:rPr>
        <w:t> </w:t>
      </w:r>
      <w:r>
        <w:rPr>
          <w:sz w:val="20"/>
        </w:rPr>
        <w:t>must</w:t>
      </w:r>
      <w:r>
        <w:rPr>
          <w:spacing w:val="-5"/>
          <w:sz w:val="20"/>
        </w:rPr>
        <w:t> </w:t>
      </w:r>
      <w:r>
        <w:rPr>
          <w:sz w:val="20"/>
        </w:rPr>
        <w:t>apply</w:t>
      </w:r>
      <w:r>
        <w:rPr>
          <w:spacing w:val="-5"/>
          <w:sz w:val="20"/>
        </w:rPr>
        <w:t> </w:t>
      </w:r>
      <w:r>
        <w:rPr>
          <w:sz w:val="20"/>
        </w:rPr>
        <w:t>is</w:t>
      </w:r>
      <w:r>
        <w:rPr>
          <w:spacing w:val="-4"/>
          <w:sz w:val="20"/>
        </w:rPr>
        <w:t> </w:t>
      </w:r>
      <w:r>
        <w:rPr>
          <w:sz w:val="20"/>
        </w:rPr>
        <w:t>drafted in</w:t>
      </w:r>
      <w:r>
        <w:rPr>
          <w:spacing w:val="-14"/>
          <w:sz w:val="20"/>
        </w:rPr>
        <w:t> </w:t>
      </w:r>
      <w:r>
        <w:rPr>
          <w:sz w:val="20"/>
        </w:rPr>
        <w:t>terms</w:t>
      </w:r>
      <w:r>
        <w:rPr>
          <w:spacing w:val="-13"/>
          <w:sz w:val="20"/>
        </w:rPr>
        <w:t> </w:t>
      </w:r>
      <w:r>
        <w:rPr>
          <w:sz w:val="20"/>
        </w:rPr>
        <w:t>of</w:t>
      </w:r>
      <w:r>
        <w:rPr>
          <w:spacing w:val="-14"/>
          <w:sz w:val="20"/>
        </w:rPr>
        <w:t> </w:t>
      </w:r>
      <w:r>
        <w:rPr>
          <w:sz w:val="20"/>
        </w:rPr>
        <w:t>‘the</w:t>
      </w:r>
      <w:r>
        <w:rPr>
          <w:spacing w:val="-13"/>
          <w:sz w:val="20"/>
        </w:rPr>
        <w:t> </w:t>
      </w:r>
      <w:r>
        <w:rPr>
          <w:sz w:val="20"/>
        </w:rPr>
        <w:t>person</w:t>
      </w:r>
      <w:r>
        <w:rPr>
          <w:spacing w:val="-14"/>
          <w:sz w:val="20"/>
        </w:rPr>
        <w:t> </w:t>
      </w:r>
      <w:r>
        <w:rPr>
          <w:sz w:val="20"/>
        </w:rPr>
        <w:t>does</w:t>
      </w:r>
      <w:r>
        <w:rPr>
          <w:spacing w:val="-14"/>
          <w:sz w:val="20"/>
        </w:rPr>
        <w:t> </w:t>
      </w:r>
      <w:r>
        <w:rPr>
          <w:sz w:val="20"/>
        </w:rPr>
        <w:t>not</w:t>
      </w:r>
      <w:r>
        <w:rPr>
          <w:spacing w:val="-13"/>
          <w:sz w:val="20"/>
        </w:rPr>
        <w:t> </w:t>
      </w:r>
      <w:r>
        <w:rPr>
          <w:sz w:val="20"/>
        </w:rPr>
        <w:t>have</w:t>
      </w:r>
      <w:r>
        <w:rPr>
          <w:spacing w:val="-13"/>
          <w:sz w:val="20"/>
        </w:rPr>
        <w:t> </w:t>
      </w:r>
      <w:r>
        <w:rPr>
          <w:sz w:val="20"/>
        </w:rPr>
        <w:t>capacity</w:t>
      </w:r>
      <w:r>
        <w:rPr>
          <w:spacing w:val="-14"/>
          <w:sz w:val="20"/>
        </w:rPr>
        <w:t> </w:t>
      </w:r>
      <w:r>
        <w:rPr>
          <w:sz w:val="20"/>
        </w:rPr>
        <w:t>to</w:t>
      </w:r>
      <w:r>
        <w:rPr>
          <w:spacing w:val="-13"/>
          <w:sz w:val="20"/>
        </w:rPr>
        <w:t> </w:t>
      </w:r>
      <w:r>
        <w:rPr>
          <w:sz w:val="20"/>
        </w:rPr>
        <w:t>give</w:t>
      </w:r>
      <w:r>
        <w:rPr>
          <w:spacing w:val="-13"/>
          <w:sz w:val="20"/>
        </w:rPr>
        <w:t> </w:t>
      </w:r>
      <w:r>
        <w:rPr>
          <w:sz w:val="20"/>
        </w:rPr>
        <w:t>informed</w:t>
      </w:r>
      <w:r>
        <w:rPr>
          <w:spacing w:val="-14"/>
          <w:sz w:val="20"/>
        </w:rPr>
        <w:t> </w:t>
      </w:r>
      <w:r>
        <w:rPr>
          <w:sz w:val="20"/>
        </w:rPr>
        <w:t>consent</w:t>
      </w:r>
      <w:r>
        <w:rPr>
          <w:spacing w:val="-13"/>
          <w:sz w:val="20"/>
        </w:rPr>
        <w:t> </w:t>
      </w:r>
      <w:r>
        <w:rPr>
          <w:sz w:val="20"/>
        </w:rPr>
        <w:t>or</w:t>
      </w:r>
      <w:r>
        <w:rPr>
          <w:spacing w:val="-14"/>
          <w:sz w:val="20"/>
        </w:rPr>
        <w:t> </w:t>
      </w:r>
      <w:r>
        <w:rPr>
          <w:sz w:val="20"/>
        </w:rPr>
        <w:t>does</w:t>
      </w:r>
      <w:r>
        <w:rPr>
          <w:spacing w:val="-13"/>
          <w:sz w:val="20"/>
        </w:rPr>
        <w:t> </w:t>
      </w:r>
      <w:r>
        <w:rPr>
          <w:sz w:val="20"/>
        </w:rPr>
        <w:t>not</w:t>
      </w:r>
      <w:r>
        <w:rPr>
          <w:spacing w:val="-13"/>
          <w:sz w:val="20"/>
        </w:rPr>
        <w:t> </w:t>
      </w:r>
      <w:r>
        <w:rPr>
          <w:sz w:val="20"/>
        </w:rPr>
        <w:t>consent…’</w:t>
      </w:r>
      <w:r>
        <w:rPr>
          <w:spacing w:val="-15"/>
          <w:sz w:val="20"/>
        </w:rPr>
        <w:t> </w:t>
      </w:r>
      <w:r>
        <w:rPr>
          <w:sz w:val="20"/>
        </w:rPr>
        <w:t>Examples of such provisions are ss 321(4)(ii) and 323(4)(a)(ii) involving applications for interstate transfer for community patients and inpatients</w:t>
      </w:r>
      <w:r>
        <w:rPr>
          <w:spacing w:val="-3"/>
          <w:sz w:val="20"/>
        </w:rPr>
        <w:t> </w:t>
      </w:r>
      <w:r>
        <w:rPr>
          <w:sz w:val="20"/>
        </w:rPr>
        <w:t>respectively.</w:t>
      </w:r>
    </w:p>
    <w:p>
      <w:pPr>
        <w:spacing w:line="243" w:lineRule="exact" w:before="0"/>
        <w:ind w:left="101" w:right="0" w:firstLine="0"/>
        <w:jc w:val="left"/>
        <w:rPr>
          <w:sz w:val="20"/>
        </w:rPr>
      </w:pPr>
      <w:bookmarkStart w:name="_bookmark13" w:id="16"/>
      <w:bookmarkEnd w:id="16"/>
      <w:r>
        <w:rPr/>
      </w:r>
      <w:r>
        <w:rPr>
          <w:position w:val="7"/>
          <w:sz w:val="13"/>
        </w:rPr>
        <w:t>13 </w:t>
      </w:r>
      <w:r>
        <w:rPr>
          <w:sz w:val="20"/>
        </w:rPr>
        <w:t>See ––</w:t>
      </w:r>
      <w:r>
        <w:rPr>
          <w:i/>
          <w:sz w:val="21"/>
        </w:rPr>
        <w:t>Daniel’s </w:t>
      </w:r>
      <w:r>
        <w:rPr>
          <w:sz w:val="20"/>
        </w:rPr>
        <w:t>case, paras (7) and (8).</w:t>
      </w:r>
    </w:p>
    <w:p>
      <w:pPr>
        <w:spacing w:after="0" w:line="243" w:lineRule="exact"/>
        <w:jc w:val="left"/>
        <w:rPr>
          <w:sz w:val="20"/>
        </w:rPr>
        <w:sectPr>
          <w:headerReference w:type="default" r:id="rId9"/>
          <w:pgSz w:w="11910" w:h="16840"/>
          <w:pgMar w:header="1421" w:footer="523" w:top="1700" w:bottom="720" w:left="1060" w:right="1320"/>
        </w:sectPr>
      </w:pPr>
    </w:p>
    <w:p>
      <w:pPr>
        <w:pStyle w:val="BodyText"/>
        <w:spacing w:line="235" w:lineRule="auto" w:before="5"/>
        <w:ind w:left="277" w:right="106"/>
        <w:jc w:val="both"/>
        <w:rPr>
          <w:sz w:val="16"/>
        </w:rPr>
      </w:pPr>
      <w:r>
        <w:rPr/>
        <w:t>preferences</w:t>
      </w:r>
      <w:r>
        <w:rPr>
          <w:spacing w:val="-8"/>
        </w:rPr>
        <w:t> </w:t>
      </w:r>
      <w:r>
        <w:rPr/>
        <w:t>of</w:t>
      </w:r>
      <w:r>
        <w:rPr>
          <w:spacing w:val="-9"/>
        </w:rPr>
        <w:t> </w:t>
      </w:r>
      <w:r>
        <w:rPr/>
        <w:t>the</w:t>
      </w:r>
      <w:r>
        <w:rPr>
          <w:spacing w:val="-9"/>
        </w:rPr>
        <w:t> </w:t>
      </w:r>
      <w:r>
        <w:rPr/>
        <w:t>person</w:t>
      </w:r>
      <w:r>
        <w:rPr>
          <w:spacing w:val="-9"/>
        </w:rPr>
        <w:t> </w:t>
      </w:r>
      <w:r>
        <w:rPr/>
        <w:t>receiving</w:t>
      </w:r>
      <w:r>
        <w:rPr>
          <w:spacing w:val="-9"/>
        </w:rPr>
        <w:t> </w:t>
      </w:r>
      <w:r>
        <w:rPr/>
        <w:t>treatment</w:t>
      </w:r>
      <w:r>
        <w:rPr>
          <w:spacing w:val="-9"/>
        </w:rPr>
        <w:t> </w:t>
      </w:r>
      <w:r>
        <w:rPr/>
        <w:t>and</w:t>
      </w:r>
      <w:r>
        <w:rPr>
          <w:spacing w:val="-9"/>
        </w:rPr>
        <w:t> </w:t>
      </w:r>
      <w:r>
        <w:rPr/>
        <w:t>those</w:t>
      </w:r>
      <w:r>
        <w:rPr>
          <w:spacing w:val="-8"/>
        </w:rPr>
        <w:t> </w:t>
      </w:r>
      <w:r>
        <w:rPr/>
        <w:t>who</w:t>
      </w:r>
      <w:r>
        <w:rPr>
          <w:spacing w:val="-9"/>
        </w:rPr>
        <w:t> </w:t>
      </w:r>
      <w:r>
        <w:rPr/>
        <w:t>support</w:t>
      </w:r>
      <w:r>
        <w:rPr>
          <w:spacing w:val="-8"/>
        </w:rPr>
        <w:t> </w:t>
      </w:r>
      <w:r>
        <w:rPr/>
        <w:t>them.</w:t>
      </w:r>
      <w:hyperlink w:history="true" w:anchor="_bookmark14">
        <w:r>
          <w:rPr>
            <w:position w:val="8"/>
            <w:sz w:val="16"/>
          </w:rPr>
          <w:t>14</w:t>
        </w:r>
        <w:r>
          <w:rPr>
            <w:spacing w:val="-2"/>
            <w:position w:val="8"/>
            <w:sz w:val="16"/>
          </w:rPr>
          <w:t> </w:t>
        </w:r>
      </w:hyperlink>
      <w:r>
        <w:rPr/>
        <w:t>To</w:t>
      </w:r>
      <w:r>
        <w:rPr>
          <w:spacing w:val="-7"/>
        </w:rPr>
        <w:t> </w:t>
      </w:r>
      <w:r>
        <w:rPr/>
        <w:t>meet this</w:t>
      </w:r>
      <w:r>
        <w:rPr>
          <w:spacing w:val="-14"/>
        </w:rPr>
        <w:t> </w:t>
      </w:r>
      <w:r>
        <w:rPr/>
        <w:t>obligation</w:t>
      </w:r>
      <w:r>
        <w:rPr>
          <w:spacing w:val="-13"/>
        </w:rPr>
        <w:t> </w:t>
      </w:r>
      <w:r>
        <w:rPr/>
        <w:t>the</w:t>
      </w:r>
      <w:r>
        <w:rPr>
          <w:spacing w:val="-14"/>
        </w:rPr>
        <w:t> </w:t>
      </w:r>
      <w:r>
        <w:rPr/>
        <w:t>Tribunal</w:t>
      </w:r>
      <w:r>
        <w:rPr>
          <w:spacing w:val="-13"/>
        </w:rPr>
        <w:t> </w:t>
      </w:r>
      <w:r>
        <w:rPr/>
        <w:t>is</w:t>
      </w:r>
      <w:r>
        <w:rPr>
          <w:spacing w:val="-14"/>
        </w:rPr>
        <w:t> </w:t>
      </w:r>
      <w:r>
        <w:rPr/>
        <w:t>committed</w:t>
      </w:r>
      <w:r>
        <w:rPr>
          <w:spacing w:val="-13"/>
        </w:rPr>
        <w:t> </w:t>
      </w:r>
      <w:r>
        <w:rPr/>
        <w:t>to</w:t>
      </w:r>
      <w:r>
        <w:rPr>
          <w:spacing w:val="-13"/>
        </w:rPr>
        <w:t> </w:t>
      </w:r>
      <w:r>
        <w:rPr/>
        <w:t>conducting</w:t>
      </w:r>
      <w:r>
        <w:rPr>
          <w:spacing w:val="-12"/>
        </w:rPr>
        <w:t> </w:t>
      </w:r>
      <w:r>
        <w:rPr>
          <w:i/>
          <w:sz w:val="25"/>
        </w:rPr>
        <w:t>solution-focused</w:t>
      </w:r>
      <w:r>
        <w:rPr>
          <w:i/>
          <w:spacing w:val="45"/>
          <w:sz w:val="25"/>
        </w:rPr>
        <w:t> </w:t>
      </w:r>
      <w:r>
        <w:rPr/>
        <w:t>hearings.</w:t>
      </w:r>
      <w:r>
        <w:rPr>
          <w:spacing w:val="-13"/>
        </w:rPr>
        <w:t> </w:t>
      </w:r>
      <w:r>
        <w:rPr/>
        <w:t>The Tribunal’s</w:t>
      </w:r>
      <w:r>
        <w:rPr>
          <w:spacing w:val="-32"/>
        </w:rPr>
        <w:t> </w:t>
      </w:r>
      <w:r>
        <w:rPr>
          <w:i/>
          <w:sz w:val="25"/>
        </w:rPr>
        <w:t>Guide</w:t>
      </w:r>
      <w:r>
        <w:rPr>
          <w:i/>
          <w:spacing w:val="-35"/>
          <w:sz w:val="25"/>
        </w:rPr>
        <w:t> </w:t>
      </w:r>
      <w:r>
        <w:rPr>
          <w:i/>
          <w:sz w:val="25"/>
        </w:rPr>
        <w:t>to</w:t>
      </w:r>
      <w:r>
        <w:rPr>
          <w:i/>
          <w:spacing w:val="-34"/>
          <w:sz w:val="25"/>
        </w:rPr>
        <w:t> </w:t>
      </w:r>
      <w:r>
        <w:rPr>
          <w:i/>
          <w:sz w:val="25"/>
        </w:rPr>
        <w:t>Solution-Focused</w:t>
      </w:r>
      <w:r>
        <w:rPr>
          <w:i/>
          <w:spacing w:val="-34"/>
          <w:sz w:val="25"/>
        </w:rPr>
        <w:t> </w:t>
      </w:r>
      <w:r>
        <w:rPr>
          <w:i/>
          <w:sz w:val="25"/>
        </w:rPr>
        <w:t>Hearings</w:t>
      </w:r>
      <w:r>
        <w:rPr>
          <w:i/>
          <w:spacing w:val="-35"/>
          <w:sz w:val="25"/>
        </w:rPr>
        <w:t> </w:t>
      </w:r>
      <w:r>
        <w:rPr>
          <w:i/>
          <w:sz w:val="25"/>
        </w:rPr>
        <w:t>in</w:t>
      </w:r>
      <w:r>
        <w:rPr>
          <w:i/>
          <w:spacing w:val="-34"/>
          <w:sz w:val="25"/>
        </w:rPr>
        <w:t> </w:t>
      </w:r>
      <w:r>
        <w:rPr>
          <w:i/>
          <w:sz w:val="25"/>
        </w:rPr>
        <w:t>the</w:t>
      </w:r>
      <w:r>
        <w:rPr>
          <w:i/>
          <w:spacing w:val="-35"/>
          <w:sz w:val="25"/>
        </w:rPr>
        <w:t> </w:t>
      </w:r>
      <w:r>
        <w:rPr>
          <w:i/>
          <w:sz w:val="25"/>
        </w:rPr>
        <w:t>Mental</w:t>
      </w:r>
      <w:r>
        <w:rPr>
          <w:i/>
          <w:spacing w:val="-34"/>
          <w:sz w:val="25"/>
        </w:rPr>
        <w:t> </w:t>
      </w:r>
      <w:r>
        <w:rPr>
          <w:i/>
          <w:sz w:val="25"/>
        </w:rPr>
        <w:t>Health</w:t>
      </w:r>
      <w:r>
        <w:rPr>
          <w:i/>
          <w:spacing w:val="-34"/>
          <w:sz w:val="25"/>
        </w:rPr>
        <w:t> </w:t>
      </w:r>
      <w:r>
        <w:rPr>
          <w:i/>
          <w:sz w:val="25"/>
        </w:rPr>
        <w:t>Tribunal</w:t>
      </w:r>
      <w:r>
        <w:rPr>
          <w:i/>
          <w:spacing w:val="-28"/>
          <w:sz w:val="25"/>
        </w:rPr>
        <w:t> </w:t>
      </w:r>
      <w:hyperlink w:history="true" w:anchor="_bookmark15">
        <w:r>
          <w:rPr>
            <w:position w:val="8"/>
            <w:sz w:val="16"/>
          </w:rPr>
          <w:t>15</w:t>
        </w:r>
        <w:r>
          <w:rPr>
            <w:spacing w:val="-18"/>
            <w:position w:val="8"/>
            <w:sz w:val="16"/>
          </w:rPr>
          <w:t> </w:t>
        </w:r>
      </w:hyperlink>
      <w:r>
        <w:rPr/>
        <w:t>is</w:t>
      </w:r>
      <w:r>
        <w:rPr>
          <w:spacing w:val="-32"/>
        </w:rPr>
        <w:t> </w:t>
      </w:r>
      <w:r>
        <w:rPr/>
        <w:t>based on</w:t>
      </w:r>
      <w:r>
        <w:rPr>
          <w:spacing w:val="-7"/>
        </w:rPr>
        <w:t> </w:t>
      </w:r>
      <w:r>
        <w:rPr/>
        <w:t>the</w:t>
      </w:r>
      <w:r>
        <w:rPr>
          <w:spacing w:val="-8"/>
        </w:rPr>
        <w:t> </w:t>
      </w:r>
      <w:r>
        <w:rPr/>
        <w:t>work</w:t>
      </w:r>
      <w:r>
        <w:rPr>
          <w:spacing w:val="-7"/>
        </w:rPr>
        <w:t> </w:t>
      </w:r>
      <w:r>
        <w:rPr/>
        <w:t>of</w:t>
      </w:r>
      <w:r>
        <w:rPr>
          <w:spacing w:val="-7"/>
        </w:rPr>
        <w:t> </w:t>
      </w:r>
      <w:r>
        <w:rPr/>
        <w:t>Dr</w:t>
      </w:r>
      <w:r>
        <w:rPr>
          <w:spacing w:val="-9"/>
        </w:rPr>
        <w:t> </w:t>
      </w:r>
      <w:r>
        <w:rPr/>
        <w:t>Michael</w:t>
      </w:r>
      <w:r>
        <w:rPr>
          <w:spacing w:val="-8"/>
        </w:rPr>
        <w:t> </w:t>
      </w:r>
      <w:r>
        <w:rPr/>
        <w:t>King,</w:t>
      </w:r>
      <w:r>
        <w:rPr>
          <w:spacing w:val="-10"/>
        </w:rPr>
        <w:t> </w:t>
      </w:r>
      <w:r>
        <w:rPr/>
        <w:t>a</w:t>
      </w:r>
      <w:r>
        <w:rPr>
          <w:spacing w:val="-8"/>
        </w:rPr>
        <w:t> </w:t>
      </w:r>
      <w:r>
        <w:rPr/>
        <w:t>former</w:t>
      </w:r>
      <w:r>
        <w:rPr>
          <w:spacing w:val="-8"/>
        </w:rPr>
        <w:t> </w:t>
      </w:r>
      <w:r>
        <w:rPr/>
        <w:t>West</w:t>
      </w:r>
      <w:r>
        <w:rPr>
          <w:spacing w:val="-8"/>
        </w:rPr>
        <w:t> </w:t>
      </w:r>
      <w:r>
        <w:rPr/>
        <w:t>Australian</w:t>
      </w:r>
      <w:r>
        <w:rPr>
          <w:spacing w:val="-7"/>
        </w:rPr>
        <w:t> </w:t>
      </w:r>
      <w:r>
        <w:rPr/>
        <w:t>and</w:t>
      </w:r>
      <w:r>
        <w:rPr>
          <w:spacing w:val="-9"/>
        </w:rPr>
        <w:t> </w:t>
      </w:r>
      <w:r>
        <w:rPr/>
        <w:t>now</w:t>
      </w:r>
      <w:r>
        <w:rPr>
          <w:spacing w:val="-8"/>
        </w:rPr>
        <w:t> </w:t>
      </w:r>
      <w:r>
        <w:rPr/>
        <w:t>Victorian</w:t>
      </w:r>
      <w:r>
        <w:rPr>
          <w:spacing w:val="-8"/>
        </w:rPr>
        <w:t> </w:t>
      </w:r>
      <w:r>
        <w:rPr/>
        <w:t>Magistrate who has been instrumental in articulating a framework of practice for the specialist ‘problem-solving’ lists in Magistrates’</w:t>
      </w:r>
      <w:r>
        <w:rPr>
          <w:spacing w:val="-4"/>
        </w:rPr>
        <w:t> </w:t>
      </w:r>
      <w:r>
        <w:rPr/>
        <w:t>Courts.</w:t>
      </w:r>
      <w:hyperlink w:history="true" w:anchor="_bookmark16">
        <w:r>
          <w:rPr>
            <w:position w:val="8"/>
            <w:sz w:val="16"/>
          </w:rPr>
          <w:t>16</w:t>
        </w:r>
      </w:hyperlink>
    </w:p>
    <w:p>
      <w:pPr>
        <w:pStyle w:val="BodyText"/>
        <w:spacing w:before="6"/>
      </w:pPr>
    </w:p>
    <w:p>
      <w:pPr>
        <w:pStyle w:val="BodyText"/>
        <w:ind w:left="277" w:right="106"/>
        <w:jc w:val="both"/>
        <w:rPr>
          <w:sz w:val="16"/>
        </w:rPr>
      </w:pPr>
      <w:r>
        <w:rPr/>
        <w:t>A</w:t>
      </w:r>
      <w:r>
        <w:rPr>
          <w:spacing w:val="-9"/>
        </w:rPr>
        <w:t> </w:t>
      </w:r>
      <w:r>
        <w:rPr/>
        <w:t>solution-focused</w:t>
      </w:r>
      <w:r>
        <w:rPr>
          <w:spacing w:val="-8"/>
        </w:rPr>
        <w:t> </w:t>
      </w:r>
      <w:r>
        <w:rPr/>
        <w:t>approach</w:t>
      </w:r>
      <w:r>
        <w:rPr>
          <w:spacing w:val="-8"/>
        </w:rPr>
        <w:t> </w:t>
      </w:r>
      <w:r>
        <w:rPr/>
        <w:t>recognises</w:t>
      </w:r>
      <w:r>
        <w:rPr>
          <w:spacing w:val="-9"/>
        </w:rPr>
        <w:t> </w:t>
      </w:r>
      <w:r>
        <w:rPr/>
        <w:t>that</w:t>
      </w:r>
      <w:r>
        <w:rPr>
          <w:spacing w:val="-10"/>
        </w:rPr>
        <w:t> </w:t>
      </w:r>
      <w:r>
        <w:rPr/>
        <w:t>a</w:t>
      </w:r>
      <w:r>
        <w:rPr>
          <w:spacing w:val="-9"/>
        </w:rPr>
        <w:t> </w:t>
      </w:r>
      <w:r>
        <w:rPr/>
        <w:t>unique</w:t>
      </w:r>
      <w:r>
        <w:rPr>
          <w:spacing w:val="-9"/>
        </w:rPr>
        <w:t> </w:t>
      </w:r>
      <w:r>
        <w:rPr/>
        <w:t>series</w:t>
      </w:r>
      <w:r>
        <w:rPr>
          <w:spacing w:val="-9"/>
        </w:rPr>
        <w:t> </w:t>
      </w:r>
      <w:r>
        <w:rPr/>
        <w:t>of</w:t>
      </w:r>
      <w:r>
        <w:rPr>
          <w:spacing w:val="-10"/>
        </w:rPr>
        <w:t> </w:t>
      </w:r>
      <w:r>
        <w:rPr/>
        <w:t>experiences</w:t>
      </w:r>
      <w:r>
        <w:rPr>
          <w:spacing w:val="-9"/>
        </w:rPr>
        <w:t> </w:t>
      </w:r>
      <w:r>
        <w:rPr/>
        <w:t>and</w:t>
      </w:r>
      <w:r>
        <w:rPr>
          <w:spacing w:val="-10"/>
        </w:rPr>
        <w:t> </w:t>
      </w:r>
      <w:r>
        <w:rPr/>
        <w:t>events precedes a person being a compulsory patient at a particular point in time, and if they are</w:t>
      </w:r>
      <w:r>
        <w:rPr>
          <w:spacing w:val="-12"/>
        </w:rPr>
        <w:t> </w:t>
      </w:r>
      <w:r>
        <w:rPr/>
        <w:t>willing</w:t>
      </w:r>
      <w:r>
        <w:rPr>
          <w:spacing w:val="-13"/>
        </w:rPr>
        <w:t> </w:t>
      </w:r>
      <w:r>
        <w:rPr/>
        <w:t>or</w:t>
      </w:r>
      <w:r>
        <w:rPr>
          <w:spacing w:val="-11"/>
        </w:rPr>
        <w:t> </w:t>
      </w:r>
      <w:r>
        <w:rPr/>
        <w:t>wish</w:t>
      </w:r>
      <w:r>
        <w:rPr>
          <w:spacing w:val="-13"/>
        </w:rPr>
        <w:t> </w:t>
      </w:r>
      <w:r>
        <w:rPr/>
        <w:t>to</w:t>
      </w:r>
      <w:r>
        <w:rPr>
          <w:spacing w:val="-12"/>
        </w:rPr>
        <w:t> </w:t>
      </w:r>
      <w:r>
        <w:rPr/>
        <w:t>explain</w:t>
      </w:r>
      <w:r>
        <w:rPr>
          <w:spacing w:val="-12"/>
        </w:rPr>
        <w:t> </w:t>
      </w:r>
      <w:r>
        <w:rPr/>
        <w:t>some</w:t>
      </w:r>
      <w:r>
        <w:rPr>
          <w:spacing w:val="-12"/>
        </w:rPr>
        <w:t> </w:t>
      </w:r>
      <w:r>
        <w:rPr/>
        <w:t>of</w:t>
      </w:r>
      <w:r>
        <w:rPr>
          <w:spacing w:val="-13"/>
        </w:rPr>
        <w:t> </w:t>
      </w:r>
      <w:r>
        <w:rPr/>
        <w:t>that,</w:t>
      </w:r>
      <w:r>
        <w:rPr>
          <w:spacing w:val="-12"/>
        </w:rPr>
        <w:t> </w:t>
      </w:r>
      <w:r>
        <w:rPr/>
        <w:t>it</w:t>
      </w:r>
      <w:r>
        <w:rPr>
          <w:spacing w:val="-14"/>
        </w:rPr>
        <w:t> </w:t>
      </w:r>
      <w:r>
        <w:rPr/>
        <w:t>is</w:t>
      </w:r>
      <w:r>
        <w:rPr>
          <w:spacing w:val="-12"/>
        </w:rPr>
        <w:t> </w:t>
      </w:r>
      <w:r>
        <w:rPr/>
        <w:t>relevant</w:t>
      </w:r>
      <w:r>
        <w:rPr>
          <w:spacing w:val="-14"/>
        </w:rPr>
        <w:t> </w:t>
      </w:r>
      <w:r>
        <w:rPr/>
        <w:t>and</w:t>
      </w:r>
      <w:r>
        <w:rPr>
          <w:spacing w:val="-12"/>
        </w:rPr>
        <w:t> </w:t>
      </w:r>
      <w:r>
        <w:rPr/>
        <w:t>important</w:t>
      </w:r>
      <w:r>
        <w:rPr>
          <w:spacing w:val="-12"/>
        </w:rPr>
        <w:t> </w:t>
      </w:r>
      <w:r>
        <w:rPr/>
        <w:t>for</w:t>
      </w:r>
      <w:r>
        <w:rPr>
          <w:spacing w:val="-13"/>
        </w:rPr>
        <w:t> </w:t>
      </w:r>
      <w:r>
        <w:rPr/>
        <w:t>them</w:t>
      </w:r>
      <w:r>
        <w:rPr>
          <w:spacing w:val="-11"/>
        </w:rPr>
        <w:t> </w:t>
      </w:r>
      <w:r>
        <w:rPr/>
        <w:t>to</w:t>
      </w:r>
      <w:r>
        <w:rPr>
          <w:spacing w:val="-12"/>
        </w:rPr>
        <w:t> </w:t>
      </w:r>
      <w:r>
        <w:rPr/>
        <w:t>have the opportunity to do so. A solution-focused approach also challenges everyone to remember that compulsory treatment should never be regarded as an ongoing norm for any individual. Where possible there should be exploration of a pathway to less restriction and greater autonomy for individuals – including what voluntariness truly means in the context of each person’s circumstances, taking into account that people should be allowed to make decisions that involve a degree of</w:t>
      </w:r>
      <w:r>
        <w:rPr>
          <w:spacing w:val="-7"/>
        </w:rPr>
        <w:t> </w:t>
      </w:r>
      <w:r>
        <w:rPr/>
        <w:t>risk.</w:t>
      </w:r>
      <w:hyperlink w:history="true" w:anchor="_bookmark17">
        <w:r>
          <w:rPr>
            <w:position w:val="8"/>
            <w:sz w:val="16"/>
          </w:rPr>
          <w:t>17</w:t>
        </w:r>
      </w:hyperlink>
    </w:p>
    <w:p>
      <w:pPr>
        <w:pStyle w:val="BodyText"/>
      </w:pPr>
    </w:p>
    <w:p>
      <w:pPr>
        <w:pStyle w:val="BodyText"/>
        <w:ind w:left="277" w:right="105"/>
        <w:jc w:val="both"/>
      </w:pPr>
      <w:r>
        <w:rPr/>
        <w:t>An</w:t>
      </w:r>
      <w:r>
        <w:rPr>
          <w:spacing w:val="-14"/>
        </w:rPr>
        <w:t> </w:t>
      </w:r>
      <w:r>
        <w:rPr/>
        <w:t>important</w:t>
      </w:r>
      <w:r>
        <w:rPr>
          <w:spacing w:val="-15"/>
        </w:rPr>
        <w:t> </w:t>
      </w:r>
      <w:r>
        <w:rPr/>
        <w:t>clarification</w:t>
      </w:r>
      <w:r>
        <w:rPr>
          <w:spacing w:val="-14"/>
        </w:rPr>
        <w:t> </w:t>
      </w:r>
      <w:r>
        <w:rPr/>
        <w:t>regarding</w:t>
      </w:r>
      <w:r>
        <w:rPr>
          <w:spacing w:val="-13"/>
        </w:rPr>
        <w:t> </w:t>
      </w:r>
      <w:r>
        <w:rPr/>
        <w:t>solution-focused</w:t>
      </w:r>
      <w:r>
        <w:rPr>
          <w:spacing w:val="-14"/>
        </w:rPr>
        <w:t> </w:t>
      </w:r>
      <w:r>
        <w:rPr/>
        <w:t>hearings</w:t>
      </w:r>
      <w:r>
        <w:rPr>
          <w:spacing w:val="-15"/>
        </w:rPr>
        <w:t> </w:t>
      </w:r>
      <w:r>
        <w:rPr/>
        <w:t>is</w:t>
      </w:r>
      <w:r>
        <w:rPr>
          <w:spacing w:val="-15"/>
        </w:rPr>
        <w:t> </w:t>
      </w:r>
      <w:r>
        <w:rPr/>
        <w:t>that</w:t>
      </w:r>
      <w:r>
        <w:rPr>
          <w:spacing w:val="-15"/>
        </w:rPr>
        <w:t> </w:t>
      </w:r>
      <w:r>
        <w:rPr/>
        <w:t>the</w:t>
      </w:r>
      <w:r>
        <w:rPr>
          <w:spacing w:val="-14"/>
        </w:rPr>
        <w:t> </w:t>
      </w:r>
      <w:r>
        <w:rPr/>
        <w:t>Tribunal</w:t>
      </w:r>
      <w:r>
        <w:rPr>
          <w:spacing w:val="-15"/>
        </w:rPr>
        <w:t> </w:t>
      </w:r>
      <w:r>
        <w:rPr/>
        <w:t>is</w:t>
      </w:r>
      <w:r>
        <w:rPr>
          <w:spacing w:val="-15"/>
        </w:rPr>
        <w:t> </w:t>
      </w:r>
      <w:r>
        <w:rPr/>
        <w:t>not to</w:t>
      </w:r>
      <w:r>
        <w:rPr>
          <w:spacing w:val="-19"/>
        </w:rPr>
        <w:t> </w:t>
      </w:r>
      <w:r>
        <w:rPr/>
        <w:t>be</w:t>
      </w:r>
      <w:r>
        <w:rPr>
          <w:spacing w:val="-20"/>
        </w:rPr>
        <w:t> </w:t>
      </w:r>
      <w:r>
        <w:rPr/>
        <w:t>regarded</w:t>
      </w:r>
      <w:r>
        <w:rPr>
          <w:spacing w:val="-19"/>
        </w:rPr>
        <w:t> </w:t>
      </w:r>
      <w:r>
        <w:rPr/>
        <w:t>as</w:t>
      </w:r>
      <w:r>
        <w:rPr>
          <w:spacing w:val="-20"/>
        </w:rPr>
        <w:t> </w:t>
      </w:r>
      <w:r>
        <w:rPr/>
        <w:t>the</w:t>
      </w:r>
      <w:r>
        <w:rPr>
          <w:spacing w:val="-21"/>
        </w:rPr>
        <w:t> </w:t>
      </w:r>
      <w:r>
        <w:rPr/>
        <w:t>source</w:t>
      </w:r>
      <w:r>
        <w:rPr>
          <w:spacing w:val="-19"/>
        </w:rPr>
        <w:t> </w:t>
      </w:r>
      <w:r>
        <w:rPr/>
        <w:t>of</w:t>
      </w:r>
      <w:r>
        <w:rPr>
          <w:spacing w:val="-19"/>
        </w:rPr>
        <w:t> </w:t>
      </w:r>
      <w:r>
        <w:rPr/>
        <w:t>solutions.</w:t>
      </w:r>
      <w:r>
        <w:rPr>
          <w:spacing w:val="-19"/>
        </w:rPr>
        <w:t> </w:t>
      </w:r>
      <w:r>
        <w:rPr/>
        <w:t>Rather</w:t>
      </w:r>
      <w:r>
        <w:rPr>
          <w:spacing w:val="-18"/>
        </w:rPr>
        <w:t> </w:t>
      </w:r>
      <w:r>
        <w:rPr/>
        <w:t>a</w:t>
      </w:r>
      <w:r>
        <w:rPr>
          <w:spacing w:val="-20"/>
        </w:rPr>
        <w:t> </w:t>
      </w:r>
      <w:r>
        <w:rPr/>
        <w:t>solution-focused</w:t>
      </w:r>
      <w:r>
        <w:rPr>
          <w:spacing w:val="-18"/>
        </w:rPr>
        <w:t> </w:t>
      </w:r>
      <w:r>
        <w:rPr/>
        <w:t>approach</w:t>
      </w:r>
      <w:r>
        <w:rPr>
          <w:spacing w:val="-19"/>
        </w:rPr>
        <w:t> </w:t>
      </w:r>
      <w:r>
        <w:rPr/>
        <w:t>facilitates a</w:t>
      </w:r>
      <w:r>
        <w:rPr>
          <w:spacing w:val="-11"/>
        </w:rPr>
        <w:t> </w:t>
      </w:r>
      <w:r>
        <w:rPr/>
        <w:t>process</w:t>
      </w:r>
      <w:r>
        <w:rPr>
          <w:spacing w:val="-11"/>
        </w:rPr>
        <w:t> </w:t>
      </w:r>
      <w:r>
        <w:rPr/>
        <w:t>that</w:t>
      </w:r>
      <w:r>
        <w:rPr>
          <w:spacing w:val="-11"/>
        </w:rPr>
        <w:t> </w:t>
      </w:r>
      <w:r>
        <w:rPr/>
        <w:t>can</w:t>
      </w:r>
      <w:r>
        <w:rPr>
          <w:spacing w:val="-11"/>
        </w:rPr>
        <w:t> </w:t>
      </w:r>
      <w:r>
        <w:rPr/>
        <w:t>provide</w:t>
      </w:r>
      <w:r>
        <w:rPr>
          <w:spacing w:val="-12"/>
        </w:rPr>
        <w:t> </w:t>
      </w:r>
      <w:r>
        <w:rPr/>
        <w:t>an</w:t>
      </w:r>
      <w:r>
        <w:rPr>
          <w:spacing w:val="-11"/>
        </w:rPr>
        <w:t> </w:t>
      </w:r>
      <w:r>
        <w:rPr/>
        <w:t>opportunity</w:t>
      </w:r>
      <w:r>
        <w:rPr>
          <w:spacing w:val="-12"/>
        </w:rPr>
        <w:t> </w:t>
      </w:r>
      <w:r>
        <w:rPr/>
        <w:t>for</w:t>
      </w:r>
      <w:r>
        <w:rPr>
          <w:spacing w:val="-11"/>
        </w:rPr>
        <w:t> </w:t>
      </w:r>
      <w:r>
        <w:rPr/>
        <w:t>those</w:t>
      </w:r>
      <w:r>
        <w:rPr>
          <w:spacing w:val="-11"/>
        </w:rPr>
        <w:t> </w:t>
      </w:r>
      <w:r>
        <w:rPr/>
        <w:t>involved</w:t>
      </w:r>
      <w:r>
        <w:rPr>
          <w:spacing w:val="-11"/>
        </w:rPr>
        <w:t> </w:t>
      </w:r>
      <w:r>
        <w:rPr/>
        <w:t>in</w:t>
      </w:r>
      <w:r>
        <w:rPr>
          <w:spacing w:val="-11"/>
        </w:rPr>
        <w:t> </w:t>
      </w:r>
      <w:r>
        <w:rPr/>
        <w:t>hearings</w:t>
      </w:r>
      <w:r>
        <w:rPr>
          <w:spacing w:val="-12"/>
        </w:rPr>
        <w:t> </w:t>
      </w:r>
      <w:r>
        <w:rPr/>
        <w:t>(mental</w:t>
      </w:r>
      <w:r>
        <w:rPr>
          <w:spacing w:val="-11"/>
        </w:rPr>
        <w:t> </w:t>
      </w:r>
      <w:r>
        <w:rPr/>
        <w:t>health consumers, their support people and clinicians) to explore issues and potential strategies</w:t>
      </w:r>
      <w:r>
        <w:rPr>
          <w:spacing w:val="-9"/>
        </w:rPr>
        <w:t> </w:t>
      </w:r>
      <w:r>
        <w:rPr/>
        <w:t>to</w:t>
      </w:r>
      <w:r>
        <w:rPr>
          <w:spacing w:val="-8"/>
        </w:rPr>
        <w:t> </w:t>
      </w:r>
      <w:r>
        <w:rPr/>
        <w:t>address</w:t>
      </w:r>
      <w:r>
        <w:rPr>
          <w:spacing w:val="-10"/>
        </w:rPr>
        <w:t> </w:t>
      </w:r>
      <w:r>
        <w:rPr/>
        <w:t>difficulties.</w:t>
      </w:r>
      <w:r>
        <w:rPr>
          <w:spacing w:val="-9"/>
        </w:rPr>
        <w:t> </w:t>
      </w:r>
      <w:r>
        <w:rPr/>
        <w:t>In</w:t>
      </w:r>
      <w:r>
        <w:rPr>
          <w:spacing w:val="-8"/>
        </w:rPr>
        <w:t> </w:t>
      </w:r>
      <w:r>
        <w:rPr/>
        <w:t>some</w:t>
      </w:r>
      <w:r>
        <w:rPr>
          <w:spacing w:val="-10"/>
        </w:rPr>
        <w:t> </w:t>
      </w:r>
      <w:r>
        <w:rPr/>
        <w:t>cases</w:t>
      </w:r>
      <w:r>
        <w:rPr>
          <w:spacing w:val="-9"/>
        </w:rPr>
        <w:t> </w:t>
      </w:r>
      <w:r>
        <w:rPr/>
        <w:t>it</w:t>
      </w:r>
      <w:r>
        <w:rPr>
          <w:spacing w:val="-10"/>
        </w:rPr>
        <w:t> </w:t>
      </w:r>
      <w:r>
        <w:rPr/>
        <w:t>may</w:t>
      </w:r>
      <w:r>
        <w:rPr>
          <w:spacing w:val="-10"/>
        </w:rPr>
        <w:t> </w:t>
      </w:r>
      <w:r>
        <w:rPr/>
        <w:t>simply</w:t>
      </w:r>
      <w:r>
        <w:rPr>
          <w:spacing w:val="-10"/>
        </w:rPr>
        <w:t> </w:t>
      </w:r>
      <w:r>
        <w:rPr/>
        <w:t>be</w:t>
      </w:r>
      <w:r>
        <w:rPr>
          <w:spacing w:val="-10"/>
        </w:rPr>
        <w:t> </w:t>
      </w:r>
      <w:r>
        <w:rPr/>
        <w:t>about</w:t>
      </w:r>
      <w:r>
        <w:rPr>
          <w:spacing w:val="-10"/>
        </w:rPr>
        <w:t> </w:t>
      </w:r>
      <w:r>
        <w:rPr/>
        <w:t>timing</w:t>
      </w:r>
      <w:r>
        <w:rPr>
          <w:spacing w:val="-10"/>
        </w:rPr>
        <w:t> </w:t>
      </w:r>
      <w:r>
        <w:rPr/>
        <w:t>–</w:t>
      </w:r>
      <w:r>
        <w:rPr>
          <w:spacing w:val="-9"/>
        </w:rPr>
        <w:t> </w:t>
      </w:r>
      <w:r>
        <w:rPr/>
        <w:t>seizing an opportunity to discuss issues that hasn’t presented itself</w:t>
      </w:r>
      <w:r>
        <w:rPr>
          <w:spacing w:val="-8"/>
        </w:rPr>
        <w:t> </w:t>
      </w:r>
      <w:r>
        <w:rPr/>
        <w:t>before.</w:t>
      </w:r>
    </w:p>
    <w:p>
      <w:pPr>
        <w:pStyle w:val="BodyText"/>
      </w:pPr>
    </w:p>
    <w:p>
      <w:pPr>
        <w:pStyle w:val="BodyText"/>
        <w:ind w:left="278" w:right="108"/>
        <w:jc w:val="both"/>
      </w:pPr>
      <w:r>
        <w:rPr/>
        <w:t>Two</w:t>
      </w:r>
      <w:r>
        <w:rPr>
          <w:spacing w:val="-7"/>
        </w:rPr>
        <w:t> </w:t>
      </w:r>
      <w:r>
        <w:rPr/>
        <w:t>case</w:t>
      </w:r>
      <w:r>
        <w:rPr>
          <w:spacing w:val="-8"/>
        </w:rPr>
        <w:t> </w:t>
      </w:r>
      <w:r>
        <w:rPr/>
        <w:t>studies</w:t>
      </w:r>
      <w:r>
        <w:rPr>
          <w:spacing w:val="-9"/>
        </w:rPr>
        <w:t> </w:t>
      </w:r>
      <w:r>
        <w:rPr/>
        <w:t>illustrate</w:t>
      </w:r>
      <w:r>
        <w:rPr>
          <w:spacing w:val="-8"/>
        </w:rPr>
        <w:t> </w:t>
      </w:r>
      <w:r>
        <w:rPr/>
        <w:t>this</w:t>
      </w:r>
      <w:r>
        <w:rPr>
          <w:spacing w:val="-9"/>
        </w:rPr>
        <w:t> </w:t>
      </w:r>
      <w:r>
        <w:rPr/>
        <w:t>approach</w:t>
      </w:r>
      <w:r>
        <w:rPr>
          <w:spacing w:val="-9"/>
        </w:rPr>
        <w:t> </w:t>
      </w:r>
      <w:r>
        <w:rPr/>
        <w:t>and</w:t>
      </w:r>
      <w:r>
        <w:rPr>
          <w:spacing w:val="-9"/>
        </w:rPr>
        <w:t> </w:t>
      </w:r>
      <w:r>
        <w:rPr/>
        <w:t>how</w:t>
      </w:r>
      <w:r>
        <w:rPr>
          <w:spacing w:val="-10"/>
        </w:rPr>
        <w:t> </w:t>
      </w:r>
      <w:r>
        <w:rPr/>
        <w:t>the</w:t>
      </w:r>
      <w:r>
        <w:rPr>
          <w:spacing w:val="-9"/>
        </w:rPr>
        <w:t> </w:t>
      </w:r>
      <w:r>
        <w:rPr/>
        <w:t>views</w:t>
      </w:r>
      <w:r>
        <w:rPr>
          <w:spacing w:val="-8"/>
        </w:rPr>
        <w:t> </w:t>
      </w:r>
      <w:r>
        <w:rPr/>
        <w:t>and</w:t>
      </w:r>
      <w:r>
        <w:rPr>
          <w:spacing w:val="-9"/>
        </w:rPr>
        <w:t> </w:t>
      </w:r>
      <w:r>
        <w:rPr/>
        <w:t>preferences</w:t>
      </w:r>
      <w:r>
        <w:rPr>
          <w:spacing w:val="-8"/>
        </w:rPr>
        <w:t> </w:t>
      </w:r>
      <w:r>
        <w:rPr/>
        <w:t>of</w:t>
      </w:r>
      <w:r>
        <w:rPr>
          <w:spacing w:val="-7"/>
        </w:rPr>
        <w:t> </w:t>
      </w:r>
      <w:r>
        <w:rPr/>
        <w:t>mental health consumers are taken into</w:t>
      </w:r>
      <w:r>
        <w:rPr>
          <w:spacing w:val="-1"/>
        </w:rPr>
        <w:t> </w:t>
      </w:r>
      <w:r>
        <w:rPr/>
        <w:t>account.</w:t>
      </w:r>
    </w:p>
    <w:p>
      <w:pPr>
        <w:pStyle w:val="BodyText"/>
      </w:pPr>
    </w:p>
    <w:p>
      <w:pPr>
        <w:pStyle w:val="BodyText"/>
        <w:ind w:left="277" w:right="106"/>
        <w:jc w:val="both"/>
      </w:pPr>
      <w:r>
        <w:rPr>
          <w:b/>
        </w:rPr>
        <w:t>Rebecca</w:t>
      </w:r>
      <w:r>
        <w:rPr/>
        <w:t>* was distressed by the side-effects of her antipsychotic medication, in particular its impact on her artistic work; she was also concerned about the lack of a referral to a psychologist as part of her treatment plan, and that her clinical history contained incorrect information. Rebecca’s treating team had asked the Tribunal to make</w:t>
      </w:r>
      <w:r>
        <w:rPr>
          <w:spacing w:val="-13"/>
        </w:rPr>
        <w:t> </w:t>
      </w:r>
      <w:r>
        <w:rPr/>
        <w:t>a</w:t>
      </w:r>
      <w:r>
        <w:rPr>
          <w:spacing w:val="-12"/>
        </w:rPr>
        <w:t> </w:t>
      </w:r>
      <w:r>
        <w:rPr/>
        <w:t>12-month</w:t>
      </w:r>
      <w:r>
        <w:rPr>
          <w:spacing w:val="-12"/>
        </w:rPr>
        <w:t> </w:t>
      </w:r>
      <w:r>
        <w:rPr/>
        <w:t>Community</w:t>
      </w:r>
      <w:r>
        <w:rPr>
          <w:spacing w:val="-13"/>
        </w:rPr>
        <w:t> </w:t>
      </w:r>
      <w:r>
        <w:rPr/>
        <w:t>Treatment</w:t>
      </w:r>
      <w:r>
        <w:rPr>
          <w:spacing w:val="-13"/>
        </w:rPr>
        <w:t> </w:t>
      </w:r>
      <w:r>
        <w:rPr/>
        <w:t>Order.</w:t>
      </w:r>
      <w:r>
        <w:rPr>
          <w:spacing w:val="-12"/>
        </w:rPr>
        <w:t> </w:t>
      </w:r>
      <w:r>
        <w:rPr/>
        <w:t>Based</w:t>
      </w:r>
      <w:r>
        <w:rPr>
          <w:spacing w:val="-13"/>
        </w:rPr>
        <w:t> </w:t>
      </w:r>
      <w:r>
        <w:rPr/>
        <w:t>on</w:t>
      </w:r>
      <w:r>
        <w:rPr>
          <w:spacing w:val="-12"/>
        </w:rPr>
        <w:t> </w:t>
      </w:r>
      <w:r>
        <w:rPr/>
        <w:t>the</w:t>
      </w:r>
      <w:r>
        <w:rPr>
          <w:spacing w:val="-13"/>
        </w:rPr>
        <w:t> </w:t>
      </w:r>
      <w:r>
        <w:rPr/>
        <w:t>discussion</w:t>
      </w:r>
      <w:r>
        <w:rPr>
          <w:spacing w:val="-12"/>
        </w:rPr>
        <w:t> </w:t>
      </w:r>
      <w:r>
        <w:rPr/>
        <w:t>at</w:t>
      </w:r>
      <w:r>
        <w:rPr>
          <w:spacing w:val="-13"/>
        </w:rPr>
        <w:t> </w:t>
      </w:r>
      <w:r>
        <w:rPr/>
        <w:t>the</w:t>
      </w:r>
      <w:r>
        <w:rPr>
          <w:spacing w:val="-13"/>
        </w:rPr>
        <w:t> </w:t>
      </w:r>
      <w:r>
        <w:rPr/>
        <w:t>hearing where</w:t>
      </w:r>
      <w:r>
        <w:rPr>
          <w:spacing w:val="10"/>
        </w:rPr>
        <w:t> </w:t>
      </w:r>
      <w:r>
        <w:rPr/>
        <w:t>Rebecca</w:t>
      </w:r>
      <w:r>
        <w:rPr>
          <w:spacing w:val="10"/>
        </w:rPr>
        <w:t> </w:t>
      </w:r>
      <w:r>
        <w:rPr/>
        <w:t>and</w:t>
      </w:r>
      <w:r>
        <w:rPr>
          <w:spacing w:val="10"/>
        </w:rPr>
        <w:t> </w:t>
      </w:r>
      <w:r>
        <w:rPr/>
        <w:t>her</w:t>
      </w:r>
      <w:r>
        <w:rPr>
          <w:spacing w:val="10"/>
        </w:rPr>
        <w:t> </w:t>
      </w:r>
      <w:r>
        <w:rPr/>
        <w:t>treating</w:t>
      </w:r>
      <w:r>
        <w:rPr>
          <w:spacing w:val="7"/>
        </w:rPr>
        <w:t> </w:t>
      </w:r>
      <w:r>
        <w:rPr/>
        <w:t>team</w:t>
      </w:r>
      <w:r>
        <w:rPr>
          <w:spacing w:val="10"/>
        </w:rPr>
        <w:t> </w:t>
      </w:r>
      <w:r>
        <w:rPr/>
        <w:t>agreed</w:t>
      </w:r>
      <w:r>
        <w:rPr>
          <w:spacing w:val="10"/>
        </w:rPr>
        <w:t> </w:t>
      </w:r>
      <w:r>
        <w:rPr/>
        <w:t>on</w:t>
      </w:r>
      <w:r>
        <w:rPr>
          <w:spacing w:val="10"/>
        </w:rPr>
        <w:t> </w:t>
      </w:r>
      <w:r>
        <w:rPr/>
        <w:t>a</w:t>
      </w:r>
      <w:r>
        <w:rPr>
          <w:spacing w:val="10"/>
        </w:rPr>
        <w:t> </w:t>
      </w:r>
      <w:r>
        <w:rPr/>
        <w:t>strategy</w:t>
      </w:r>
      <w:r>
        <w:rPr>
          <w:spacing w:val="10"/>
        </w:rPr>
        <w:t> </w:t>
      </w:r>
      <w:r>
        <w:rPr/>
        <w:t>to</w:t>
      </w:r>
      <w:r>
        <w:rPr>
          <w:spacing w:val="10"/>
        </w:rPr>
        <w:t> </w:t>
      </w:r>
      <w:r>
        <w:rPr/>
        <w:t>address</w:t>
      </w:r>
      <w:r>
        <w:rPr>
          <w:spacing w:val="10"/>
        </w:rPr>
        <w:t> </w:t>
      </w:r>
      <w:r>
        <w:rPr/>
        <w:t>her</w:t>
      </w:r>
      <w:r>
        <w:rPr>
          <w:spacing w:val="10"/>
        </w:rPr>
        <w:t> </w:t>
      </w:r>
      <w:r>
        <w:rPr/>
        <w:t>concerns,</w:t>
      </w:r>
    </w:p>
    <w:p>
      <w:pPr>
        <w:pStyle w:val="BodyText"/>
        <w:rPr>
          <w:sz w:val="28"/>
        </w:rPr>
      </w:pPr>
    </w:p>
    <w:p>
      <w:pPr>
        <w:pStyle w:val="BodyText"/>
        <w:spacing w:before="11"/>
        <w:rPr>
          <w:sz w:val="27"/>
        </w:rPr>
      </w:pPr>
    </w:p>
    <w:p>
      <w:pPr>
        <w:spacing w:before="0"/>
        <w:ind w:left="329" w:right="106" w:hanging="228"/>
        <w:jc w:val="both"/>
        <w:rPr>
          <w:sz w:val="20"/>
        </w:rPr>
      </w:pPr>
      <w:bookmarkStart w:name="_bookmark14" w:id="17"/>
      <w:bookmarkEnd w:id="17"/>
      <w:r>
        <w:rPr/>
      </w:r>
      <w:r>
        <w:rPr>
          <w:position w:val="7"/>
          <w:sz w:val="13"/>
        </w:rPr>
        <w:t>14 </w:t>
      </w:r>
      <w:r>
        <w:rPr>
          <w:sz w:val="20"/>
        </w:rPr>
        <w:t>For instance, among other factors, s 55(2) requires the Tribunal, to the extent that is reasonable in the circumstances, to have regard to (a) the person’s views and preferences about treatment of his or her mental illness and the reasons for those views and preferences, including any recovery outcomes that the</w:t>
      </w:r>
      <w:r>
        <w:rPr>
          <w:spacing w:val="-7"/>
          <w:sz w:val="20"/>
        </w:rPr>
        <w:t> </w:t>
      </w:r>
      <w:r>
        <w:rPr>
          <w:sz w:val="20"/>
        </w:rPr>
        <w:t>person</w:t>
      </w:r>
      <w:r>
        <w:rPr>
          <w:spacing w:val="-8"/>
          <w:sz w:val="20"/>
        </w:rPr>
        <w:t> </w:t>
      </w:r>
      <w:r>
        <w:rPr>
          <w:sz w:val="20"/>
        </w:rPr>
        <w:t>would</w:t>
      </w:r>
      <w:r>
        <w:rPr>
          <w:spacing w:val="-8"/>
          <w:sz w:val="20"/>
        </w:rPr>
        <w:t> </w:t>
      </w:r>
      <w:r>
        <w:rPr>
          <w:sz w:val="20"/>
        </w:rPr>
        <w:t>like</w:t>
      </w:r>
      <w:r>
        <w:rPr>
          <w:spacing w:val="-7"/>
          <w:sz w:val="20"/>
        </w:rPr>
        <w:t> </w:t>
      </w:r>
      <w:r>
        <w:rPr>
          <w:sz w:val="20"/>
        </w:rPr>
        <w:t>to</w:t>
      </w:r>
      <w:r>
        <w:rPr>
          <w:spacing w:val="-7"/>
          <w:sz w:val="20"/>
        </w:rPr>
        <w:t> </w:t>
      </w:r>
      <w:r>
        <w:rPr>
          <w:sz w:val="20"/>
        </w:rPr>
        <w:t>achieve;</w:t>
      </w:r>
      <w:r>
        <w:rPr>
          <w:spacing w:val="-7"/>
          <w:sz w:val="20"/>
        </w:rPr>
        <w:t> </w:t>
      </w:r>
      <w:r>
        <w:rPr>
          <w:sz w:val="20"/>
        </w:rPr>
        <w:t>and</w:t>
      </w:r>
      <w:r>
        <w:rPr>
          <w:spacing w:val="-8"/>
          <w:sz w:val="20"/>
        </w:rPr>
        <w:t> </w:t>
      </w:r>
      <w:r>
        <w:rPr>
          <w:sz w:val="20"/>
        </w:rPr>
        <w:t>(e)</w:t>
      </w:r>
      <w:r>
        <w:rPr>
          <w:spacing w:val="-7"/>
          <w:sz w:val="20"/>
        </w:rPr>
        <w:t> </w:t>
      </w:r>
      <w:r>
        <w:rPr>
          <w:sz w:val="20"/>
        </w:rPr>
        <w:t>the</w:t>
      </w:r>
      <w:r>
        <w:rPr>
          <w:spacing w:val="-7"/>
          <w:sz w:val="20"/>
        </w:rPr>
        <w:t> </w:t>
      </w:r>
      <w:r>
        <w:rPr>
          <w:sz w:val="20"/>
        </w:rPr>
        <w:t>views</w:t>
      </w:r>
      <w:r>
        <w:rPr>
          <w:spacing w:val="-7"/>
          <w:sz w:val="20"/>
        </w:rPr>
        <w:t> </w:t>
      </w:r>
      <w:r>
        <w:rPr>
          <w:sz w:val="20"/>
        </w:rPr>
        <w:t>of</w:t>
      </w:r>
      <w:r>
        <w:rPr>
          <w:spacing w:val="-9"/>
          <w:sz w:val="20"/>
        </w:rPr>
        <w:t> </w:t>
      </w:r>
      <w:r>
        <w:rPr>
          <w:sz w:val="20"/>
        </w:rPr>
        <w:t>the</w:t>
      </w:r>
      <w:r>
        <w:rPr>
          <w:spacing w:val="-7"/>
          <w:sz w:val="20"/>
        </w:rPr>
        <w:t> </w:t>
      </w:r>
      <w:r>
        <w:rPr>
          <w:sz w:val="20"/>
        </w:rPr>
        <w:t>person’s</w:t>
      </w:r>
      <w:r>
        <w:rPr>
          <w:spacing w:val="-8"/>
          <w:sz w:val="20"/>
        </w:rPr>
        <w:t> </w:t>
      </w:r>
      <w:r>
        <w:rPr>
          <w:sz w:val="20"/>
        </w:rPr>
        <w:t>carer,</w:t>
      </w:r>
      <w:r>
        <w:rPr>
          <w:spacing w:val="-7"/>
          <w:sz w:val="20"/>
        </w:rPr>
        <w:t> </w:t>
      </w:r>
      <w:r>
        <w:rPr>
          <w:sz w:val="20"/>
        </w:rPr>
        <w:t>if</w:t>
      </w:r>
      <w:r>
        <w:rPr>
          <w:spacing w:val="-8"/>
          <w:sz w:val="20"/>
        </w:rPr>
        <w:t> </w:t>
      </w:r>
      <w:r>
        <w:rPr>
          <w:sz w:val="20"/>
        </w:rPr>
        <w:t>the</w:t>
      </w:r>
      <w:r>
        <w:rPr>
          <w:spacing w:val="-7"/>
          <w:sz w:val="20"/>
        </w:rPr>
        <w:t> </w:t>
      </w:r>
      <w:r>
        <w:rPr>
          <w:sz w:val="20"/>
        </w:rPr>
        <w:t>Tribunal</w:t>
      </w:r>
      <w:r>
        <w:rPr>
          <w:spacing w:val="-8"/>
          <w:sz w:val="20"/>
        </w:rPr>
        <w:t> </w:t>
      </w:r>
      <w:r>
        <w:rPr>
          <w:sz w:val="20"/>
        </w:rPr>
        <w:t>is</w:t>
      </w:r>
      <w:r>
        <w:rPr>
          <w:spacing w:val="-7"/>
          <w:sz w:val="20"/>
        </w:rPr>
        <w:t> </w:t>
      </w:r>
      <w:r>
        <w:rPr>
          <w:sz w:val="20"/>
        </w:rPr>
        <w:t>satisfied</w:t>
      </w:r>
      <w:r>
        <w:rPr>
          <w:spacing w:val="-8"/>
          <w:sz w:val="20"/>
        </w:rPr>
        <w:t> </w:t>
      </w:r>
      <w:r>
        <w:rPr>
          <w:sz w:val="20"/>
        </w:rPr>
        <w:t>that making</w:t>
      </w:r>
      <w:r>
        <w:rPr>
          <w:spacing w:val="-6"/>
          <w:sz w:val="20"/>
        </w:rPr>
        <w:t> </w:t>
      </w:r>
      <w:r>
        <w:rPr>
          <w:sz w:val="20"/>
        </w:rPr>
        <w:t>the</w:t>
      </w:r>
      <w:r>
        <w:rPr>
          <w:spacing w:val="-6"/>
          <w:sz w:val="20"/>
        </w:rPr>
        <w:t> </w:t>
      </w:r>
      <w:r>
        <w:rPr>
          <w:sz w:val="20"/>
        </w:rPr>
        <w:t>Order</w:t>
      </w:r>
      <w:r>
        <w:rPr>
          <w:spacing w:val="-6"/>
          <w:sz w:val="20"/>
        </w:rPr>
        <w:t> </w:t>
      </w:r>
      <w:r>
        <w:rPr>
          <w:sz w:val="20"/>
        </w:rPr>
        <w:t>will</w:t>
      </w:r>
      <w:r>
        <w:rPr>
          <w:spacing w:val="-6"/>
          <w:sz w:val="20"/>
        </w:rPr>
        <w:t> </w:t>
      </w:r>
      <w:r>
        <w:rPr>
          <w:sz w:val="20"/>
        </w:rPr>
        <w:t>directly</w:t>
      </w:r>
      <w:r>
        <w:rPr>
          <w:spacing w:val="-6"/>
          <w:sz w:val="20"/>
        </w:rPr>
        <w:t> </w:t>
      </w:r>
      <w:r>
        <w:rPr>
          <w:sz w:val="20"/>
        </w:rPr>
        <w:t>affect</w:t>
      </w:r>
      <w:r>
        <w:rPr>
          <w:spacing w:val="-6"/>
          <w:sz w:val="20"/>
        </w:rPr>
        <w:t> </w:t>
      </w:r>
      <w:r>
        <w:rPr>
          <w:sz w:val="20"/>
        </w:rPr>
        <w:t>the</w:t>
      </w:r>
      <w:r>
        <w:rPr>
          <w:spacing w:val="-7"/>
          <w:sz w:val="20"/>
        </w:rPr>
        <w:t> </w:t>
      </w:r>
      <w:r>
        <w:rPr>
          <w:sz w:val="20"/>
        </w:rPr>
        <w:t>carer</w:t>
      </w:r>
      <w:r>
        <w:rPr>
          <w:spacing w:val="-6"/>
          <w:sz w:val="20"/>
        </w:rPr>
        <w:t> </w:t>
      </w:r>
      <w:r>
        <w:rPr>
          <w:sz w:val="20"/>
        </w:rPr>
        <w:t>and</w:t>
      </w:r>
      <w:r>
        <w:rPr>
          <w:spacing w:val="-6"/>
          <w:sz w:val="20"/>
        </w:rPr>
        <w:t> </w:t>
      </w:r>
      <w:r>
        <w:rPr>
          <w:sz w:val="20"/>
        </w:rPr>
        <w:t>the</w:t>
      </w:r>
      <w:r>
        <w:rPr>
          <w:spacing w:val="-7"/>
          <w:sz w:val="20"/>
        </w:rPr>
        <w:t> </w:t>
      </w:r>
      <w:r>
        <w:rPr>
          <w:sz w:val="20"/>
        </w:rPr>
        <w:t>care</w:t>
      </w:r>
      <w:r>
        <w:rPr>
          <w:spacing w:val="-6"/>
          <w:sz w:val="20"/>
        </w:rPr>
        <w:t> </w:t>
      </w:r>
      <w:r>
        <w:rPr>
          <w:sz w:val="20"/>
        </w:rPr>
        <w:t>relationship.</w:t>
      </w:r>
      <w:r>
        <w:rPr>
          <w:spacing w:val="-5"/>
          <w:sz w:val="20"/>
        </w:rPr>
        <w:t> </w:t>
      </w:r>
      <w:r>
        <w:rPr>
          <w:sz w:val="20"/>
        </w:rPr>
        <w:t>Similar</w:t>
      </w:r>
      <w:r>
        <w:rPr>
          <w:spacing w:val="-7"/>
          <w:sz w:val="20"/>
        </w:rPr>
        <w:t> </w:t>
      </w:r>
      <w:r>
        <w:rPr>
          <w:sz w:val="20"/>
        </w:rPr>
        <w:t>provisions</w:t>
      </w:r>
      <w:r>
        <w:rPr>
          <w:spacing w:val="-5"/>
          <w:sz w:val="20"/>
        </w:rPr>
        <w:t> </w:t>
      </w:r>
      <w:r>
        <w:rPr>
          <w:sz w:val="20"/>
        </w:rPr>
        <w:t>requiring</w:t>
      </w:r>
      <w:r>
        <w:rPr>
          <w:spacing w:val="-6"/>
          <w:sz w:val="20"/>
        </w:rPr>
        <w:t> </w:t>
      </w:r>
      <w:r>
        <w:rPr>
          <w:sz w:val="20"/>
        </w:rPr>
        <w:t>the Tribunal to have regard to the views of patients and carers are contained in ss 65(4), 93(2), 94(3), 281(4), 291(2), 321(3) and 323(3). (Many of these refer to obligations of the authorised psychiatrist but</w:t>
      </w:r>
      <w:r>
        <w:rPr>
          <w:spacing w:val="-5"/>
          <w:sz w:val="20"/>
        </w:rPr>
        <w:t> </w:t>
      </w:r>
      <w:r>
        <w:rPr>
          <w:sz w:val="20"/>
        </w:rPr>
        <w:t>provisions</w:t>
      </w:r>
      <w:r>
        <w:rPr>
          <w:spacing w:val="-4"/>
          <w:sz w:val="20"/>
        </w:rPr>
        <w:t> </w:t>
      </w:r>
      <w:r>
        <w:rPr>
          <w:sz w:val="20"/>
        </w:rPr>
        <w:t>specifying</w:t>
      </w:r>
      <w:r>
        <w:rPr>
          <w:spacing w:val="-5"/>
          <w:sz w:val="20"/>
        </w:rPr>
        <w:t> </w:t>
      </w:r>
      <w:r>
        <w:rPr>
          <w:sz w:val="20"/>
        </w:rPr>
        <w:t>the</w:t>
      </w:r>
      <w:r>
        <w:rPr>
          <w:spacing w:val="-5"/>
          <w:sz w:val="20"/>
        </w:rPr>
        <w:t> </w:t>
      </w:r>
      <w:r>
        <w:rPr>
          <w:sz w:val="20"/>
        </w:rPr>
        <w:t>Tribunal’s</w:t>
      </w:r>
      <w:r>
        <w:rPr>
          <w:spacing w:val="-5"/>
          <w:sz w:val="20"/>
        </w:rPr>
        <w:t> </w:t>
      </w:r>
      <w:r>
        <w:rPr>
          <w:sz w:val="20"/>
        </w:rPr>
        <w:t>powers</w:t>
      </w:r>
      <w:r>
        <w:rPr>
          <w:spacing w:val="-4"/>
          <w:sz w:val="20"/>
        </w:rPr>
        <w:t> </w:t>
      </w:r>
      <w:r>
        <w:rPr>
          <w:sz w:val="20"/>
        </w:rPr>
        <w:t>make</w:t>
      </w:r>
      <w:r>
        <w:rPr>
          <w:spacing w:val="-6"/>
          <w:sz w:val="20"/>
        </w:rPr>
        <w:t> </w:t>
      </w:r>
      <w:r>
        <w:rPr>
          <w:sz w:val="20"/>
        </w:rPr>
        <w:t>it</w:t>
      </w:r>
      <w:r>
        <w:rPr>
          <w:spacing w:val="-4"/>
          <w:sz w:val="20"/>
        </w:rPr>
        <w:t> </w:t>
      </w:r>
      <w:r>
        <w:rPr>
          <w:sz w:val="20"/>
        </w:rPr>
        <w:t>clear</w:t>
      </w:r>
      <w:r>
        <w:rPr>
          <w:spacing w:val="-6"/>
          <w:sz w:val="20"/>
        </w:rPr>
        <w:t> </w:t>
      </w:r>
      <w:r>
        <w:rPr>
          <w:sz w:val="20"/>
        </w:rPr>
        <w:t>that</w:t>
      </w:r>
      <w:r>
        <w:rPr>
          <w:spacing w:val="-5"/>
          <w:sz w:val="20"/>
        </w:rPr>
        <w:t> </w:t>
      </w:r>
      <w:r>
        <w:rPr>
          <w:sz w:val="20"/>
        </w:rPr>
        <w:t>the</w:t>
      </w:r>
      <w:r>
        <w:rPr>
          <w:spacing w:val="-5"/>
          <w:sz w:val="20"/>
        </w:rPr>
        <w:t> </w:t>
      </w:r>
      <w:r>
        <w:rPr>
          <w:sz w:val="20"/>
        </w:rPr>
        <w:t>Tribunal</w:t>
      </w:r>
      <w:r>
        <w:rPr>
          <w:spacing w:val="-5"/>
          <w:sz w:val="20"/>
        </w:rPr>
        <w:t> </w:t>
      </w:r>
      <w:r>
        <w:rPr>
          <w:sz w:val="20"/>
        </w:rPr>
        <w:t>must</w:t>
      </w:r>
      <w:r>
        <w:rPr>
          <w:spacing w:val="-6"/>
          <w:sz w:val="20"/>
        </w:rPr>
        <w:t> </w:t>
      </w:r>
      <w:r>
        <w:rPr>
          <w:sz w:val="20"/>
        </w:rPr>
        <w:t>also</w:t>
      </w:r>
      <w:r>
        <w:rPr>
          <w:spacing w:val="-4"/>
          <w:sz w:val="20"/>
        </w:rPr>
        <w:t> </w:t>
      </w:r>
      <w:r>
        <w:rPr>
          <w:sz w:val="20"/>
        </w:rPr>
        <w:t>consider</w:t>
      </w:r>
      <w:r>
        <w:rPr>
          <w:spacing w:val="-5"/>
          <w:sz w:val="20"/>
        </w:rPr>
        <w:t> </w:t>
      </w:r>
      <w:r>
        <w:rPr>
          <w:sz w:val="20"/>
        </w:rPr>
        <w:t>these factors)</w:t>
      </w:r>
    </w:p>
    <w:p>
      <w:pPr>
        <w:spacing w:line="242" w:lineRule="exact" w:before="6"/>
        <w:ind w:left="329" w:right="107" w:hanging="229"/>
        <w:jc w:val="both"/>
        <w:rPr>
          <w:sz w:val="20"/>
        </w:rPr>
      </w:pPr>
      <w:bookmarkStart w:name="_bookmark15" w:id="18"/>
      <w:bookmarkEnd w:id="18"/>
      <w:r>
        <w:rPr/>
      </w:r>
      <w:r>
        <w:rPr>
          <w:position w:val="7"/>
          <w:sz w:val="13"/>
        </w:rPr>
        <w:t>15 </w:t>
      </w:r>
      <w:r>
        <w:rPr>
          <w:sz w:val="20"/>
        </w:rPr>
        <w:t>The </w:t>
      </w:r>
      <w:r>
        <w:rPr>
          <w:i/>
          <w:sz w:val="21"/>
        </w:rPr>
        <w:t>Guide to Solution-Focused Hearings in the Mental Health Tribunal </w:t>
      </w:r>
      <w:r>
        <w:rPr>
          <w:sz w:val="20"/>
        </w:rPr>
        <w:t>is available on the Tribunal’s website: </w:t>
      </w:r>
      <w:hyperlink r:id="rId11">
        <w:r>
          <w:rPr>
            <w:color w:val="0563C1"/>
            <w:sz w:val="20"/>
            <w:u w:val="single" w:color="0563C1"/>
          </w:rPr>
          <w:t>www.mht.vic.gov.au/forms-and-publication/guidance-materials</w:t>
        </w:r>
      </w:hyperlink>
      <w:r>
        <w:rPr>
          <w:sz w:val="20"/>
        </w:rPr>
        <w:t>/</w:t>
      </w:r>
    </w:p>
    <w:p>
      <w:pPr>
        <w:spacing w:line="235" w:lineRule="exact" w:before="0"/>
        <w:ind w:left="101" w:right="0" w:firstLine="0"/>
        <w:jc w:val="left"/>
        <w:rPr>
          <w:sz w:val="20"/>
        </w:rPr>
      </w:pPr>
      <w:bookmarkStart w:name="_bookmark16" w:id="19"/>
      <w:bookmarkEnd w:id="19"/>
      <w:r>
        <w:rPr/>
      </w:r>
      <w:r>
        <w:rPr>
          <w:position w:val="7"/>
          <w:sz w:val="13"/>
        </w:rPr>
        <w:t>16 </w:t>
      </w:r>
      <w:r>
        <w:rPr>
          <w:sz w:val="20"/>
        </w:rPr>
        <w:t>Dr King’s </w:t>
      </w:r>
      <w:r>
        <w:rPr>
          <w:i/>
          <w:sz w:val="21"/>
        </w:rPr>
        <w:t>Solution-Focused Judging Bench Book </w:t>
      </w:r>
      <w:r>
        <w:rPr>
          <w:sz w:val="20"/>
        </w:rPr>
        <w:t>is available here:</w:t>
      </w:r>
    </w:p>
    <w:p>
      <w:pPr>
        <w:spacing w:line="235" w:lineRule="exact" w:before="0"/>
        <w:ind w:left="288" w:right="0" w:firstLine="0"/>
        <w:jc w:val="both"/>
        <w:rPr>
          <w:sz w:val="20"/>
        </w:rPr>
      </w:pPr>
      <w:hyperlink r:id="rId12">
        <w:r>
          <w:rPr>
            <w:color w:val="0563C1"/>
            <w:sz w:val="20"/>
            <w:u w:val="single" w:color="0563C1"/>
          </w:rPr>
          <w:t>aija.org.au/wp-content/uploads/2017/07/Solution-Focused-Judging-Bench-Book.pdf</w:t>
        </w:r>
      </w:hyperlink>
      <w:r>
        <w:rPr>
          <w:sz w:val="20"/>
        </w:rPr>
        <w:t>.</w:t>
      </w:r>
    </w:p>
    <w:p>
      <w:pPr>
        <w:spacing w:line="248" w:lineRule="exact" w:before="0"/>
        <w:ind w:left="101" w:right="0" w:firstLine="0"/>
        <w:jc w:val="left"/>
        <w:rPr>
          <w:sz w:val="20"/>
        </w:rPr>
      </w:pPr>
      <w:bookmarkStart w:name="_bookmark17" w:id="20"/>
      <w:bookmarkEnd w:id="20"/>
      <w:r>
        <w:rPr/>
      </w:r>
      <w:r>
        <w:rPr>
          <w:position w:val="7"/>
          <w:sz w:val="13"/>
        </w:rPr>
        <w:t>17 </w:t>
      </w:r>
      <w:r>
        <w:rPr>
          <w:i/>
          <w:sz w:val="21"/>
        </w:rPr>
        <w:t>Mental Health Act 2014 </w:t>
      </w:r>
      <w:r>
        <w:rPr>
          <w:sz w:val="20"/>
        </w:rPr>
        <w:t>(Vic) s 11(1)(d).</w:t>
      </w:r>
    </w:p>
    <w:p>
      <w:pPr>
        <w:spacing w:after="0" w:line="248" w:lineRule="exact"/>
        <w:jc w:val="left"/>
        <w:rPr>
          <w:sz w:val="20"/>
        </w:rPr>
        <w:sectPr>
          <w:headerReference w:type="default" r:id="rId10"/>
          <w:pgSz w:w="11910" w:h="16840"/>
          <w:pgMar w:header="1421" w:footer="523" w:top="1700" w:bottom="720" w:left="1060" w:right="1320"/>
        </w:sectPr>
      </w:pPr>
    </w:p>
    <w:p>
      <w:pPr>
        <w:pStyle w:val="BodyText"/>
        <w:ind w:left="278"/>
        <w:jc w:val="both"/>
      </w:pPr>
      <w:r>
        <w:rPr/>
        <w:t>treated voluntarily if these issues were resolved.</w:t>
      </w:r>
    </w:p>
    <w:p>
      <w:pPr>
        <w:pStyle w:val="BodyText"/>
      </w:pPr>
    </w:p>
    <w:p>
      <w:pPr>
        <w:pStyle w:val="BodyText"/>
        <w:ind w:left="278" w:right="106"/>
        <w:jc w:val="both"/>
      </w:pPr>
      <w:r>
        <w:rPr>
          <w:b/>
        </w:rPr>
        <w:t>Jacob’s</w:t>
      </w:r>
      <w:r>
        <w:rPr/>
        <w:t>* treating team asked the Tribunal to make an Order that would require him to remain in hospital for at least another three weeks. Jacob was desperate to leave hospital</w:t>
      </w:r>
      <w:r>
        <w:rPr>
          <w:spacing w:val="-11"/>
        </w:rPr>
        <w:t> </w:t>
      </w:r>
      <w:r>
        <w:rPr/>
        <w:t>for</w:t>
      </w:r>
      <w:r>
        <w:rPr>
          <w:spacing w:val="-11"/>
        </w:rPr>
        <w:t> </w:t>
      </w:r>
      <w:r>
        <w:rPr/>
        <w:t>a</w:t>
      </w:r>
      <w:r>
        <w:rPr>
          <w:spacing w:val="-11"/>
        </w:rPr>
        <w:t> </w:t>
      </w:r>
      <w:r>
        <w:rPr/>
        <w:t>number</w:t>
      </w:r>
      <w:r>
        <w:rPr>
          <w:spacing w:val="-11"/>
        </w:rPr>
        <w:t> </w:t>
      </w:r>
      <w:r>
        <w:rPr/>
        <w:t>of</w:t>
      </w:r>
      <w:r>
        <w:rPr>
          <w:spacing w:val="-10"/>
        </w:rPr>
        <w:t> </w:t>
      </w:r>
      <w:r>
        <w:rPr/>
        <w:t>reasons,</w:t>
      </w:r>
      <w:r>
        <w:rPr>
          <w:spacing w:val="-11"/>
        </w:rPr>
        <w:t> </w:t>
      </w:r>
      <w:r>
        <w:rPr/>
        <w:t>including</w:t>
      </w:r>
      <w:r>
        <w:rPr>
          <w:spacing w:val="-11"/>
        </w:rPr>
        <w:t> </w:t>
      </w:r>
      <w:r>
        <w:rPr/>
        <w:t>upcoming</w:t>
      </w:r>
      <w:r>
        <w:rPr>
          <w:spacing w:val="-10"/>
        </w:rPr>
        <w:t> </w:t>
      </w:r>
      <w:r>
        <w:rPr/>
        <w:t>events</w:t>
      </w:r>
      <w:r>
        <w:rPr>
          <w:spacing w:val="-10"/>
        </w:rPr>
        <w:t> </w:t>
      </w:r>
      <w:r>
        <w:rPr/>
        <w:t>that</w:t>
      </w:r>
      <w:r>
        <w:rPr>
          <w:spacing w:val="-11"/>
        </w:rPr>
        <w:t> </w:t>
      </w:r>
      <w:r>
        <w:rPr/>
        <w:t>were</w:t>
      </w:r>
      <w:r>
        <w:rPr>
          <w:spacing w:val="-10"/>
        </w:rPr>
        <w:t> </w:t>
      </w:r>
      <w:r>
        <w:rPr/>
        <w:t>of</w:t>
      </w:r>
      <w:r>
        <w:rPr>
          <w:spacing w:val="-11"/>
        </w:rPr>
        <w:t> </w:t>
      </w:r>
      <w:r>
        <w:rPr/>
        <w:t>deep</w:t>
      </w:r>
      <w:r>
        <w:rPr>
          <w:spacing w:val="-11"/>
        </w:rPr>
        <w:t> </w:t>
      </w:r>
      <w:r>
        <w:rPr/>
        <w:t>cultural significance to him and his family. The Tribunal hearing was the first occasion Jacob’s mother and father had been available to participate in a meeting with Jacob and his treating team. The discussion that took place identified a collaborative strategy between Jacob, his family and treating team that meant the Tribunal made an Order that would allow Jacob to be treated while living at home (and participating in the cultural events) rather than staying in</w:t>
      </w:r>
      <w:r>
        <w:rPr>
          <w:spacing w:val="-4"/>
        </w:rPr>
        <w:t> </w:t>
      </w:r>
      <w:r>
        <w:rPr/>
        <w:t>hospital.</w:t>
      </w:r>
    </w:p>
    <w:p>
      <w:pPr>
        <w:pStyle w:val="BodyText"/>
      </w:pPr>
    </w:p>
    <w:p>
      <w:pPr>
        <w:pStyle w:val="BodyText"/>
        <w:ind w:left="277" w:right="104"/>
        <w:jc w:val="both"/>
      </w:pPr>
      <w:r>
        <w:rPr/>
        <w:t>The</w:t>
      </w:r>
      <w:r>
        <w:rPr>
          <w:spacing w:val="-7"/>
        </w:rPr>
        <w:t> </w:t>
      </w:r>
      <w:r>
        <w:rPr/>
        <w:t>Victorian</w:t>
      </w:r>
      <w:r>
        <w:rPr>
          <w:spacing w:val="-6"/>
        </w:rPr>
        <w:t> </w:t>
      </w:r>
      <w:r>
        <w:rPr/>
        <w:t>Mental</w:t>
      </w:r>
      <w:r>
        <w:rPr>
          <w:spacing w:val="-8"/>
        </w:rPr>
        <w:t> </w:t>
      </w:r>
      <w:r>
        <w:rPr/>
        <w:t>Health</w:t>
      </w:r>
      <w:r>
        <w:rPr>
          <w:spacing w:val="-6"/>
        </w:rPr>
        <w:t> </w:t>
      </w:r>
      <w:r>
        <w:rPr/>
        <w:t>Tribunal</w:t>
      </w:r>
      <w:r>
        <w:rPr>
          <w:spacing w:val="-8"/>
        </w:rPr>
        <w:t> </w:t>
      </w:r>
      <w:r>
        <w:rPr/>
        <w:t>is</w:t>
      </w:r>
      <w:r>
        <w:rPr>
          <w:spacing w:val="-7"/>
        </w:rPr>
        <w:t> </w:t>
      </w:r>
      <w:r>
        <w:rPr/>
        <w:t>able</w:t>
      </w:r>
      <w:r>
        <w:rPr>
          <w:spacing w:val="-8"/>
        </w:rPr>
        <w:t> </w:t>
      </w:r>
      <w:r>
        <w:rPr/>
        <w:t>to</w:t>
      </w:r>
      <w:r>
        <w:rPr>
          <w:spacing w:val="-6"/>
        </w:rPr>
        <w:t> </w:t>
      </w:r>
      <w:r>
        <w:rPr/>
        <w:t>work</w:t>
      </w:r>
      <w:r>
        <w:rPr>
          <w:spacing w:val="-6"/>
        </w:rPr>
        <w:t> </w:t>
      </w:r>
      <w:r>
        <w:rPr/>
        <w:t>in</w:t>
      </w:r>
      <w:r>
        <w:rPr>
          <w:spacing w:val="-7"/>
        </w:rPr>
        <w:t> </w:t>
      </w:r>
      <w:r>
        <w:rPr/>
        <w:t>such</w:t>
      </w:r>
      <w:r>
        <w:rPr>
          <w:spacing w:val="-6"/>
        </w:rPr>
        <w:t> </w:t>
      </w:r>
      <w:r>
        <w:rPr/>
        <w:t>a</w:t>
      </w:r>
      <w:r>
        <w:rPr>
          <w:spacing w:val="-7"/>
        </w:rPr>
        <w:t> </w:t>
      </w:r>
      <w:r>
        <w:rPr/>
        <w:t>way</w:t>
      </w:r>
      <w:r>
        <w:rPr>
          <w:spacing w:val="-7"/>
        </w:rPr>
        <w:t> </w:t>
      </w:r>
      <w:r>
        <w:rPr/>
        <w:t>because</w:t>
      </w:r>
      <w:r>
        <w:rPr>
          <w:spacing w:val="-7"/>
        </w:rPr>
        <w:t> </w:t>
      </w:r>
      <w:r>
        <w:rPr/>
        <w:t>it</w:t>
      </w:r>
      <w:r>
        <w:rPr>
          <w:spacing w:val="-8"/>
        </w:rPr>
        <w:t> </w:t>
      </w:r>
      <w:r>
        <w:rPr/>
        <w:t>has</w:t>
      </w:r>
      <w:r>
        <w:rPr>
          <w:spacing w:val="-7"/>
        </w:rPr>
        <w:t> </w:t>
      </w:r>
      <w:r>
        <w:rPr/>
        <w:t>been resourced at a level that allows it to conduct hearings where there is a reasonable amount of time to discuss the perspective of all participants. The Tribunal allocates at least</w:t>
      </w:r>
      <w:r>
        <w:rPr>
          <w:spacing w:val="-20"/>
        </w:rPr>
        <w:t> </w:t>
      </w:r>
      <w:r>
        <w:rPr/>
        <w:t>one</w:t>
      </w:r>
      <w:r>
        <w:rPr>
          <w:spacing w:val="-21"/>
        </w:rPr>
        <w:t> </w:t>
      </w:r>
      <w:r>
        <w:rPr/>
        <w:t>hour</w:t>
      </w:r>
      <w:r>
        <w:rPr>
          <w:spacing w:val="-21"/>
        </w:rPr>
        <w:t> </w:t>
      </w:r>
      <w:r>
        <w:rPr/>
        <w:t>to</w:t>
      </w:r>
      <w:r>
        <w:rPr>
          <w:spacing w:val="-21"/>
        </w:rPr>
        <w:t> </w:t>
      </w:r>
      <w:r>
        <w:rPr/>
        <w:t>each</w:t>
      </w:r>
      <w:r>
        <w:rPr>
          <w:spacing w:val="-21"/>
        </w:rPr>
        <w:t> </w:t>
      </w:r>
      <w:r>
        <w:rPr/>
        <w:t>of</w:t>
      </w:r>
      <w:r>
        <w:rPr>
          <w:spacing w:val="-21"/>
        </w:rPr>
        <w:t> </w:t>
      </w:r>
      <w:r>
        <w:rPr/>
        <w:t>its</w:t>
      </w:r>
      <w:r>
        <w:rPr>
          <w:spacing w:val="-21"/>
        </w:rPr>
        <w:t> </w:t>
      </w:r>
      <w:r>
        <w:rPr/>
        <w:t>hearings</w:t>
      </w:r>
      <w:r>
        <w:rPr>
          <w:spacing w:val="-20"/>
        </w:rPr>
        <w:t> </w:t>
      </w:r>
      <w:r>
        <w:rPr/>
        <w:t>whereas</w:t>
      </w:r>
      <w:r>
        <w:rPr>
          <w:spacing w:val="-20"/>
        </w:rPr>
        <w:t> </w:t>
      </w:r>
      <w:r>
        <w:rPr/>
        <w:t>in</w:t>
      </w:r>
      <w:r>
        <w:rPr>
          <w:spacing w:val="-21"/>
        </w:rPr>
        <w:t> </w:t>
      </w:r>
      <w:r>
        <w:rPr/>
        <w:t>many</w:t>
      </w:r>
      <w:r>
        <w:rPr>
          <w:spacing w:val="-21"/>
        </w:rPr>
        <w:t> </w:t>
      </w:r>
      <w:r>
        <w:rPr/>
        <w:t>other</w:t>
      </w:r>
      <w:r>
        <w:rPr>
          <w:spacing w:val="-20"/>
        </w:rPr>
        <w:t> </w:t>
      </w:r>
      <w:r>
        <w:rPr/>
        <w:t>jurisdictions,</w:t>
      </w:r>
      <w:r>
        <w:rPr>
          <w:spacing w:val="-21"/>
        </w:rPr>
        <w:t> </w:t>
      </w:r>
      <w:r>
        <w:rPr/>
        <w:t>mental</w:t>
      </w:r>
      <w:r>
        <w:rPr>
          <w:spacing w:val="-21"/>
        </w:rPr>
        <w:t> </w:t>
      </w:r>
      <w:r>
        <w:rPr/>
        <w:t>health tribunals will conduct up to three hearings in the same amount of</w:t>
      </w:r>
      <w:r>
        <w:rPr>
          <w:spacing w:val="-11"/>
        </w:rPr>
        <w:t> </w:t>
      </w:r>
      <w:r>
        <w:rPr/>
        <w:t>time.</w:t>
      </w:r>
    </w:p>
    <w:p>
      <w:pPr>
        <w:pStyle w:val="BodyText"/>
      </w:pPr>
    </w:p>
    <w:p>
      <w:pPr>
        <w:pStyle w:val="BodyText"/>
        <w:spacing w:before="1"/>
        <w:ind w:left="277" w:right="107"/>
        <w:jc w:val="both"/>
      </w:pPr>
      <w:r>
        <w:rPr/>
        <w:t>In addition, since the establishment of the Tribunal in 2014 it has worked closely with mental health consumers and carers on the design and development of its processes and procedures. Consumer and carer advisors have an influential role. A particularly significant</w:t>
      </w:r>
      <w:r>
        <w:rPr>
          <w:spacing w:val="-10"/>
        </w:rPr>
        <w:t> </w:t>
      </w:r>
      <w:r>
        <w:rPr/>
        <w:t>initiative</w:t>
      </w:r>
      <w:r>
        <w:rPr>
          <w:spacing w:val="-10"/>
        </w:rPr>
        <w:t> </w:t>
      </w:r>
      <w:r>
        <w:rPr/>
        <w:t>led</w:t>
      </w:r>
      <w:r>
        <w:rPr>
          <w:spacing w:val="-10"/>
        </w:rPr>
        <w:t> </w:t>
      </w:r>
      <w:r>
        <w:rPr/>
        <w:t>by</w:t>
      </w:r>
      <w:r>
        <w:rPr>
          <w:spacing w:val="-10"/>
        </w:rPr>
        <w:t> </w:t>
      </w:r>
      <w:r>
        <w:rPr/>
        <w:t>our</w:t>
      </w:r>
      <w:r>
        <w:rPr>
          <w:spacing w:val="-9"/>
        </w:rPr>
        <w:t> </w:t>
      </w:r>
      <w:r>
        <w:rPr/>
        <w:t>consumer</w:t>
      </w:r>
      <w:r>
        <w:rPr>
          <w:spacing w:val="-9"/>
        </w:rPr>
        <w:t> </w:t>
      </w:r>
      <w:r>
        <w:rPr/>
        <w:t>and</w:t>
      </w:r>
      <w:r>
        <w:rPr>
          <w:spacing w:val="-11"/>
        </w:rPr>
        <w:t> </w:t>
      </w:r>
      <w:r>
        <w:rPr/>
        <w:t>carer</w:t>
      </w:r>
      <w:r>
        <w:rPr>
          <w:spacing w:val="-9"/>
        </w:rPr>
        <w:t> </w:t>
      </w:r>
      <w:r>
        <w:rPr/>
        <w:t>Tribunal</w:t>
      </w:r>
      <w:r>
        <w:rPr>
          <w:spacing w:val="-10"/>
        </w:rPr>
        <w:t> </w:t>
      </w:r>
      <w:r>
        <w:rPr/>
        <w:t>Advisory</w:t>
      </w:r>
      <w:r>
        <w:rPr>
          <w:spacing w:val="-8"/>
        </w:rPr>
        <w:t> </w:t>
      </w:r>
      <w:r>
        <w:rPr/>
        <w:t>Group</w:t>
      </w:r>
      <w:r>
        <w:rPr>
          <w:spacing w:val="-10"/>
        </w:rPr>
        <w:t> </w:t>
      </w:r>
      <w:r>
        <w:rPr/>
        <w:t>that</w:t>
      </w:r>
      <w:r>
        <w:rPr>
          <w:spacing w:val="-9"/>
        </w:rPr>
        <w:t> </w:t>
      </w:r>
      <w:r>
        <w:rPr/>
        <w:t>will</w:t>
      </w:r>
      <w:r>
        <w:rPr>
          <w:spacing w:val="-10"/>
        </w:rPr>
        <w:t> </w:t>
      </w:r>
      <w:r>
        <w:rPr/>
        <w:t>be rolled out in the second half of 2018 is a mechanism by which consumers and carers can provide feedback about the extent to which they did or did not feel listened to in the course of a Tribunal</w:t>
      </w:r>
      <w:r>
        <w:rPr>
          <w:spacing w:val="-2"/>
        </w:rPr>
        <w:t> </w:t>
      </w:r>
      <w:r>
        <w:rPr/>
        <w:t>hearing.</w:t>
      </w:r>
    </w:p>
    <w:p>
      <w:pPr>
        <w:pStyle w:val="BodyText"/>
        <w:spacing w:before="11"/>
        <w:rPr>
          <w:sz w:val="23"/>
        </w:rPr>
      </w:pPr>
    </w:p>
    <w:p>
      <w:pPr>
        <w:pStyle w:val="BodyText"/>
        <w:ind w:left="4122"/>
      </w:pPr>
      <w:r>
        <w:rPr/>
        <w:t>CONCLUSION</w:t>
      </w:r>
    </w:p>
    <w:p>
      <w:pPr>
        <w:pStyle w:val="BodyText"/>
      </w:pPr>
    </w:p>
    <w:p>
      <w:pPr>
        <w:pStyle w:val="BodyText"/>
        <w:spacing w:before="1"/>
        <w:ind w:left="277" w:right="106"/>
        <w:jc w:val="both"/>
      </w:pPr>
      <w:r>
        <w:rPr/>
        <w:t>It is entirely appropriate that ongoing policy-level discussion and debate occur concerning whether or not capacity should be the core issue that determines whether compulsory Treatment Orders can be made. Mental health law is neither fixed nor unchangeable but must evolve in response to changing expectations and our understanding of many factors, including international human rights law.</w:t>
      </w:r>
    </w:p>
    <w:p>
      <w:pPr>
        <w:pStyle w:val="BodyText"/>
        <w:spacing w:before="11"/>
        <w:rPr>
          <w:sz w:val="23"/>
        </w:rPr>
      </w:pPr>
    </w:p>
    <w:p>
      <w:pPr>
        <w:pStyle w:val="BodyText"/>
        <w:ind w:left="277" w:right="105"/>
        <w:jc w:val="both"/>
      </w:pPr>
      <w:r>
        <w:rPr/>
        <w:t>However, it is inappropriate to misinterpret the existing statutory framework in which a tribunal operates and to criticise a tribunal for failing to adopt a policy preference which cannot legitimately be imported into its governing legislation. Mental health law has a profound impact on people’s lives. It is essential, therefore, that when research is</w:t>
      </w:r>
      <w:r>
        <w:rPr>
          <w:spacing w:val="-10"/>
        </w:rPr>
        <w:t> </w:t>
      </w:r>
      <w:r>
        <w:rPr/>
        <w:t>published</w:t>
      </w:r>
      <w:r>
        <w:rPr>
          <w:spacing w:val="-10"/>
        </w:rPr>
        <w:t> </w:t>
      </w:r>
      <w:r>
        <w:rPr/>
        <w:t>which</w:t>
      </w:r>
      <w:r>
        <w:rPr>
          <w:spacing w:val="-10"/>
        </w:rPr>
        <w:t> </w:t>
      </w:r>
      <w:r>
        <w:rPr/>
        <w:t>addresses</w:t>
      </w:r>
      <w:r>
        <w:rPr>
          <w:spacing w:val="-10"/>
        </w:rPr>
        <w:t> </w:t>
      </w:r>
      <w:r>
        <w:rPr/>
        <w:t>tribunal</w:t>
      </w:r>
      <w:r>
        <w:rPr>
          <w:spacing w:val="-11"/>
        </w:rPr>
        <w:t> </w:t>
      </w:r>
      <w:r>
        <w:rPr/>
        <w:t>processes</w:t>
      </w:r>
      <w:r>
        <w:rPr>
          <w:spacing w:val="-10"/>
        </w:rPr>
        <w:t> </w:t>
      </w:r>
      <w:r>
        <w:rPr/>
        <w:t>and</w:t>
      </w:r>
      <w:r>
        <w:rPr>
          <w:spacing w:val="-10"/>
        </w:rPr>
        <w:t> </w:t>
      </w:r>
      <w:r>
        <w:rPr/>
        <w:t>decision-making</w:t>
      </w:r>
      <w:r>
        <w:rPr>
          <w:spacing w:val="-10"/>
        </w:rPr>
        <w:t> </w:t>
      </w:r>
      <w:r>
        <w:rPr/>
        <w:t>that</w:t>
      </w:r>
      <w:r>
        <w:rPr>
          <w:spacing w:val="-10"/>
        </w:rPr>
        <w:t> </w:t>
      </w:r>
      <w:r>
        <w:rPr/>
        <w:t>it</w:t>
      </w:r>
      <w:r>
        <w:rPr>
          <w:spacing w:val="-11"/>
        </w:rPr>
        <w:t> </w:t>
      </w:r>
      <w:r>
        <w:rPr/>
        <w:t>is</w:t>
      </w:r>
      <w:r>
        <w:rPr>
          <w:spacing w:val="-10"/>
        </w:rPr>
        <w:t> </w:t>
      </w:r>
      <w:r>
        <w:rPr/>
        <w:t>accurate and comprehensive.</w:t>
      </w:r>
    </w:p>
    <w:sectPr>
      <w:headerReference w:type="default" r:id="rId13"/>
      <w:pgSz w:w="11910" w:h="16840"/>
      <w:pgMar w:header="1421" w:footer="523" w:top="1700" w:bottom="720" w:left="106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3.434998pt;margin-top:804.793823pt;width:8.450pt;height:10.95pt;mso-position-horizontal-relative:page;mso-position-vertical-relative:page;z-index:-6568" type="#_x0000_t202" filled="false" stroked="false">
          <v:textbox inset="0,0,0,0">
            <w:txbxContent>
              <w:p>
                <w:pPr>
                  <w:spacing w:before="14"/>
                  <w:ind w:left="40" w:right="0" w:firstLine="0"/>
                  <w:jc w:val="left"/>
                  <w:rPr>
                    <w:rFonts w:ascii="Arial"/>
                    <w:sz w:val="16"/>
                  </w:rPr>
                </w:pPr>
                <w:r>
                  <w:rPr/>
                  <w:fldChar w:fldCharType="begin"/>
                </w:r>
                <w:r>
                  <w:rPr>
                    <w:rFonts w:ascii="Arial"/>
                    <w:sz w:val="16"/>
                  </w:rPr>
                  <w:instrText> PAGE </w:instrText>
                </w:r>
                <w:r>
                  <w:rPr/>
                  <w:fldChar w:fldCharType="separate"/>
                </w:r>
                <w:r>
                  <w:rPr/>
                  <w:t>4</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5.900002pt;margin-top:70.034126pt;width:459.05pt;height:16.5pt;mso-position-horizontal-relative:page;mso-position-vertical-relative:page;z-index:-6544" type="#_x0000_t202" filled="false" stroked="false">
          <v:textbox inset="0,0,0,0">
            <w:txbxContent>
              <w:p>
                <w:pPr>
                  <w:pStyle w:val="BodyText"/>
                  <w:spacing w:before="20"/>
                  <w:ind w:left="20"/>
                </w:pPr>
                <w:r>
                  <w:rPr/>
                  <w:t>whether involuntary treatment orders can be made.</w:t>
                </w:r>
                <w:hyperlink w:history="true" w:anchor="_bookmark3">
                  <w:r>
                    <w:rPr>
                      <w:position w:val="8"/>
                      <w:sz w:val="16"/>
                    </w:rPr>
                    <w:t>3 </w:t>
                  </w:r>
                </w:hyperlink>
                <w:r>
                  <w:rPr/>
                  <w:t>However, like any other court or</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5.900002pt;margin-top:70.034126pt;width:250.9pt;height:16.5pt;mso-position-horizontal-relative:page;mso-position-vertical-relative:page;z-index:-6520" type="#_x0000_t202" filled="false" stroked="false">
          <v:textbox inset="0,0,0,0">
            <w:txbxContent>
              <w:p>
                <w:pPr>
                  <w:pStyle w:val="BodyText"/>
                  <w:spacing w:before="20"/>
                  <w:ind w:left="20"/>
                </w:pPr>
                <w:r>
                  <w:rPr/>
                  <w:t>or not to make a compulsory Treatment Order.</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5.900002pt;margin-top:70.034126pt;width:459pt;height:16.5pt;mso-position-horizontal-relative:page;mso-position-vertical-relative:page;z-index:-6496" type="#_x0000_t202" filled="false" stroked="false">
          <v:textbox inset="0,0,0,0">
            <w:txbxContent>
              <w:p>
                <w:pPr>
                  <w:pStyle w:val="BodyText"/>
                  <w:spacing w:before="20"/>
                  <w:ind w:left="20"/>
                </w:pPr>
                <w:r>
                  <w:rPr/>
                  <w:t>It is also relevant to note that the criteria for involuntary Treatment Orders</w:t>
                </w:r>
                <w:r>
                  <w:rPr>
                    <w:spacing w:val="50"/>
                  </w:rPr>
                  <w:t> </w:t>
                </w:r>
                <w:r>
                  <w:rPr/>
                  <w:t>enshrined</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5.900002pt;margin-top:70.034126pt;width:458.9pt;height:16.5pt;mso-position-horizontal-relative:page;mso-position-vertical-relative:page;z-index:-6472" type="#_x0000_t202" filled="false" stroked="false">
          <v:textbox inset="0,0,0,0">
            <w:txbxContent>
              <w:p>
                <w:pPr>
                  <w:pStyle w:val="BodyText"/>
                  <w:spacing w:before="20"/>
                  <w:ind w:left="20"/>
                </w:pPr>
                <w:r>
                  <w:rPr/>
                  <w:t>the</w:t>
                </w:r>
                <w:r>
                  <w:rPr>
                    <w:spacing w:val="61"/>
                  </w:rPr>
                  <w:t> </w:t>
                </w:r>
                <w:r>
                  <w:rPr/>
                  <w:t>Act</w:t>
                </w:r>
                <w:r>
                  <w:rPr>
                    <w:spacing w:val="60"/>
                  </w:rPr>
                  <w:t> </w:t>
                </w:r>
                <w:r>
                  <w:rPr/>
                  <w:t>requires</w:t>
                </w:r>
                <w:r>
                  <w:rPr>
                    <w:spacing w:val="60"/>
                  </w:rPr>
                  <w:t> </w:t>
                </w:r>
                <w:r>
                  <w:rPr/>
                  <w:t>the</w:t>
                </w:r>
                <w:r>
                  <w:rPr>
                    <w:spacing w:val="60"/>
                  </w:rPr>
                  <w:t> </w:t>
                </w:r>
                <w:r>
                  <w:rPr/>
                  <w:t>Tribunal,</w:t>
                </w:r>
                <w:r>
                  <w:rPr>
                    <w:spacing w:val="60"/>
                  </w:rPr>
                  <w:t> </w:t>
                </w:r>
                <w:r>
                  <w:rPr/>
                  <w:t>in</w:t>
                </w:r>
                <w:r>
                  <w:rPr>
                    <w:spacing w:val="60"/>
                  </w:rPr>
                  <w:t> </w:t>
                </w:r>
                <w:r>
                  <w:rPr/>
                  <w:t>its</w:t>
                </w:r>
                <w:r>
                  <w:rPr>
                    <w:spacing w:val="60"/>
                  </w:rPr>
                  <w:t> </w:t>
                </w:r>
                <w:r>
                  <w:rPr/>
                  <w:t>decision</w:t>
                </w:r>
                <w:r>
                  <w:rPr>
                    <w:spacing w:val="60"/>
                  </w:rPr>
                  <w:t> </w:t>
                </w:r>
                <w:r>
                  <w:rPr/>
                  <w:t>making,</w:t>
                </w:r>
                <w:r>
                  <w:rPr>
                    <w:spacing w:val="60"/>
                  </w:rPr>
                  <w:t> </w:t>
                </w:r>
                <w:r>
                  <w:rPr/>
                  <w:t>to</w:t>
                </w:r>
                <w:r>
                  <w:rPr>
                    <w:spacing w:val="60"/>
                  </w:rPr>
                  <w:t> </w:t>
                </w:r>
                <w:r>
                  <w:rPr/>
                  <w:t>consider</w:t>
                </w:r>
                <w:r>
                  <w:rPr>
                    <w:spacing w:val="61"/>
                  </w:rPr>
                  <w:t> </w:t>
                </w:r>
                <w:r>
                  <w:rPr/>
                  <w:t>the</w:t>
                </w:r>
                <w:r>
                  <w:rPr>
                    <w:spacing w:val="61"/>
                  </w:rPr>
                  <w:t> </w:t>
                </w:r>
                <w:r>
                  <w:rPr/>
                  <w:t>views</w:t>
                </w:r>
                <w:r>
                  <w:rPr>
                    <w:spacing w:val="60"/>
                  </w:rPr>
                  <w:t> </w:t>
                </w:r>
                <w:r>
                  <w:rPr/>
                  <w:t>and</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5.900002pt;margin-top:70.034126pt;width:459pt;height:16.5pt;mso-position-horizontal-relative:page;mso-position-vertical-relative:page;z-index:-6448" type="#_x0000_t202" filled="false" stroked="false">
          <v:textbox inset="0,0,0,0">
            <w:txbxContent>
              <w:p>
                <w:pPr>
                  <w:pStyle w:val="BodyText"/>
                  <w:spacing w:before="20"/>
                  <w:ind w:left="20"/>
                </w:pPr>
                <w:r>
                  <w:rPr/>
                  <w:t>the Tribunal made a much shorter 12-week Order, as Rebecca should be able to be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205" w:hanging="360"/>
        <w:jc w:val="left"/>
      </w:pPr>
      <w:rPr>
        <w:rFonts w:hint="default" w:ascii="Tahoma" w:hAnsi="Tahoma" w:eastAsia="Tahoma" w:cs="Tahoma"/>
        <w:w w:val="100"/>
        <w:sz w:val="21"/>
        <w:szCs w:val="21"/>
      </w:rPr>
    </w:lvl>
    <w:lvl w:ilvl="1">
      <w:start w:val="0"/>
      <w:numFmt w:val="bullet"/>
      <w:lvlText w:val="•"/>
      <w:lvlJc w:val="left"/>
      <w:pPr>
        <w:ind w:left="2032" w:hanging="360"/>
      </w:pPr>
      <w:rPr>
        <w:rFonts w:hint="default"/>
      </w:rPr>
    </w:lvl>
    <w:lvl w:ilvl="2">
      <w:start w:val="0"/>
      <w:numFmt w:val="bullet"/>
      <w:lvlText w:val="•"/>
      <w:lvlJc w:val="left"/>
      <w:pPr>
        <w:ind w:left="2865" w:hanging="360"/>
      </w:pPr>
      <w:rPr>
        <w:rFonts w:hint="default"/>
      </w:rPr>
    </w:lvl>
    <w:lvl w:ilvl="3">
      <w:start w:val="0"/>
      <w:numFmt w:val="bullet"/>
      <w:lvlText w:val="•"/>
      <w:lvlJc w:val="left"/>
      <w:pPr>
        <w:ind w:left="3697" w:hanging="360"/>
      </w:pPr>
      <w:rPr>
        <w:rFonts w:hint="default"/>
      </w:rPr>
    </w:lvl>
    <w:lvl w:ilvl="4">
      <w:start w:val="0"/>
      <w:numFmt w:val="bullet"/>
      <w:lvlText w:val="•"/>
      <w:lvlJc w:val="left"/>
      <w:pPr>
        <w:ind w:left="4530" w:hanging="360"/>
      </w:pPr>
      <w:rPr>
        <w:rFonts w:hint="default"/>
      </w:rPr>
    </w:lvl>
    <w:lvl w:ilvl="5">
      <w:start w:val="0"/>
      <w:numFmt w:val="bullet"/>
      <w:lvlText w:val="•"/>
      <w:lvlJc w:val="left"/>
      <w:pPr>
        <w:ind w:left="5363" w:hanging="360"/>
      </w:pPr>
      <w:rPr>
        <w:rFonts w:hint="default"/>
      </w:rPr>
    </w:lvl>
    <w:lvl w:ilvl="6">
      <w:start w:val="0"/>
      <w:numFmt w:val="bullet"/>
      <w:lvlText w:val="•"/>
      <w:lvlJc w:val="left"/>
      <w:pPr>
        <w:ind w:left="6195" w:hanging="360"/>
      </w:pPr>
      <w:rPr>
        <w:rFonts w:hint="default"/>
      </w:rPr>
    </w:lvl>
    <w:lvl w:ilvl="7">
      <w:start w:val="0"/>
      <w:numFmt w:val="bullet"/>
      <w:lvlText w:val="•"/>
      <w:lvlJc w:val="left"/>
      <w:pPr>
        <w:ind w:left="7028" w:hanging="360"/>
      </w:pPr>
      <w:rPr>
        <w:rFonts w:hint="default"/>
      </w:rPr>
    </w:lvl>
    <w:lvl w:ilvl="8">
      <w:start w:val="0"/>
      <w:numFmt w:val="bullet"/>
      <w:lvlText w:val="•"/>
      <w:lvlJc w:val="left"/>
      <w:pPr>
        <w:ind w:left="7861" w:hanging="360"/>
      </w:pPr>
      <w:rPr>
        <w:rFonts w:hint="default"/>
      </w:rPr>
    </w:lvl>
  </w:abstractNum>
  <w:abstractNum w:abstractNumId="0">
    <w:multiLevelType w:val="hybridMultilevel"/>
    <w:lvl w:ilvl="0">
      <w:start w:val="0"/>
      <w:numFmt w:val="bullet"/>
      <w:lvlText w:val="*"/>
      <w:lvlJc w:val="left"/>
      <w:pPr>
        <w:ind w:left="309" w:hanging="134"/>
      </w:pPr>
      <w:rPr>
        <w:rFonts w:hint="default" w:ascii="Tahoma" w:hAnsi="Tahoma" w:eastAsia="Tahoma" w:cs="Tahoma"/>
        <w:w w:val="99"/>
        <w:position w:val="7"/>
        <w:sz w:val="13"/>
        <w:szCs w:val="13"/>
      </w:rPr>
    </w:lvl>
    <w:lvl w:ilvl="1">
      <w:start w:val="1"/>
      <w:numFmt w:val="lowerLetter"/>
      <w:lvlText w:val="(%2)"/>
      <w:lvlJc w:val="left"/>
      <w:pPr>
        <w:ind w:left="1205" w:hanging="360"/>
        <w:jc w:val="left"/>
      </w:pPr>
      <w:rPr>
        <w:rFonts w:hint="default" w:ascii="Tahoma" w:hAnsi="Tahoma" w:eastAsia="Tahoma" w:cs="Tahoma"/>
        <w:w w:val="100"/>
        <w:sz w:val="21"/>
        <w:szCs w:val="21"/>
      </w:rPr>
    </w:lvl>
    <w:lvl w:ilvl="2">
      <w:start w:val="0"/>
      <w:numFmt w:val="bullet"/>
      <w:lvlText w:val="•"/>
      <w:lvlJc w:val="left"/>
      <w:pPr>
        <w:ind w:left="2125" w:hanging="360"/>
      </w:pPr>
      <w:rPr>
        <w:rFonts w:hint="default"/>
      </w:rPr>
    </w:lvl>
    <w:lvl w:ilvl="3">
      <w:start w:val="0"/>
      <w:numFmt w:val="bullet"/>
      <w:lvlText w:val="•"/>
      <w:lvlJc w:val="left"/>
      <w:pPr>
        <w:ind w:left="3050" w:hanging="360"/>
      </w:pPr>
      <w:rPr>
        <w:rFonts w:hint="default"/>
      </w:rPr>
    </w:lvl>
    <w:lvl w:ilvl="4">
      <w:start w:val="0"/>
      <w:numFmt w:val="bullet"/>
      <w:lvlText w:val="•"/>
      <w:lvlJc w:val="left"/>
      <w:pPr>
        <w:ind w:left="3975" w:hanging="360"/>
      </w:pPr>
      <w:rPr>
        <w:rFonts w:hint="default"/>
      </w:rPr>
    </w:lvl>
    <w:lvl w:ilvl="5">
      <w:start w:val="0"/>
      <w:numFmt w:val="bullet"/>
      <w:lvlText w:val="•"/>
      <w:lvlJc w:val="left"/>
      <w:pPr>
        <w:ind w:left="4900" w:hanging="360"/>
      </w:pPr>
      <w:rPr>
        <w:rFonts w:hint="default"/>
      </w:rPr>
    </w:lvl>
    <w:lvl w:ilvl="6">
      <w:start w:val="0"/>
      <w:numFmt w:val="bullet"/>
      <w:lvlText w:val="•"/>
      <w:lvlJc w:val="left"/>
      <w:pPr>
        <w:ind w:left="5825" w:hanging="360"/>
      </w:pPr>
      <w:rPr>
        <w:rFonts w:hint="default"/>
      </w:rPr>
    </w:lvl>
    <w:lvl w:ilvl="7">
      <w:start w:val="0"/>
      <w:numFmt w:val="bullet"/>
      <w:lvlText w:val="•"/>
      <w:lvlJc w:val="left"/>
      <w:pPr>
        <w:ind w:left="6750" w:hanging="360"/>
      </w:pPr>
      <w:rPr>
        <w:rFonts w:hint="default"/>
      </w:rPr>
    </w:lvl>
    <w:lvl w:ilvl="8">
      <w:start w:val="0"/>
      <w:numFmt w:val="bullet"/>
      <w:lvlText w:val="•"/>
      <w:lvlJc w:val="left"/>
      <w:pPr>
        <w:ind w:left="7676"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rPr>
  </w:style>
  <w:style w:styleId="BodyText" w:type="paragraph">
    <w:name w:val="Body Text"/>
    <w:basedOn w:val="Normal"/>
    <w:uiPriority w:val="1"/>
    <w:qFormat/>
    <w:pPr/>
    <w:rPr>
      <w:rFonts w:ascii="Tahoma" w:hAnsi="Tahoma" w:eastAsia="Tahoma" w:cs="Tahoma"/>
      <w:sz w:val="24"/>
      <w:szCs w:val="24"/>
    </w:rPr>
  </w:style>
  <w:style w:styleId="ListParagraph" w:type="paragraph">
    <w:name w:val="List Paragraph"/>
    <w:basedOn w:val="Normal"/>
    <w:uiPriority w:val="1"/>
    <w:qFormat/>
    <w:pPr>
      <w:ind w:left="1205" w:hanging="360"/>
    </w:pPr>
    <w:rPr>
      <w:rFonts w:ascii="Tahoma" w:hAnsi="Tahoma" w:eastAsia="Tahoma" w:cs="Tahom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mht.vic.gov.au/statements-of-reasons/"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yperlink" Target="http://www.mht.vic.gov.au/forms-and-publication/guidance-materials" TargetMode="External"/><Relationship Id="rId12" Type="http://schemas.openxmlformats.org/officeDocument/2006/relationships/hyperlink" Target="https://aija.org.au/wp-content/uploads/2017/07/Solution-Focused-Judging-Bench-Book.pdf" TargetMode="External"/><Relationship Id="rId13" Type="http://schemas.openxmlformats.org/officeDocument/2006/relationships/header" Target="header5.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 Brinton [lw13hb]</dc:creator>
  <dcterms:created xsi:type="dcterms:W3CDTF">2018-10-24T11:07:23Z</dcterms:created>
  <dcterms:modified xsi:type="dcterms:W3CDTF">2018-10-24T11:07:23Z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Creator">
    <vt:lpwstr>Acrobat PDFMaker 18 for Word</vt:lpwstr>
  </property>
  <property fmtid="{D5CDD505-2E9C-101B-9397-08002B2CF9AE}" pid="4" name="LastSaved">
    <vt:filetime>2018-10-24T00:00:00Z</vt:filetime>
  </property>
</Properties>
</file>