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82"/>
        <w:ind w:left="471" w:right="180" w:firstLine="0"/>
        <w:jc w:val="center"/>
        <w:rPr>
          <w:b/>
          <w:sz w:val="24"/>
        </w:rPr>
      </w:pPr>
      <w:bookmarkStart w:name="06 Psychosocial Disability - Cuenca Gome" w:id="1"/>
      <w:bookmarkEnd w:id="1"/>
      <w:r>
        <w:rPr/>
      </w:r>
      <w:r>
        <w:rPr>
          <w:b/>
          <w:sz w:val="24"/>
        </w:rPr>
        <w:t>PSYCHOSOCIAL DISABILITY AND DEPRIVATION OF LIBERTY: REVIEWING THE CASE OF QATAR IN THE LIGHT OF THE CONVENTION ON THE RIGHTS OF PERSONS WITH DISABILITIES</w:t>
      </w:r>
    </w:p>
    <w:p>
      <w:pPr>
        <w:pStyle w:val="BodyText"/>
        <w:spacing w:before="11"/>
        <w:rPr>
          <w:b/>
          <w:sz w:val="23"/>
        </w:rPr>
      </w:pPr>
    </w:p>
    <w:p>
      <w:pPr>
        <w:pStyle w:val="BodyText"/>
        <w:ind w:left="469" w:right="180"/>
        <w:jc w:val="center"/>
        <w:rPr>
          <w:sz w:val="16"/>
        </w:rPr>
      </w:pPr>
      <w:r>
        <w:rPr/>
        <w:t>PATRICIA CUENCA GÓMEZ, MARÍA DEL CARMEN BARRANCO AVILÉS and PABLO RODRÍGUEZ DEL POZO</w:t>
      </w:r>
      <w:hyperlink w:history="true" w:anchor="_bookmark0">
        <w:r>
          <w:rPr>
            <w:position w:val="8"/>
            <w:sz w:val="16"/>
          </w:rPr>
          <w:t>*</w:t>
        </w:r>
      </w:hyperlink>
    </w:p>
    <w:p>
      <w:pPr>
        <w:pStyle w:val="BodyText"/>
        <w:spacing w:before="1"/>
      </w:pPr>
    </w:p>
    <w:p>
      <w:pPr>
        <w:pStyle w:val="ListParagraph"/>
        <w:numPr>
          <w:ilvl w:val="0"/>
          <w:numId w:val="1"/>
        </w:numPr>
        <w:tabs>
          <w:tab w:pos="4519" w:val="left" w:leader="none"/>
        </w:tabs>
        <w:spacing w:line="240" w:lineRule="auto" w:before="0" w:after="0"/>
        <w:ind w:left="3915" w:right="0" w:firstLine="365"/>
        <w:jc w:val="left"/>
        <w:rPr>
          <w:sz w:val="24"/>
        </w:rPr>
      </w:pPr>
      <w:r>
        <w:rPr>
          <w:sz w:val="24"/>
        </w:rPr>
        <w:t>ABSTRACT</w:t>
      </w:r>
    </w:p>
    <w:p>
      <w:pPr>
        <w:pStyle w:val="BodyText"/>
        <w:spacing w:before="11"/>
        <w:rPr>
          <w:sz w:val="23"/>
        </w:rPr>
      </w:pPr>
    </w:p>
    <w:p>
      <w:pPr>
        <w:pStyle w:val="BodyText"/>
        <w:ind w:left="397" w:right="106"/>
        <w:jc w:val="both"/>
      </w:pPr>
      <w:r>
        <w:rPr/>
        <w:t>This</w:t>
      </w:r>
      <w:r>
        <w:rPr>
          <w:spacing w:val="-7"/>
        </w:rPr>
        <w:t> </w:t>
      </w:r>
      <w:r>
        <w:rPr/>
        <w:t>paper</w:t>
      </w:r>
      <w:r>
        <w:rPr>
          <w:spacing w:val="-8"/>
        </w:rPr>
        <w:t> </w:t>
      </w:r>
      <w:r>
        <w:rPr/>
        <w:t>analyses</w:t>
      </w:r>
      <w:r>
        <w:rPr>
          <w:spacing w:val="-7"/>
        </w:rPr>
        <w:t> </w:t>
      </w:r>
      <w:r>
        <w:rPr/>
        <w:t>the</w:t>
      </w:r>
      <w:r>
        <w:rPr>
          <w:spacing w:val="-7"/>
        </w:rPr>
        <w:t> </w:t>
      </w:r>
      <w:r>
        <w:rPr/>
        <w:t>main</w:t>
      </w:r>
      <w:r>
        <w:rPr>
          <w:spacing w:val="-6"/>
        </w:rPr>
        <w:t> </w:t>
      </w:r>
      <w:r>
        <w:rPr/>
        <w:t>implications</w:t>
      </w:r>
      <w:r>
        <w:rPr>
          <w:spacing w:val="-8"/>
        </w:rPr>
        <w:t> </w:t>
      </w:r>
      <w:r>
        <w:rPr/>
        <w:t>of</w:t>
      </w:r>
      <w:r>
        <w:rPr>
          <w:spacing w:val="-6"/>
        </w:rPr>
        <w:t> </w:t>
      </w:r>
      <w:r>
        <w:rPr/>
        <w:t>the</w:t>
      </w:r>
      <w:r>
        <w:rPr>
          <w:spacing w:val="-7"/>
        </w:rPr>
        <w:t> </w:t>
      </w:r>
      <w:r>
        <w:rPr/>
        <w:t>prohibition</w:t>
      </w:r>
      <w:r>
        <w:rPr>
          <w:spacing w:val="-6"/>
        </w:rPr>
        <w:t> </w:t>
      </w:r>
      <w:r>
        <w:rPr/>
        <w:t>of</w:t>
      </w:r>
      <w:r>
        <w:rPr>
          <w:spacing w:val="-6"/>
        </w:rPr>
        <w:t> </w:t>
      </w:r>
      <w:r>
        <w:rPr/>
        <w:t>deprivation</w:t>
      </w:r>
      <w:r>
        <w:rPr>
          <w:spacing w:val="-6"/>
        </w:rPr>
        <w:t> </w:t>
      </w:r>
      <w:r>
        <w:rPr/>
        <w:t>of</w:t>
      </w:r>
      <w:r>
        <w:rPr>
          <w:spacing w:val="-6"/>
        </w:rPr>
        <w:t> </w:t>
      </w:r>
      <w:r>
        <w:rPr/>
        <w:t>liberty</w:t>
      </w:r>
      <w:r>
        <w:rPr>
          <w:spacing w:val="-6"/>
        </w:rPr>
        <w:t> </w:t>
      </w:r>
      <w:r>
        <w:rPr/>
        <w:t>on the basis of disability in the field on mental health under the Convention on the Rights of Persons with Disabilities and its impact in Qatar’s legal system. It shows the contradiction between the specific regimes of deprivation of liberty of persons with psychosocial disabilities and Article 14 of the Convention. The paper also proposes some changes in Qatar’s system to ensure that persons with psychosocial disabilities enjoy the right to liberty on equal terms with</w:t>
      </w:r>
      <w:r>
        <w:rPr>
          <w:spacing w:val="-4"/>
        </w:rPr>
        <w:t> </w:t>
      </w:r>
      <w:r>
        <w:rPr/>
        <w:t>others.</w:t>
      </w:r>
    </w:p>
    <w:p>
      <w:pPr>
        <w:pStyle w:val="BodyText"/>
        <w:spacing w:before="1"/>
      </w:pPr>
    </w:p>
    <w:p>
      <w:pPr>
        <w:pStyle w:val="BodyText"/>
        <w:ind w:left="398" w:right="106"/>
        <w:jc w:val="both"/>
      </w:pPr>
      <w:r>
        <w:rPr>
          <w:b/>
        </w:rPr>
        <w:t>Key</w:t>
      </w:r>
      <w:r>
        <w:rPr>
          <w:b/>
          <w:spacing w:val="-14"/>
        </w:rPr>
        <w:t> </w:t>
      </w:r>
      <w:r>
        <w:rPr>
          <w:b/>
        </w:rPr>
        <w:t>words:</w:t>
      </w:r>
      <w:r>
        <w:rPr>
          <w:b/>
          <w:spacing w:val="-10"/>
        </w:rPr>
        <w:t> </w:t>
      </w:r>
      <w:r>
        <w:rPr/>
        <w:t>CRPD;</w:t>
      </w:r>
      <w:r>
        <w:rPr>
          <w:spacing w:val="-15"/>
        </w:rPr>
        <w:t> </w:t>
      </w:r>
      <w:r>
        <w:rPr/>
        <w:t>Convention</w:t>
      </w:r>
      <w:r>
        <w:rPr>
          <w:spacing w:val="-16"/>
        </w:rPr>
        <w:t> </w:t>
      </w:r>
      <w:r>
        <w:rPr/>
        <w:t>on</w:t>
      </w:r>
      <w:r>
        <w:rPr>
          <w:spacing w:val="-14"/>
        </w:rPr>
        <w:t> </w:t>
      </w:r>
      <w:r>
        <w:rPr/>
        <w:t>the</w:t>
      </w:r>
      <w:r>
        <w:rPr>
          <w:spacing w:val="-15"/>
        </w:rPr>
        <w:t> </w:t>
      </w:r>
      <w:r>
        <w:rPr/>
        <w:t>Rights</w:t>
      </w:r>
      <w:r>
        <w:rPr>
          <w:spacing w:val="-15"/>
        </w:rPr>
        <w:t> </w:t>
      </w:r>
      <w:r>
        <w:rPr/>
        <w:t>of</w:t>
      </w:r>
      <w:r>
        <w:rPr>
          <w:spacing w:val="-14"/>
        </w:rPr>
        <w:t> </w:t>
      </w:r>
      <w:r>
        <w:rPr/>
        <w:t>Persons</w:t>
      </w:r>
      <w:r>
        <w:rPr>
          <w:spacing w:val="-15"/>
        </w:rPr>
        <w:t> </w:t>
      </w:r>
      <w:r>
        <w:rPr/>
        <w:t>with</w:t>
      </w:r>
      <w:r>
        <w:rPr>
          <w:spacing w:val="-16"/>
        </w:rPr>
        <w:t> </w:t>
      </w:r>
      <w:r>
        <w:rPr/>
        <w:t>Disabilities;</w:t>
      </w:r>
      <w:r>
        <w:rPr>
          <w:spacing w:val="-15"/>
        </w:rPr>
        <w:t> </w:t>
      </w:r>
      <w:r>
        <w:rPr/>
        <w:t>Art</w:t>
      </w:r>
      <w:r>
        <w:rPr>
          <w:spacing w:val="-15"/>
        </w:rPr>
        <w:t> </w:t>
      </w:r>
      <w:r>
        <w:rPr/>
        <w:t>14</w:t>
      </w:r>
      <w:r>
        <w:rPr>
          <w:spacing w:val="-15"/>
        </w:rPr>
        <w:t> </w:t>
      </w:r>
      <w:r>
        <w:rPr/>
        <w:t>Qatar; legal system; liberty; security; Law No.16 of 2016 on Rights of Patients with Mental Illness</w:t>
      </w:r>
    </w:p>
    <w:p>
      <w:pPr>
        <w:pStyle w:val="BodyText"/>
        <w:spacing w:before="8"/>
        <w:rPr>
          <w:sz w:val="15"/>
        </w:rPr>
      </w:pPr>
    </w:p>
    <w:p>
      <w:pPr>
        <w:pStyle w:val="ListParagraph"/>
        <w:numPr>
          <w:ilvl w:val="0"/>
          <w:numId w:val="1"/>
        </w:numPr>
        <w:tabs>
          <w:tab w:pos="4266" w:val="left" w:leader="none"/>
        </w:tabs>
        <w:spacing w:line="240" w:lineRule="auto" w:before="100" w:after="0"/>
        <w:ind w:left="4265" w:right="0" w:hanging="327"/>
        <w:jc w:val="left"/>
        <w:rPr>
          <w:sz w:val="24"/>
        </w:rPr>
      </w:pPr>
      <w:r>
        <w:rPr>
          <w:sz w:val="24"/>
        </w:rPr>
        <w:t>INTRODUCTION</w:t>
      </w:r>
    </w:p>
    <w:p>
      <w:pPr>
        <w:pStyle w:val="BodyText"/>
      </w:pPr>
    </w:p>
    <w:p>
      <w:pPr>
        <w:pStyle w:val="BodyText"/>
        <w:ind w:left="397" w:right="105"/>
        <w:jc w:val="both"/>
      </w:pPr>
      <w:r>
        <w:rPr/>
        <w:t>The right to liberty and security is recognised in all major universal and regional instruments</w:t>
      </w:r>
      <w:r>
        <w:rPr>
          <w:spacing w:val="-11"/>
        </w:rPr>
        <w:t> </w:t>
      </w:r>
      <w:r>
        <w:rPr/>
        <w:t>for</w:t>
      </w:r>
      <w:r>
        <w:rPr>
          <w:spacing w:val="-10"/>
        </w:rPr>
        <w:t> </w:t>
      </w:r>
      <w:r>
        <w:rPr/>
        <w:t>the</w:t>
      </w:r>
      <w:r>
        <w:rPr>
          <w:spacing w:val="-10"/>
        </w:rPr>
        <w:t> </w:t>
      </w:r>
      <w:r>
        <w:rPr/>
        <w:t>promotion</w:t>
      </w:r>
      <w:r>
        <w:rPr>
          <w:spacing w:val="-11"/>
        </w:rPr>
        <w:t> </w:t>
      </w:r>
      <w:r>
        <w:rPr/>
        <w:t>and</w:t>
      </w:r>
      <w:r>
        <w:rPr>
          <w:spacing w:val="-10"/>
        </w:rPr>
        <w:t> </w:t>
      </w:r>
      <w:r>
        <w:rPr/>
        <w:t>protection</w:t>
      </w:r>
      <w:r>
        <w:rPr>
          <w:spacing w:val="-10"/>
        </w:rPr>
        <w:t> </w:t>
      </w:r>
      <w:r>
        <w:rPr/>
        <w:t>of</w:t>
      </w:r>
      <w:r>
        <w:rPr>
          <w:spacing w:val="-11"/>
        </w:rPr>
        <w:t> </w:t>
      </w:r>
      <w:r>
        <w:rPr/>
        <w:t>human</w:t>
      </w:r>
      <w:r>
        <w:rPr>
          <w:spacing w:val="-11"/>
        </w:rPr>
        <w:t> </w:t>
      </w:r>
      <w:r>
        <w:rPr/>
        <w:t>rights.</w:t>
      </w:r>
      <w:hyperlink w:history="true" w:anchor="_bookmark1">
        <w:r>
          <w:rPr>
            <w:position w:val="8"/>
            <w:sz w:val="16"/>
          </w:rPr>
          <w:t>1</w:t>
        </w:r>
        <w:r>
          <w:rPr>
            <w:spacing w:val="-1"/>
            <w:position w:val="8"/>
            <w:sz w:val="16"/>
          </w:rPr>
          <w:t> </w:t>
        </w:r>
      </w:hyperlink>
      <w:r>
        <w:rPr/>
        <w:t>The</w:t>
      </w:r>
      <w:r>
        <w:rPr>
          <w:spacing w:val="-10"/>
        </w:rPr>
        <w:t> </w:t>
      </w:r>
      <w:r>
        <w:rPr/>
        <w:t>key</w:t>
      </w:r>
      <w:r>
        <w:rPr>
          <w:spacing w:val="-10"/>
        </w:rPr>
        <w:t> </w:t>
      </w:r>
      <w:r>
        <w:rPr/>
        <w:t>content</w:t>
      </w:r>
      <w:r>
        <w:rPr>
          <w:spacing w:val="-10"/>
        </w:rPr>
        <w:t> </w:t>
      </w:r>
      <w:r>
        <w:rPr/>
        <w:t>of</w:t>
      </w:r>
      <w:r>
        <w:rPr>
          <w:spacing w:val="-11"/>
        </w:rPr>
        <w:t> </w:t>
      </w:r>
      <w:r>
        <w:rPr/>
        <w:t>this right</w:t>
      </w:r>
      <w:r>
        <w:rPr>
          <w:spacing w:val="8"/>
        </w:rPr>
        <w:t> </w:t>
      </w:r>
      <w:r>
        <w:rPr/>
        <w:t>is</w:t>
      </w:r>
      <w:r>
        <w:rPr>
          <w:spacing w:val="7"/>
        </w:rPr>
        <w:t> </w:t>
      </w:r>
      <w:r>
        <w:rPr/>
        <w:t>usually</w:t>
      </w:r>
      <w:r>
        <w:rPr>
          <w:spacing w:val="8"/>
        </w:rPr>
        <w:t> </w:t>
      </w:r>
      <w:r>
        <w:rPr/>
        <w:t>identified</w:t>
      </w:r>
      <w:r>
        <w:rPr>
          <w:spacing w:val="10"/>
        </w:rPr>
        <w:t> </w:t>
      </w:r>
      <w:r>
        <w:rPr/>
        <w:t>as</w:t>
      </w:r>
      <w:r>
        <w:rPr>
          <w:spacing w:val="10"/>
        </w:rPr>
        <w:t> </w:t>
      </w:r>
      <w:r>
        <w:rPr/>
        <w:t>the</w:t>
      </w:r>
      <w:r>
        <w:rPr>
          <w:spacing w:val="8"/>
        </w:rPr>
        <w:t> </w:t>
      </w:r>
      <w:r>
        <w:rPr/>
        <w:t>prohibition</w:t>
      </w:r>
      <w:r>
        <w:rPr>
          <w:spacing w:val="8"/>
        </w:rPr>
        <w:t> </w:t>
      </w:r>
      <w:r>
        <w:rPr/>
        <w:t>of</w:t>
      </w:r>
      <w:r>
        <w:rPr>
          <w:spacing w:val="10"/>
        </w:rPr>
        <w:t> </w:t>
      </w:r>
      <w:r>
        <w:rPr/>
        <w:t>arbitrary</w:t>
      </w:r>
      <w:r>
        <w:rPr>
          <w:spacing w:val="8"/>
        </w:rPr>
        <w:t> </w:t>
      </w:r>
      <w:r>
        <w:rPr/>
        <w:t>deprivation</w:t>
      </w:r>
      <w:r>
        <w:rPr>
          <w:spacing w:val="8"/>
        </w:rPr>
        <w:t> </w:t>
      </w:r>
      <w:r>
        <w:rPr/>
        <w:t>of</w:t>
      </w:r>
      <w:r>
        <w:rPr>
          <w:spacing w:val="8"/>
        </w:rPr>
        <w:t> </w:t>
      </w:r>
      <w:r>
        <w:rPr/>
        <w:t>liberty:</w:t>
      </w:r>
      <w:hyperlink w:history="true" w:anchor="_bookmark2">
        <w:r>
          <w:rPr>
            <w:position w:val="8"/>
            <w:sz w:val="16"/>
          </w:rPr>
          <w:t>2</w:t>
        </w:r>
        <w:r>
          <w:rPr>
            <w:spacing w:val="-1"/>
            <w:position w:val="8"/>
            <w:sz w:val="16"/>
          </w:rPr>
          <w:t> </w:t>
        </w:r>
      </w:hyperlink>
      <w:r>
        <w:rPr/>
        <w:t>no</w:t>
      </w:r>
      <w:r>
        <w:rPr>
          <w:spacing w:val="8"/>
        </w:rPr>
        <w:t> </w:t>
      </w:r>
      <w:r>
        <w:rPr/>
        <w:t>one</w:t>
      </w:r>
    </w:p>
    <w:p>
      <w:pPr>
        <w:pStyle w:val="BodyText"/>
        <w:spacing w:before="2"/>
        <w:rPr>
          <w:sz w:val="23"/>
        </w:rPr>
      </w:pPr>
    </w:p>
    <w:p>
      <w:pPr>
        <w:spacing w:line="242" w:lineRule="auto" w:before="0"/>
        <w:ind w:left="449" w:right="106" w:hanging="171"/>
        <w:jc w:val="both"/>
        <w:rPr>
          <w:sz w:val="20"/>
        </w:rPr>
      </w:pPr>
      <w:bookmarkStart w:name="_bookmark0" w:id="2"/>
      <w:bookmarkEnd w:id="2"/>
      <w:r>
        <w:rPr/>
      </w:r>
      <w:r>
        <w:rPr>
          <w:rFonts w:ascii="Calibri" w:hAnsi="Calibri"/>
          <w:position w:val="8"/>
          <w:sz w:val="14"/>
        </w:rPr>
        <w:t>* </w:t>
      </w:r>
      <w:r>
        <w:rPr>
          <w:sz w:val="20"/>
        </w:rPr>
        <w:t>Patricia Cuenca Gómez, Visiting Lecturer, Human Rights Institute "Bartolomé de las Casas", Universidad Carlos III de Madrid, Spain; María Del Carmen Barranco Avilés</w:t>
      </w:r>
      <w:r>
        <w:rPr>
          <w:b/>
          <w:sz w:val="20"/>
        </w:rPr>
        <w:t>, </w:t>
      </w:r>
      <w:r>
        <w:rPr>
          <w:sz w:val="20"/>
        </w:rPr>
        <w:t>Associate Professor, Human Rights Institute "Bartolomé de las Casas", Universidad Carlos III de Madrid, Spain; Pablo Rodríguez Del Pozo, Associate Professor</w:t>
      </w:r>
      <w:r>
        <w:rPr>
          <w:b/>
          <w:sz w:val="20"/>
        </w:rPr>
        <w:t>, </w:t>
      </w:r>
      <w:r>
        <w:rPr>
          <w:sz w:val="20"/>
        </w:rPr>
        <w:t>Weill Cornell Medical College, Qatar. This paper was made possible by the NPRP award</w:t>
      </w:r>
      <w:r>
        <w:rPr>
          <w:spacing w:val="-10"/>
          <w:sz w:val="20"/>
        </w:rPr>
        <w:t> </w:t>
      </w:r>
      <w:r>
        <w:rPr>
          <w:sz w:val="20"/>
        </w:rPr>
        <w:t>NPRP-7-380-5-051</w:t>
      </w:r>
      <w:r>
        <w:rPr>
          <w:spacing w:val="-10"/>
          <w:sz w:val="20"/>
        </w:rPr>
        <w:t> </w:t>
      </w:r>
      <w:r>
        <w:rPr>
          <w:sz w:val="20"/>
        </w:rPr>
        <w:t>from</w:t>
      </w:r>
      <w:r>
        <w:rPr>
          <w:spacing w:val="-10"/>
          <w:sz w:val="20"/>
        </w:rPr>
        <w:t> </w:t>
      </w:r>
      <w:r>
        <w:rPr>
          <w:sz w:val="20"/>
        </w:rPr>
        <w:t>the</w:t>
      </w:r>
      <w:r>
        <w:rPr>
          <w:spacing w:val="-10"/>
          <w:sz w:val="20"/>
        </w:rPr>
        <w:t> </w:t>
      </w:r>
      <w:r>
        <w:rPr>
          <w:sz w:val="20"/>
        </w:rPr>
        <w:t>Qatar</w:t>
      </w:r>
      <w:r>
        <w:rPr>
          <w:spacing w:val="-10"/>
          <w:sz w:val="20"/>
        </w:rPr>
        <w:t> </w:t>
      </w:r>
      <w:r>
        <w:rPr>
          <w:sz w:val="20"/>
        </w:rPr>
        <w:t>National</w:t>
      </w:r>
      <w:r>
        <w:rPr>
          <w:spacing w:val="-10"/>
          <w:sz w:val="20"/>
        </w:rPr>
        <w:t> </w:t>
      </w:r>
      <w:r>
        <w:rPr>
          <w:sz w:val="20"/>
        </w:rPr>
        <w:t>Research</w:t>
      </w:r>
      <w:r>
        <w:rPr>
          <w:spacing w:val="-10"/>
          <w:sz w:val="20"/>
        </w:rPr>
        <w:t> </w:t>
      </w:r>
      <w:r>
        <w:rPr>
          <w:sz w:val="20"/>
        </w:rPr>
        <w:t>Fund</w:t>
      </w:r>
      <w:r>
        <w:rPr>
          <w:spacing w:val="-10"/>
          <w:sz w:val="20"/>
        </w:rPr>
        <w:t> </w:t>
      </w:r>
      <w:r>
        <w:rPr>
          <w:sz w:val="20"/>
        </w:rPr>
        <w:t>(a</w:t>
      </w:r>
      <w:r>
        <w:rPr>
          <w:spacing w:val="-11"/>
          <w:sz w:val="20"/>
        </w:rPr>
        <w:t> </w:t>
      </w:r>
      <w:r>
        <w:rPr>
          <w:sz w:val="20"/>
        </w:rPr>
        <w:t>member</w:t>
      </w:r>
      <w:r>
        <w:rPr>
          <w:spacing w:val="-10"/>
          <w:sz w:val="20"/>
        </w:rPr>
        <w:t> </w:t>
      </w:r>
      <w:r>
        <w:rPr>
          <w:sz w:val="20"/>
        </w:rPr>
        <w:t>of</w:t>
      </w:r>
      <w:r>
        <w:rPr>
          <w:spacing w:val="-10"/>
          <w:sz w:val="20"/>
        </w:rPr>
        <w:t> </w:t>
      </w:r>
      <w:r>
        <w:rPr>
          <w:sz w:val="20"/>
        </w:rPr>
        <w:t>The</w:t>
      </w:r>
      <w:r>
        <w:rPr>
          <w:spacing w:val="-10"/>
          <w:sz w:val="20"/>
        </w:rPr>
        <w:t> </w:t>
      </w:r>
      <w:r>
        <w:rPr>
          <w:sz w:val="20"/>
        </w:rPr>
        <w:t>Qatar</w:t>
      </w:r>
      <w:r>
        <w:rPr>
          <w:spacing w:val="-10"/>
          <w:sz w:val="20"/>
        </w:rPr>
        <w:t> </w:t>
      </w:r>
      <w:r>
        <w:rPr>
          <w:sz w:val="20"/>
        </w:rPr>
        <w:t>Foundation). The statements made herein are solely the responsibility of the</w:t>
      </w:r>
      <w:r>
        <w:rPr>
          <w:spacing w:val="-11"/>
          <w:sz w:val="20"/>
        </w:rPr>
        <w:t> </w:t>
      </w:r>
      <w:r>
        <w:rPr>
          <w:sz w:val="20"/>
        </w:rPr>
        <w:t>authors.</w:t>
      </w:r>
    </w:p>
    <w:p>
      <w:pPr>
        <w:spacing w:before="3"/>
        <w:ind w:left="449" w:right="105" w:hanging="170"/>
        <w:jc w:val="both"/>
        <w:rPr>
          <w:sz w:val="20"/>
        </w:rPr>
      </w:pPr>
      <w:bookmarkStart w:name="_bookmark1" w:id="3"/>
      <w:bookmarkEnd w:id="3"/>
      <w:r>
        <w:rPr/>
      </w:r>
      <w:r>
        <w:rPr>
          <w:position w:val="7"/>
          <w:sz w:val="13"/>
        </w:rPr>
        <w:t>1 </w:t>
      </w:r>
      <w:r>
        <w:rPr>
          <w:sz w:val="20"/>
        </w:rPr>
        <w:t>See –– article 3 of the Universal Declaration of Human Rights (United Nations [UN]) UN Doc A/810, 71, UN Doc A/RES/217(III) A, GAOR 3rd Session Part I, 71 (UDHR) [Signed] 10 Dec 1948; article 9 of the International</w:t>
      </w:r>
      <w:r>
        <w:rPr>
          <w:spacing w:val="-20"/>
          <w:sz w:val="20"/>
        </w:rPr>
        <w:t> </w:t>
      </w:r>
      <w:r>
        <w:rPr>
          <w:sz w:val="20"/>
        </w:rPr>
        <w:t>Covenant</w:t>
      </w:r>
      <w:r>
        <w:rPr>
          <w:spacing w:val="-19"/>
          <w:sz w:val="20"/>
        </w:rPr>
        <w:t> </w:t>
      </w:r>
      <w:r>
        <w:rPr>
          <w:sz w:val="20"/>
        </w:rPr>
        <w:t>on</w:t>
      </w:r>
      <w:r>
        <w:rPr>
          <w:spacing w:val="-21"/>
          <w:sz w:val="20"/>
        </w:rPr>
        <w:t> </w:t>
      </w:r>
      <w:r>
        <w:rPr>
          <w:sz w:val="20"/>
        </w:rPr>
        <w:t>Civil</w:t>
      </w:r>
      <w:r>
        <w:rPr>
          <w:spacing w:val="-19"/>
          <w:sz w:val="20"/>
        </w:rPr>
        <w:t> </w:t>
      </w:r>
      <w:r>
        <w:rPr>
          <w:sz w:val="20"/>
        </w:rPr>
        <w:t>and</w:t>
      </w:r>
      <w:r>
        <w:rPr>
          <w:spacing w:val="-20"/>
          <w:sz w:val="20"/>
        </w:rPr>
        <w:t> </w:t>
      </w:r>
      <w:r>
        <w:rPr>
          <w:sz w:val="20"/>
        </w:rPr>
        <w:t>Political</w:t>
      </w:r>
      <w:r>
        <w:rPr>
          <w:spacing w:val="-19"/>
          <w:sz w:val="20"/>
        </w:rPr>
        <w:t> </w:t>
      </w:r>
      <w:r>
        <w:rPr>
          <w:sz w:val="20"/>
        </w:rPr>
        <w:t>Rights</w:t>
      </w:r>
      <w:r>
        <w:rPr>
          <w:spacing w:val="-19"/>
          <w:sz w:val="20"/>
        </w:rPr>
        <w:t> </w:t>
      </w:r>
      <w:r>
        <w:rPr>
          <w:sz w:val="20"/>
        </w:rPr>
        <w:t>(United</w:t>
      </w:r>
      <w:r>
        <w:rPr>
          <w:spacing w:val="-20"/>
          <w:sz w:val="20"/>
        </w:rPr>
        <w:t> </w:t>
      </w:r>
      <w:r>
        <w:rPr>
          <w:sz w:val="20"/>
        </w:rPr>
        <w:t>Nations</w:t>
      </w:r>
      <w:r>
        <w:rPr>
          <w:spacing w:val="-19"/>
          <w:sz w:val="20"/>
        </w:rPr>
        <w:t> </w:t>
      </w:r>
      <w:r>
        <w:rPr>
          <w:sz w:val="20"/>
        </w:rPr>
        <w:t>[UN])</w:t>
      </w:r>
      <w:r>
        <w:rPr>
          <w:spacing w:val="-19"/>
          <w:sz w:val="20"/>
        </w:rPr>
        <w:t> </w:t>
      </w:r>
      <w:r>
        <w:rPr>
          <w:sz w:val="20"/>
        </w:rPr>
        <w:t>999</w:t>
      </w:r>
      <w:r>
        <w:rPr>
          <w:spacing w:val="-19"/>
          <w:sz w:val="20"/>
        </w:rPr>
        <w:t> </w:t>
      </w:r>
      <w:r>
        <w:rPr>
          <w:sz w:val="20"/>
        </w:rPr>
        <w:t>UNTS</w:t>
      </w:r>
      <w:r>
        <w:rPr>
          <w:spacing w:val="-19"/>
          <w:sz w:val="20"/>
        </w:rPr>
        <w:t> </w:t>
      </w:r>
      <w:r>
        <w:rPr>
          <w:sz w:val="20"/>
        </w:rPr>
        <w:t>171,</w:t>
      </w:r>
      <w:r>
        <w:rPr>
          <w:spacing w:val="-19"/>
          <w:sz w:val="20"/>
        </w:rPr>
        <w:t> </w:t>
      </w:r>
      <w:r>
        <w:rPr>
          <w:sz w:val="20"/>
        </w:rPr>
        <w:t>UN</w:t>
      </w:r>
      <w:r>
        <w:rPr>
          <w:spacing w:val="-20"/>
          <w:sz w:val="20"/>
        </w:rPr>
        <w:t> </w:t>
      </w:r>
      <w:r>
        <w:rPr>
          <w:sz w:val="20"/>
        </w:rPr>
        <w:t>Doc</w:t>
      </w:r>
      <w:r>
        <w:rPr>
          <w:spacing w:val="-19"/>
          <w:sz w:val="20"/>
        </w:rPr>
        <w:t> </w:t>
      </w:r>
      <w:r>
        <w:rPr>
          <w:sz w:val="20"/>
        </w:rPr>
        <w:t>A/6316, UN Doc A/RES/2200(XXI), Annex, UN Reg No I-14668 (ICCPR) [Signed] 16 Dec 1966 [Entered Into Force] 23 May 1976; article 5 of the European Convention for the Protection of Human Rights and Fundamental Freedoms (Council of Europe) 213 UNTS 222, ETS No 5, UN Reg No I-2889 (European Convention) [Opened For Signature] 4 Nov 1950 [Entered Into Force] 3 Sep 1953; para 1 of the American</w:t>
      </w:r>
      <w:r>
        <w:rPr>
          <w:spacing w:val="-8"/>
          <w:sz w:val="20"/>
        </w:rPr>
        <w:t> </w:t>
      </w:r>
      <w:r>
        <w:rPr>
          <w:sz w:val="20"/>
        </w:rPr>
        <w:t>Convention</w:t>
      </w:r>
      <w:r>
        <w:rPr>
          <w:spacing w:val="-8"/>
          <w:sz w:val="20"/>
        </w:rPr>
        <w:t> </w:t>
      </w:r>
      <w:r>
        <w:rPr>
          <w:sz w:val="20"/>
        </w:rPr>
        <w:t>on</w:t>
      </w:r>
      <w:r>
        <w:rPr>
          <w:spacing w:val="-8"/>
          <w:sz w:val="20"/>
        </w:rPr>
        <w:t> </w:t>
      </w:r>
      <w:r>
        <w:rPr>
          <w:sz w:val="20"/>
        </w:rPr>
        <w:t>Human</w:t>
      </w:r>
      <w:r>
        <w:rPr>
          <w:spacing w:val="-8"/>
          <w:sz w:val="20"/>
        </w:rPr>
        <w:t> </w:t>
      </w:r>
      <w:r>
        <w:rPr>
          <w:sz w:val="20"/>
        </w:rPr>
        <w:t>Rights</w:t>
      </w:r>
      <w:r>
        <w:rPr>
          <w:spacing w:val="-8"/>
          <w:sz w:val="20"/>
        </w:rPr>
        <w:t> </w:t>
      </w:r>
      <w:r>
        <w:rPr>
          <w:sz w:val="20"/>
        </w:rPr>
        <w:t>"Pact</w:t>
      </w:r>
      <w:r>
        <w:rPr>
          <w:spacing w:val="-8"/>
          <w:sz w:val="20"/>
        </w:rPr>
        <w:t> </w:t>
      </w:r>
      <w:r>
        <w:rPr>
          <w:sz w:val="20"/>
        </w:rPr>
        <w:t>of</w:t>
      </w:r>
      <w:r>
        <w:rPr>
          <w:spacing w:val="-8"/>
          <w:sz w:val="20"/>
        </w:rPr>
        <w:t> </w:t>
      </w:r>
      <w:r>
        <w:rPr>
          <w:sz w:val="20"/>
        </w:rPr>
        <w:t>San</w:t>
      </w:r>
      <w:r>
        <w:rPr>
          <w:spacing w:val="-8"/>
          <w:sz w:val="20"/>
        </w:rPr>
        <w:t> </w:t>
      </w:r>
      <w:r>
        <w:rPr>
          <w:sz w:val="20"/>
        </w:rPr>
        <w:t>José,</w:t>
      </w:r>
      <w:r>
        <w:rPr>
          <w:spacing w:val="-8"/>
          <w:sz w:val="20"/>
        </w:rPr>
        <w:t> </w:t>
      </w:r>
      <w:r>
        <w:rPr>
          <w:sz w:val="20"/>
        </w:rPr>
        <w:t>Costa</w:t>
      </w:r>
      <w:r>
        <w:rPr>
          <w:spacing w:val="-8"/>
          <w:sz w:val="20"/>
        </w:rPr>
        <w:t> </w:t>
      </w:r>
      <w:r>
        <w:rPr>
          <w:sz w:val="20"/>
        </w:rPr>
        <w:t>Rica"</w:t>
      </w:r>
      <w:r>
        <w:rPr>
          <w:spacing w:val="-8"/>
          <w:sz w:val="20"/>
        </w:rPr>
        <w:t> </w:t>
      </w:r>
      <w:r>
        <w:rPr>
          <w:sz w:val="20"/>
        </w:rPr>
        <w:t>(Organization</w:t>
      </w:r>
      <w:r>
        <w:rPr>
          <w:spacing w:val="-8"/>
          <w:sz w:val="20"/>
        </w:rPr>
        <w:t> </w:t>
      </w:r>
      <w:r>
        <w:rPr>
          <w:sz w:val="20"/>
        </w:rPr>
        <w:t>of</w:t>
      </w:r>
      <w:r>
        <w:rPr>
          <w:spacing w:val="-8"/>
          <w:sz w:val="20"/>
        </w:rPr>
        <w:t> </w:t>
      </w:r>
      <w:r>
        <w:rPr>
          <w:sz w:val="20"/>
        </w:rPr>
        <w:t>American</w:t>
      </w:r>
      <w:r>
        <w:rPr>
          <w:spacing w:val="-8"/>
          <w:sz w:val="20"/>
        </w:rPr>
        <w:t> </w:t>
      </w:r>
      <w:r>
        <w:rPr>
          <w:sz w:val="20"/>
        </w:rPr>
        <w:t>States [OAS]) OASTS No 36, 1144 UNTS 123, B-32, OEA/Ser.L.V/II.82 doc.6 rev.1, 25 (American Convention) [Signed and Opened For Signature] 22 Nov 1969 [Entered Into Force] 18 July 1978; article 14 of the Arab Charter on Human Rights (Revised) (Arab League) (2005) 12 IHRR 893 (Arab Charter) [Adopted] 22</w:t>
      </w:r>
      <w:r>
        <w:rPr>
          <w:spacing w:val="-8"/>
          <w:sz w:val="20"/>
        </w:rPr>
        <w:t> </w:t>
      </w:r>
      <w:r>
        <w:rPr>
          <w:sz w:val="20"/>
        </w:rPr>
        <w:t>May</w:t>
      </w:r>
      <w:r>
        <w:rPr>
          <w:spacing w:val="-8"/>
          <w:sz w:val="20"/>
        </w:rPr>
        <w:t> </w:t>
      </w:r>
      <w:r>
        <w:rPr>
          <w:sz w:val="20"/>
        </w:rPr>
        <w:t>2004</w:t>
      </w:r>
      <w:r>
        <w:rPr>
          <w:spacing w:val="-9"/>
          <w:sz w:val="20"/>
        </w:rPr>
        <w:t> </w:t>
      </w:r>
      <w:r>
        <w:rPr>
          <w:sz w:val="20"/>
        </w:rPr>
        <w:t>[Entered</w:t>
      </w:r>
      <w:r>
        <w:rPr>
          <w:spacing w:val="-8"/>
          <w:sz w:val="20"/>
        </w:rPr>
        <w:t> </w:t>
      </w:r>
      <w:r>
        <w:rPr>
          <w:sz w:val="20"/>
        </w:rPr>
        <w:t>Into</w:t>
      </w:r>
      <w:r>
        <w:rPr>
          <w:spacing w:val="-8"/>
          <w:sz w:val="20"/>
        </w:rPr>
        <w:t> </w:t>
      </w:r>
      <w:r>
        <w:rPr>
          <w:sz w:val="20"/>
        </w:rPr>
        <w:t>Force]</w:t>
      </w:r>
      <w:r>
        <w:rPr>
          <w:spacing w:val="-7"/>
          <w:sz w:val="20"/>
        </w:rPr>
        <w:t> </w:t>
      </w:r>
      <w:r>
        <w:rPr>
          <w:sz w:val="20"/>
        </w:rPr>
        <w:t>15</w:t>
      </w:r>
      <w:r>
        <w:rPr>
          <w:spacing w:val="-9"/>
          <w:sz w:val="20"/>
        </w:rPr>
        <w:t> </w:t>
      </w:r>
      <w:r>
        <w:rPr>
          <w:sz w:val="20"/>
        </w:rPr>
        <w:t>May</w:t>
      </w:r>
      <w:r>
        <w:rPr>
          <w:spacing w:val="-8"/>
          <w:sz w:val="20"/>
        </w:rPr>
        <w:t> </w:t>
      </w:r>
      <w:r>
        <w:rPr>
          <w:sz w:val="20"/>
        </w:rPr>
        <w:t>2008;</w:t>
      </w:r>
      <w:r>
        <w:rPr>
          <w:spacing w:val="-8"/>
          <w:sz w:val="20"/>
        </w:rPr>
        <w:t> </w:t>
      </w:r>
      <w:r>
        <w:rPr>
          <w:sz w:val="20"/>
        </w:rPr>
        <w:t>Article</w:t>
      </w:r>
      <w:r>
        <w:rPr>
          <w:spacing w:val="-7"/>
          <w:sz w:val="20"/>
        </w:rPr>
        <w:t> </w:t>
      </w:r>
      <w:r>
        <w:rPr>
          <w:sz w:val="20"/>
        </w:rPr>
        <w:t>6</w:t>
      </w:r>
      <w:r>
        <w:rPr>
          <w:spacing w:val="-8"/>
          <w:sz w:val="20"/>
        </w:rPr>
        <w:t> </w:t>
      </w:r>
      <w:r>
        <w:rPr>
          <w:sz w:val="20"/>
        </w:rPr>
        <w:t>of</w:t>
      </w:r>
      <w:r>
        <w:rPr>
          <w:spacing w:val="-8"/>
          <w:sz w:val="20"/>
        </w:rPr>
        <w:t> </w:t>
      </w:r>
      <w:r>
        <w:rPr>
          <w:sz w:val="20"/>
        </w:rPr>
        <w:t>the</w:t>
      </w:r>
      <w:r>
        <w:rPr>
          <w:spacing w:val="-7"/>
          <w:sz w:val="20"/>
        </w:rPr>
        <w:t> </w:t>
      </w:r>
      <w:r>
        <w:rPr>
          <w:sz w:val="20"/>
        </w:rPr>
        <w:t>African</w:t>
      </w:r>
      <w:r>
        <w:rPr>
          <w:spacing w:val="-8"/>
          <w:sz w:val="20"/>
        </w:rPr>
        <w:t> </w:t>
      </w:r>
      <w:r>
        <w:rPr>
          <w:sz w:val="20"/>
        </w:rPr>
        <w:t>Charter</w:t>
      </w:r>
      <w:r>
        <w:rPr>
          <w:spacing w:val="-8"/>
          <w:sz w:val="20"/>
        </w:rPr>
        <w:t> </w:t>
      </w:r>
      <w:r>
        <w:rPr>
          <w:sz w:val="20"/>
        </w:rPr>
        <w:t>on</w:t>
      </w:r>
      <w:r>
        <w:rPr>
          <w:spacing w:val="-8"/>
          <w:sz w:val="20"/>
        </w:rPr>
        <w:t> </w:t>
      </w:r>
      <w:r>
        <w:rPr>
          <w:sz w:val="20"/>
        </w:rPr>
        <w:t>Human</w:t>
      </w:r>
      <w:r>
        <w:rPr>
          <w:spacing w:val="-9"/>
          <w:sz w:val="20"/>
        </w:rPr>
        <w:t> </w:t>
      </w:r>
      <w:r>
        <w:rPr>
          <w:sz w:val="20"/>
        </w:rPr>
        <w:t>and</w:t>
      </w:r>
      <w:r>
        <w:rPr>
          <w:spacing w:val="-9"/>
          <w:sz w:val="20"/>
        </w:rPr>
        <w:t> </w:t>
      </w:r>
      <w:r>
        <w:rPr>
          <w:sz w:val="20"/>
        </w:rPr>
        <w:t>Peoples' Rights “Banjul Charter” (Organization of African Unity (historical) [OAU]) 1520 UNTS 217, OAU Doc CAB/LEG/67/3</w:t>
      </w:r>
      <w:r>
        <w:rPr>
          <w:spacing w:val="-10"/>
          <w:sz w:val="20"/>
        </w:rPr>
        <w:t> </w:t>
      </w:r>
      <w:r>
        <w:rPr>
          <w:sz w:val="20"/>
        </w:rPr>
        <w:t>rev.5,</w:t>
      </w:r>
      <w:r>
        <w:rPr>
          <w:spacing w:val="-9"/>
          <w:sz w:val="20"/>
        </w:rPr>
        <w:t> </w:t>
      </w:r>
      <w:r>
        <w:rPr>
          <w:sz w:val="20"/>
        </w:rPr>
        <w:t>UN</w:t>
      </w:r>
      <w:r>
        <w:rPr>
          <w:spacing w:val="-10"/>
          <w:sz w:val="20"/>
        </w:rPr>
        <w:t> </w:t>
      </w:r>
      <w:r>
        <w:rPr>
          <w:sz w:val="20"/>
        </w:rPr>
        <w:t>Reg</w:t>
      </w:r>
      <w:r>
        <w:rPr>
          <w:spacing w:val="-10"/>
          <w:sz w:val="20"/>
        </w:rPr>
        <w:t> </w:t>
      </w:r>
      <w:r>
        <w:rPr>
          <w:sz w:val="20"/>
        </w:rPr>
        <w:t>No</w:t>
      </w:r>
      <w:r>
        <w:rPr>
          <w:spacing w:val="-9"/>
          <w:sz w:val="20"/>
        </w:rPr>
        <w:t> </w:t>
      </w:r>
      <w:r>
        <w:rPr>
          <w:sz w:val="20"/>
        </w:rPr>
        <w:t>I-26363</w:t>
      </w:r>
      <w:r>
        <w:rPr>
          <w:spacing w:val="-10"/>
          <w:sz w:val="20"/>
        </w:rPr>
        <w:t> </w:t>
      </w:r>
      <w:r>
        <w:rPr>
          <w:sz w:val="20"/>
        </w:rPr>
        <w:t>(African</w:t>
      </w:r>
      <w:r>
        <w:rPr>
          <w:spacing w:val="-10"/>
          <w:sz w:val="20"/>
        </w:rPr>
        <w:t> </w:t>
      </w:r>
      <w:r>
        <w:rPr>
          <w:sz w:val="20"/>
        </w:rPr>
        <w:t>Chapter)</w:t>
      </w:r>
      <w:r>
        <w:rPr>
          <w:spacing w:val="-10"/>
          <w:sz w:val="20"/>
        </w:rPr>
        <w:t> </w:t>
      </w:r>
      <w:r>
        <w:rPr>
          <w:sz w:val="20"/>
        </w:rPr>
        <w:t>[Adopted</w:t>
      </w:r>
      <w:r>
        <w:rPr>
          <w:spacing w:val="-10"/>
          <w:sz w:val="20"/>
        </w:rPr>
        <w:t> </w:t>
      </w:r>
      <w:r>
        <w:rPr>
          <w:sz w:val="20"/>
        </w:rPr>
        <w:t>and</w:t>
      </w:r>
      <w:r>
        <w:rPr>
          <w:spacing w:val="-10"/>
          <w:sz w:val="20"/>
        </w:rPr>
        <w:t> </w:t>
      </w:r>
      <w:r>
        <w:rPr>
          <w:sz w:val="20"/>
        </w:rPr>
        <w:t>Opened</w:t>
      </w:r>
      <w:r>
        <w:rPr>
          <w:spacing w:val="-10"/>
          <w:sz w:val="20"/>
        </w:rPr>
        <w:t> </w:t>
      </w:r>
      <w:r>
        <w:rPr>
          <w:sz w:val="20"/>
        </w:rPr>
        <w:t>For</w:t>
      </w:r>
      <w:r>
        <w:rPr>
          <w:spacing w:val="-10"/>
          <w:sz w:val="20"/>
        </w:rPr>
        <w:t> </w:t>
      </w:r>
      <w:r>
        <w:rPr>
          <w:sz w:val="20"/>
        </w:rPr>
        <w:t>Signature]</w:t>
      </w:r>
      <w:r>
        <w:rPr>
          <w:spacing w:val="-10"/>
          <w:sz w:val="20"/>
        </w:rPr>
        <w:t> </w:t>
      </w:r>
      <w:r>
        <w:rPr>
          <w:sz w:val="20"/>
        </w:rPr>
        <w:t>27</w:t>
      </w:r>
      <w:r>
        <w:rPr>
          <w:spacing w:val="-10"/>
          <w:sz w:val="20"/>
        </w:rPr>
        <w:t> </w:t>
      </w:r>
      <w:r>
        <w:rPr>
          <w:sz w:val="20"/>
        </w:rPr>
        <w:t>Jun 1981 [Entered Into Force] 21 Oct</w:t>
      </w:r>
      <w:r>
        <w:rPr>
          <w:spacing w:val="-6"/>
          <w:sz w:val="20"/>
        </w:rPr>
        <w:t> </w:t>
      </w:r>
      <w:r>
        <w:rPr>
          <w:sz w:val="20"/>
        </w:rPr>
        <w:t>1986.</w:t>
      </w:r>
    </w:p>
    <w:p>
      <w:pPr>
        <w:spacing w:line="232" w:lineRule="auto" w:before="6"/>
        <w:ind w:left="391" w:right="106" w:hanging="113"/>
        <w:jc w:val="both"/>
        <w:rPr>
          <w:sz w:val="20"/>
        </w:rPr>
      </w:pPr>
      <w:bookmarkStart w:name="_bookmark2" w:id="4"/>
      <w:bookmarkEnd w:id="4"/>
      <w:r>
        <w:rPr/>
      </w:r>
      <w:r>
        <w:rPr>
          <w:position w:val="7"/>
          <w:sz w:val="13"/>
        </w:rPr>
        <w:t>2</w:t>
      </w:r>
      <w:r>
        <w:rPr>
          <w:spacing w:val="-3"/>
          <w:position w:val="7"/>
          <w:sz w:val="13"/>
        </w:rPr>
        <w:t> </w:t>
      </w:r>
      <w:r>
        <w:rPr>
          <w:sz w:val="20"/>
        </w:rPr>
        <w:t>These</w:t>
      </w:r>
      <w:r>
        <w:rPr>
          <w:spacing w:val="-12"/>
          <w:sz w:val="20"/>
        </w:rPr>
        <w:t> </w:t>
      </w:r>
      <w:r>
        <w:rPr>
          <w:sz w:val="20"/>
        </w:rPr>
        <w:t>two</w:t>
      </w:r>
      <w:r>
        <w:rPr>
          <w:spacing w:val="-12"/>
          <w:sz w:val="20"/>
        </w:rPr>
        <w:t> </w:t>
      </w:r>
      <w:r>
        <w:rPr>
          <w:sz w:val="20"/>
        </w:rPr>
        <w:t>dimensions</w:t>
      </w:r>
      <w:r>
        <w:rPr>
          <w:spacing w:val="-12"/>
          <w:sz w:val="20"/>
        </w:rPr>
        <w:t> </w:t>
      </w:r>
      <w:r>
        <w:rPr>
          <w:sz w:val="20"/>
        </w:rPr>
        <w:t>are</w:t>
      </w:r>
      <w:r>
        <w:rPr>
          <w:spacing w:val="-13"/>
          <w:sz w:val="20"/>
        </w:rPr>
        <w:t> </w:t>
      </w:r>
      <w:r>
        <w:rPr>
          <w:sz w:val="20"/>
        </w:rPr>
        <w:t>closely</w:t>
      </w:r>
      <w:r>
        <w:rPr>
          <w:spacing w:val="-12"/>
          <w:sz w:val="20"/>
        </w:rPr>
        <w:t> </w:t>
      </w:r>
      <w:r>
        <w:rPr>
          <w:sz w:val="20"/>
        </w:rPr>
        <w:t>connected</w:t>
      </w:r>
      <w:r>
        <w:rPr>
          <w:spacing w:val="-11"/>
          <w:sz w:val="20"/>
        </w:rPr>
        <w:t> </w:t>
      </w:r>
      <w:r>
        <w:rPr>
          <w:sz w:val="20"/>
        </w:rPr>
        <w:t>and</w:t>
      </w:r>
      <w:r>
        <w:rPr>
          <w:spacing w:val="-11"/>
          <w:sz w:val="20"/>
        </w:rPr>
        <w:t> </w:t>
      </w:r>
      <w:r>
        <w:rPr>
          <w:sz w:val="20"/>
        </w:rPr>
        <w:t>are</w:t>
      </w:r>
      <w:r>
        <w:rPr>
          <w:spacing w:val="-12"/>
          <w:sz w:val="20"/>
        </w:rPr>
        <w:t> </w:t>
      </w:r>
      <w:r>
        <w:rPr>
          <w:sz w:val="20"/>
        </w:rPr>
        <w:t>commonly</w:t>
      </w:r>
      <w:r>
        <w:rPr>
          <w:spacing w:val="-12"/>
          <w:sz w:val="20"/>
        </w:rPr>
        <w:t> </w:t>
      </w:r>
      <w:r>
        <w:rPr>
          <w:sz w:val="20"/>
        </w:rPr>
        <w:t>summarised</w:t>
      </w:r>
      <w:r>
        <w:rPr>
          <w:spacing w:val="-13"/>
          <w:sz w:val="20"/>
        </w:rPr>
        <w:t> </w:t>
      </w:r>
      <w:r>
        <w:rPr>
          <w:sz w:val="20"/>
        </w:rPr>
        <w:t>in</w:t>
      </w:r>
      <w:r>
        <w:rPr>
          <w:spacing w:val="-11"/>
          <w:sz w:val="20"/>
        </w:rPr>
        <w:t> </w:t>
      </w:r>
      <w:r>
        <w:rPr>
          <w:sz w:val="20"/>
        </w:rPr>
        <w:t>the</w:t>
      </w:r>
      <w:r>
        <w:rPr>
          <w:spacing w:val="-11"/>
          <w:sz w:val="20"/>
        </w:rPr>
        <w:t> </w:t>
      </w:r>
      <w:r>
        <w:rPr>
          <w:sz w:val="20"/>
        </w:rPr>
        <w:t>concept</w:t>
      </w:r>
      <w:r>
        <w:rPr>
          <w:spacing w:val="-12"/>
          <w:sz w:val="20"/>
        </w:rPr>
        <w:t> </w:t>
      </w:r>
      <w:r>
        <w:rPr>
          <w:sz w:val="20"/>
        </w:rPr>
        <w:t>of</w:t>
      </w:r>
      <w:r>
        <w:rPr>
          <w:spacing w:val="-12"/>
          <w:sz w:val="20"/>
        </w:rPr>
        <w:t> </w:t>
      </w:r>
      <w:r>
        <w:rPr>
          <w:sz w:val="20"/>
        </w:rPr>
        <w:t>protection of liberty, see European Court of Human Rights (ECtHR), </w:t>
      </w:r>
      <w:r>
        <w:rPr>
          <w:i/>
          <w:sz w:val="21"/>
        </w:rPr>
        <w:t>Altun v. Turkey</w:t>
      </w:r>
      <w:r>
        <w:rPr>
          <w:sz w:val="20"/>
        </w:rPr>
        <w:t>, no. 24561/94, June 1, 2004 (unreported at the time of</w:t>
      </w:r>
      <w:r>
        <w:rPr>
          <w:spacing w:val="-6"/>
          <w:sz w:val="20"/>
        </w:rPr>
        <w:t> </w:t>
      </w:r>
      <w:r>
        <w:rPr>
          <w:sz w:val="20"/>
        </w:rPr>
        <w:t>writing).</w:t>
      </w:r>
    </w:p>
    <w:p>
      <w:pPr>
        <w:spacing w:after="0" w:line="232" w:lineRule="auto"/>
        <w:jc w:val="both"/>
        <w:rPr>
          <w:sz w:val="20"/>
        </w:rPr>
        <w:sectPr>
          <w:footerReference w:type="default" r:id="rId5"/>
          <w:type w:val="continuous"/>
          <w:pgSz w:w="11910" w:h="16840"/>
          <w:pgMar w:footer="523" w:top="1320" w:bottom="720" w:left="940" w:right="1320"/>
          <w:pgNumType w:start="55"/>
        </w:sectPr>
      </w:pPr>
    </w:p>
    <w:p>
      <w:pPr>
        <w:pStyle w:val="BodyText"/>
        <w:spacing w:before="82"/>
        <w:ind w:left="397" w:right="107"/>
        <w:jc w:val="both"/>
      </w:pPr>
      <w:r>
        <w:rPr/>
        <w:t>shall</w:t>
      </w:r>
      <w:r>
        <w:rPr>
          <w:spacing w:val="-12"/>
        </w:rPr>
        <w:t> </w:t>
      </w:r>
      <w:r>
        <w:rPr/>
        <w:t>be</w:t>
      </w:r>
      <w:r>
        <w:rPr>
          <w:spacing w:val="-13"/>
        </w:rPr>
        <w:t> </w:t>
      </w:r>
      <w:r>
        <w:rPr/>
        <w:t>deprived</w:t>
      </w:r>
      <w:r>
        <w:rPr>
          <w:spacing w:val="-13"/>
        </w:rPr>
        <w:t> </w:t>
      </w:r>
      <w:r>
        <w:rPr/>
        <w:t>of</w:t>
      </w:r>
      <w:r>
        <w:rPr>
          <w:spacing w:val="-12"/>
        </w:rPr>
        <w:t> </w:t>
      </w:r>
      <w:r>
        <w:rPr/>
        <w:t>their</w:t>
      </w:r>
      <w:r>
        <w:rPr>
          <w:spacing w:val="-11"/>
        </w:rPr>
        <w:t> </w:t>
      </w:r>
      <w:r>
        <w:rPr/>
        <w:t>liberty</w:t>
      </w:r>
      <w:r>
        <w:rPr>
          <w:spacing w:val="-12"/>
        </w:rPr>
        <w:t> </w:t>
      </w:r>
      <w:r>
        <w:rPr/>
        <w:t>save</w:t>
      </w:r>
      <w:r>
        <w:rPr>
          <w:spacing w:val="-12"/>
        </w:rPr>
        <w:t> </w:t>
      </w:r>
      <w:r>
        <w:rPr/>
        <w:t>in</w:t>
      </w:r>
      <w:r>
        <w:rPr>
          <w:spacing w:val="-12"/>
        </w:rPr>
        <w:t> </w:t>
      </w:r>
      <w:r>
        <w:rPr/>
        <w:t>the</w:t>
      </w:r>
      <w:r>
        <w:rPr>
          <w:spacing w:val="-12"/>
        </w:rPr>
        <w:t> </w:t>
      </w:r>
      <w:r>
        <w:rPr/>
        <w:t>cases</w:t>
      </w:r>
      <w:r>
        <w:rPr>
          <w:spacing w:val="-12"/>
        </w:rPr>
        <w:t> </w:t>
      </w:r>
      <w:r>
        <w:rPr/>
        <w:t>established</w:t>
      </w:r>
      <w:r>
        <w:rPr>
          <w:spacing w:val="-12"/>
        </w:rPr>
        <w:t> </w:t>
      </w:r>
      <w:r>
        <w:rPr/>
        <w:t>by</w:t>
      </w:r>
      <w:r>
        <w:rPr>
          <w:spacing w:val="-12"/>
        </w:rPr>
        <w:t> </w:t>
      </w:r>
      <w:r>
        <w:rPr/>
        <w:t>the</w:t>
      </w:r>
      <w:r>
        <w:rPr>
          <w:spacing w:val="-12"/>
        </w:rPr>
        <w:t> </w:t>
      </w:r>
      <w:r>
        <w:rPr/>
        <w:t>law,</w:t>
      </w:r>
      <w:r>
        <w:rPr>
          <w:spacing w:val="-12"/>
        </w:rPr>
        <w:t> </w:t>
      </w:r>
      <w:r>
        <w:rPr/>
        <w:t>in</w:t>
      </w:r>
      <w:r>
        <w:rPr>
          <w:spacing w:val="-12"/>
        </w:rPr>
        <w:t> </w:t>
      </w:r>
      <w:r>
        <w:rPr/>
        <w:t>accordance with proscribed procedures, and not unless several formal safeguards are respected.</w:t>
      </w:r>
      <w:hyperlink w:history="true" w:anchor="_bookmark3">
        <w:r>
          <w:rPr>
            <w:position w:val="8"/>
            <w:sz w:val="16"/>
          </w:rPr>
          <w:t>3</w:t>
        </w:r>
      </w:hyperlink>
      <w:r>
        <w:rPr>
          <w:position w:val="8"/>
          <w:sz w:val="16"/>
        </w:rPr>
        <w:t> </w:t>
      </w:r>
      <w:r>
        <w:rPr/>
        <w:t>Although persons with disabilities are not explicitly mentioned in the right to liberty provisions</w:t>
      </w:r>
      <w:r>
        <w:rPr>
          <w:spacing w:val="-14"/>
        </w:rPr>
        <w:t> </w:t>
      </w:r>
      <w:r>
        <w:rPr/>
        <w:t>within</w:t>
      </w:r>
      <w:r>
        <w:rPr>
          <w:spacing w:val="-12"/>
        </w:rPr>
        <w:t> </w:t>
      </w:r>
      <w:r>
        <w:rPr/>
        <w:t>these</w:t>
      </w:r>
      <w:r>
        <w:rPr>
          <w:spacing w:val="-12"/>
        </w:rPr>
        <w:t> </w:t>
      </w:r>
      <w:r>
        <w:rPr/>
        <w:t>international</w:t>
      </w:r>
      <w:r>
        <w:rPr>
          <w:spacing w:val="-12"/>
        </w:rPr>
        <w:t> </w:t>
      </w:r>
      <w:r>
        <w:rPr/>
        <w:t>instruments,</w:t>
      </w:r>
      <w:hyperlink w:history="true" w:anchor="_bookmark4">
        <w:r>
          <w:rPr>
            <w:position w:val="8"/>
            <w:sz w:val="16"/>
          </w:rPr>
          <w:t>4</w:t>
        </w:r>
        <w:r>
          <w:rPr>
            <w:spacing w:val="-2"/>
            <w:position w:val="8"/>
            <w:sz w:val="16"/>
          </w:rPr>
          <w:t> </w:t>
        </w:r>
      </w:hyperlink>
      <w:r>
        <w:rPr/>
        <w:t>in</w:t>
      </w:r>
      <w:r>
        <w:rPr>
          <w:spacing w:val="-12"/>
        </w:rPr>
        <w:t> </w:t>
      </w:r>
      <w:r>
        <w:rPr/>
        <w:t>theory</w:t>
      </w:r>
      <w:r>
        <w:rPr>
          <w:spacing w:val="-12"/>
        </w:rPr>
        <w:t> </w:t>
      </w:r>
      <w:r>
        <w:rPr/>
        <w:t>they</w:t>
      </w:r>
      <w:r>
        <w:rPr>
          <w:spacing w:val="-12"/>
        </w:rPr>
        <w:t> </w:t>
      </w:r>
      <w:r>
        <w:rPr/>
        <w:t>are</w:t>
      </w:r>
      <w:r>
        <w:rPr>
          <w:spacing w:val="-12"/>
        </w:rPr>
        <w:t> </w:t>
      </w:r>
      <w:r>
        <w:rPr/>
        <w:t>protected</w:t>
      </w:r>
      <w:r>
        <w:rPr>
          <w:spacing w:val="-12"/>
        </w:rPr>
        <w:t> </w:t>
      </w:r>
      <w:r>
        <w:rPr/>
        <w:t>by</w:t>
      </w:r>
      <w:r>
        <w:rPr>
          <w:spacing w:val="-11"/>
        </w:rPr>
        <w:t> </w:t>
      </w:r>
      <w:r>
        <w:rPr/>
        <w:t>such provisions.</w:t>
      </w:r>
    </w:p>
    <w:p>
      <w:pPr>
        <w:pStyle w:val="BodyText"/>
        <w:spacing w:before="11"/>
        <w:rPr>
          <w:sz w:val="23"/>
        </w:rPr>
      </w:pPr>
    </w:p>
    <w:p>
      <w:pPr>
        <w:pStyle w:val="BodyText"/>
        <w:spacing w:before="1"/>
        <w:ind w:left="397" w:right="106"/>
        <w:jc w:val="both"/>
      </w:pPr>
      <w:r>
        <w:rPr/>
        <w:t>However,</w:t>
      </w:r>
      <w:r>
        <w:rPr>
          <w:spacing w:val="-10"/>
        </w:rPr>
        <w:t> </w:t>
      </w:r>
      <w:r>
        <w:rPr/>
        <w:t>this</w:t>
      </w:r>
      <w:r>
        <w:rPr>
          <w:spacing w:val="-10"/>
        </w:rPr>
        <w:t> </w:t>
      </w:r>
      <w:r>
        <w:rPr/>
        <w:t>somewhat</w:t>
      </w:r>
      <w:r>
        <w:rPr>
          <w:spacing w:val="-11"/>
        </w:rPr>
        <w:t> </w:t>
      </w:r>
      <w:r>
        <w:rPr/>
        <w:t>oblique</w:t>
      </w:r>
      <w:r>
        <w:rPr>
          <w:spacing w:val="-11"/>
        </w:rPr>
        <w:t> </w:t>
      </w:r>
      <w:r>
        <w:rPr/>
        <w:t>recognition</w:t>
      </w:r>
      <w:r>
        <w:rPr>
          <w:spacing w:val="-11"/>
        </w:rPr>
        <w:t> </w:t>
      </w:r>
      <w:r>
        <w:rPr/>
        <w:t>of</w:t>
      </w:r>
      <w:r>
        <w:rPr>
          <w:spacing w:val="-11"/>
        </w:rPr>
        <w:t> </w:t>
      </w:r>
      <w:r>
        <w:rPr/>
        <w:t>the</w:t>
      </w:r>
      <w:r>
        <w:rPr>
          <w:spacing w:val="-11"/>
        </w:rPr>
        <w:t> </w:t>
      </w:r>
      <w:r>
        <w:rPr/>
        <w:t>right</w:t>
      </w:r>
      <w:r>
        <w:rPr>
          <w:spacing w:val="-10"/>
        </w:rPr>
        <w:t> </w:t>
      </w:r>
      <w:r>
        <w:rPr/>
        <w:t>to</w:t>
      </w:r>
      <w:r>
        <w:rPr>
          <w:spacing w:val="-11"/>
        </w:rPr>
        <w:t> </w:t>
      </w:r>
      <w:r>
        <w:rPr/>
        <w:t>liberty</w:t>
      </w:r>
      <w:r>
        <w:rPr>
          <w:spacing w:val="-11"/>
        </w:rPr>
        <w:t> </w:t>
      </w:r>
      <w:r>
        <w:rPr/>
        <w:t>has</w:t>
      </w:r>
      <w:r>
        <w:rPr>
          <w:spacing w:val="-12"/>
        </w:rPr>
        <w:t> </w:t>
      </w:r>
      <w:r>
        <w:rPr/>
        <w:t>been</w:t>
      </w:r>
      <w:r>
        <w:rPr>
          <w:spacing w:val="-11"/>
        </w:rPr>
        <w:t> </w:t>
      </w:r>
      <w:r>
        <w:rPr/>
        <w:t>considered compatible</w:t>
      </w:r>
      <w:r>
        <w:rPr>
          <w:spacing w:val="-12"/>
        </w:rPr>
        <w:t> </w:t>
      </w:r>
      <w:r>
        <w:rPr/>
        <w:t>with</w:t>
      </w:r>
      <w:r>
        <w:rPr>
          <w:spacing w:val="-10"/>
        </w:rPr>
        <w:t> </w:t>
      </w:r>
      <w:r>
        <w:rPr/>
        <w:t>extended</w:t>
      </w:r>
      <w:r>
        <w:rPr>
          <w:spacing w:val="-11"/>
        </w:rPr>
        <w:t> </w:t>
      </w:r>
      <w:r>
        <w:rPr/>
        <w:t>and</w:t>
      </w:r>
      <w:r>
        <w:rPr>
          <w:spacing w:val="-12"/>
        </w:rPr>
        <w:t> </w:t>
      </w:r>
      <w:r>
        <w:rPr/>
        <w:t>deeply-rooted</w:t>
      </w:r>
      <w:r>
        <w:rPr>
          <w:spacing w:val="-11"/>
        </w:rPr>
        <w:t> </w:t>
      </w:r>
      <w:r>
        <w:rPr/>
        <w:t>practices</w:t>
      </w:r>
      <w:r>
        <w:rPr>
          <w:spacing w:val="-12"/>
        </w:rPr>
        <w:t> </w:t>
      </w:r>
      <w:r>
        <w:rPr/>
        <w:t>that</w:t>
      </w:r>
      <w:r>
        <w:rPr>
          <w:spacing w:val="-11"/>
        </w:rPr>
        <w:t> </w:t>
      </w:r>
      <w:r>
        <w:rPr/>
        <w:t>introduce</w:t>
      </w:r>
      <w:r>
        <w:rPr>
          <w:spacing w:val="-10"/>
        </w:rPr>
        <w:t> </w:t>
      </w:r>
      <w:r>
        <w:rPr/>
        <w:t>restrictions</w:t>
      </w:r>
      <w:r>
        <w:rPr>
          <w:spacing w:val="-10"/>
        </w:rPr>
        <w:t> </w:t>
      </w:r>
      <w:r>
        <w:rPr/>
        <w:t>in</w:t>
      </w:r>
      <w:r>
        <w:rPr>
          <w:spacing w:val="-11"/>
        </w:rPr>
        <w:t> </w:t>
      </w:r>
      <w:r>
        <w:rPr/>
        <w:t>the enjoyment</w:t>
      </w:r>
      <w:r>
        <w:rPr>
          <w:spacing w:val="-14"/>
        </w:rPr>
        <w:t> </w:t>
      </w:r>
      <w:r>
        <w:rPr/>
        <w:t>of</w:t>
      </w:r>
      <w:r>
        <w:rPr>
          <w:spacing w:val="-13"/>
        </w:rPr>
        <w:t> </w:t>
      </w:r>
      <w:r>
        <w:rPr/>
        <w:t>this</w:t>
      </w:r>
      <w:r>
        <w:rPr>
          <w:spacing w:val="-13"/>
        </w:rPr>
        <w:t> </w:t>
      </w:r>
      <w:r>
        <w:rPr/>
        <w:t>right</w:t>
      </w:r>
      <w:r>
        <w:rPr>
          <w:spacing w:val="-14"/>
        </w:rPr>
        <w:t> </w:t>
      </w:r>
      <w:r>
        <w:rPr/>
        <w:t>within</w:t>
      </w:r>
      <w:r>
        <w:rPr>
          <w:spacing w:val="-13"/>
        </w:rPr>
        <w:t> </w:t>
      </w:r>
      <w:r>
        <w:rPr/>
        <w:t>the</w:t>
      </w:r>
      <w:r>
        <w:rPr>
          <w:spacing w:val="-14"/>
        </w:rPr>
        <w:t> </w:t>
      </w:r>
      <w:r>
        <w:rPr/>
        <w:t>context</w:t>
      </w:r>
      <w:r>
        <w:rPr>
          <w:spacing w:val="-13"/>
        </w:rPr>
        <w:t> </w:t>
      </w:r>
      <w:r>
        <w:rPr/>
        <w:t>of</w:t>
      </w:r>
      <w:r>
        <w:rPr>
          <w:spacing w:val="-13"/>
        </w:rPr>
        <w:t> </w:t>
      </w:r>
      <w:r>
        <w:rPr/>
        <w:t>disability.</w:t>
      </w:r>
      <w:r>
        <w:rPr>
          <w:spacing w:val="-13"/>
        </w:rPr>
        <w:t> </w:t>
      </w:r>
      <w:r>
        <w:rPr/>
        <w:t>These</w:t>
      </w:r>
      <w:r>
        <w:rPr>
          <w:spacing w:val="-13"/>
        </w:rPr>
        <w:t> </w:t>
      </w:r>
      <w:r>
        <w:rPr/>
        <w:t>practices,</w:t>
      </w:r>
      <w:r>
        <w:rPr>
          <w:spacing w:val="-13"/>
        </w:rPr>
        <w:t> </w:t>
      </w:r>
      <w:r>
        <w:rPr/>
        <w:t>which</w:t>
      </w:r>
      <w:r>
        <w:rPr>
          <w:spacing w:val="-13"/>
        </w:rPr>
        <w:t> </w:t>
      </w:r>
      <w:r>
        <w:rPr/>
        <w:t>imply</w:t>
      </w:r>
      <w:r>
        <w:rPr>
          <w:spacing w:val="-13"/>
        </w:rPr>
        <w:t> </w:t>
      </w:r>
      <w:r>
        <w:rPr/>
        <w:t>the establishment of specific regimes of deprivation of liberty singularly applicable to persons</w:t>
      </w:r>
      <w:r>
        <w:rPr>
          <w:spacing w:val="-10"/>
        </w:rPr>
        <w:t> </w:t>
      </w:r>
      <w:r>
        <w:rPr/>
        <w:t>labelled</w:t>
      </w:r>
      <w:r>
        <w:rPr>
          <w:spacing w:val="-10"/>
        </w:rPr>
        <w:t> </w:t>
      </w:r>
      <w:r>
        <w:rPr/>
        <w:t>as</w:t>
      </w:r>
      <w:r>
        <w:rPr>
          <w:spacing w:val="-10"/>
        </w:rPr>
        <w:t> </w:t>
      </w:r>
      <w:r>
        <w:rPr/>
        <w:t>having</w:t>
      </w:r>
      <w:r>
        <w:rPr>
          <w:spacing w:val="-10"/>
        </w:rPr>
        <w:t> </w:t>
      </w:r>
      <w:r>
        <w:rPr/>
        <w:t>intellectual</w:t>
      </w:r>
      <w:r>
        <w:rPr>
          <w:spacing w:val="-10"/>
        </w:rPr>
        <w:t> </w:t>
      </w:r>
      <w:r>
        <w:rPr/>
        <w:t>and</w:t>
      </w:r>
      <w:r>
        <w:rPr>
          <w:spacing w:val="-10"/>
        </w:rPr>
        <w:t> </w:t>
      </w:r>
      <w:r>
        <w:rPr/>
        <w:t>psychosocial</w:t>
      </w:r>
      <w:r>
        <w:rPr>
          <w:spacing w:val="-11"/>
        </w:rPr>
        <w:t> </w:t>
      </w:r>
      <w:r>
        <w:rPr/>
        <w:t>disabilities</w:t>
      </w:r>
      <w:r>
        <w:rPr>
          <w:spacing w:val="-12"/>
        </w:rPr>
        <w:t> </w:t>
      </w:r>
      <w:r>
        <w:rPr/>
        <w:t>(e.g.</w:t>
      </w:r>
      <w:r>
        <w:rPr>
          <w:spacing w:val="-10"/>
        </w:rPr>
        <w:t> </w:t>
      </w:r>
      <w:r>
        <w:rPr/>
        <w:t>with</w:t>
      </w:r>
      <w:r>
        <w:rPr>
          <w:spacing w:val="-10"/>
        </w:rPr>
        <w:t> </w:t>
      </w:r>
      <w:r>
        <w:rPr/>
        <w:t>a</w:t>
      </w:r>
      <w:r>
        <w:rPr>
          <w:spacing w:val="-11"/>
        </w:rPr>
        <w:t> </w:t>
      </w:r>
      <w:r>
        <w:rPr/>
        <w:t>“mental illness or disorder”), are often justified by reference to the need to protect their life or their health and/or to protect public safety and the rights of</w:t>
      </w:r>
      <w:r>
        <w:rPr>
          <w:spacing w:val="-14"/>
        </w:rPr>
        <w:t> </w:t>
      </w:r>
      <w:r>
        <w:rPr/>
        <w:t>others.</w:t>
      </w:r>
    </w:p>
    <w:p>
      <w:pPr>
        <w:pStyle w:val="BodyText"/>
        <w:spacing w:before="1"/>
      </w:pPr>
    </w:p>
    <w:p>
      <w:pPr>
        <w:pStyle w:val="BodyText"/>
        <w:spacing w:line="237" w:lineRule="auto" w:before="1"/>
        <w:ind w:left="397" w:right="106"/>
        <w:jc w:val="both"/>
        <w:rPr>
          <w:sz w:val="16"/>
        </w:rPr>
      </w:pPr>
      <w:r>
        <w:rPr/>
        <w:t>Actually, most domestic legal systems allow for the involuntary or non-consensual commitment</w:t>
      </w:r>
      <w:r>
        <w:rPr>
          <w:spacing w:val="-11"/>
        </w:rPr>
        <w:t> </w:t>
      </w:r>
      <w:r>
        <w:rPr/>
        <w:t>to</w:t>
      </w:r>
      <w:r>
        <w:rPr>
          <w:spacing w:val="-12"/>
        </w:rPr>
        <w:t> </w:t>
      </w:r>
      <w:r>
        <w:rPr/>
        <w:t>hospitals,</w:t>
      </w:r>
      <w:r>
        <w:rPr>
          <w:spacing w:val="-11"/>
        </w:rPr>
        <w:t> </w:t>
      </w:r>
      <w:r>
        <w:rPr/>
        <w:t>psychiatric</w:t>
      </w:r>
      <w:r>
        <w:rPr>
          <w:spacing w:val="-12"/>
        </w:rPr>
        <w:t> </w:t>
      </w:r>
      <w:r>
        <w:rPr/>
        <w:t>institutions</w:t>
      </w:r>
      <w:r>
        <w:rPr>
          <w:spacing w:val="-12"/>
        </w:rPr>
        <w:t> </w:t>
      </w:r>
      <w:r>
        <w:rPr/>
        <w:t>and</w:t>
      </w:r>
      <w:r>
        <w:rPr>
          <w:spacing w:val="-11"/>
        </w:rPr>
        <w:t> </w:t>
      </w:r>
      <w:r>
        <w:rPr/>
        <w:t>social</w:t>
      </w:r>
      <w:r>
        <w:rPr>
          <w:spacing w:val="-11"/>
        </w:rPr>
        <w:t> </w:t>
      </w:r>
      <w:r>
        <w:rPr/>
        <w:t>care</w:t>
      </w:r>
      <w:r>
        <w:rPr>
          <w:spacing w:val="-12"/>
        </w:rPr>
        <w:t> </w:t>
      </w:r>
      <w:r>
        <w:rPr/>
        <w:t>homes</w:t>
      </w:r>
      <w:r>
        <w:rPr>
          <w:spacing w:val="-11"/>
        </w:rPr>
        <w:t> </w:t>
      </w:r>
      <w:r>
        <w:rPr/>
        <w:t>of</w:t>
      </w:r>
      <w:r>
        <w:rPr>
          <w:spacing w:val="-11"/>
        </w:rPr>
        <w:t> </w:t>
      </w:r>
      <w:r>
        <w:rPr/>
        <w:t>persons</w:t>
      </w:r>
      <w:r>
        <w:rPr>
          <w:spacing w:val="-12"/>
        </w:rPr>
        <w:t> </w:t>
      </w:r>
      <w:r>
        <w:rPr/>
        <w:t>with intellectual and psychosocial disabilities, in certain circumstances.</w:t>
      </w:r>
      <w:hyperlink w:history="true" w:anchor="_bookmark5">
        <w:r>
          <w:rPr>
            <w:position w:val="8"/>
            <w:sz w:val="16"/>
          </w:rPr>
          <w:t>5 </w:t>
        </w:r>
      </w:hyperlink>
      <w:r>
        <w:rPr/>
        <w:t>Likewise, national laws usually deem such persons </w:t>
      </w:r>
      <w:r>
        <w:rPr>
          <w:i/>
          <w:sz w:val="25"/>
        </w:rPr>
        <w:t>exempt </w:t>
      </w:r>
      <w:r>
        <w:rPr/>
        <w:t>from </w:t>
      </w:r>
      <w:r>
        <w:rPr>
          <w:i/>
          <w:sz w:val="25"/>
        </w:rPr>
        <w:t>criminal responsibility </w:t>
      </w:r>
      <w:r>
        <w:rPr/>
        <w:t>and put in place special</w:t>
      </w:r>
      <w:r>
        <w:rPr>
          <w:spacing w:val="-11"/>
        </w:rPr>
        <w:t> </w:t>
      </w:r>
      <w:r>
        <w:rPr/>
        <w:t>detention</w:t>
      </w:r>
      <w:r>
        <w:rPr>
          <w:spacing w:val="-11"/>
        </w:rPr>
        <w:t> </w:t>
      </w:r>
      <w:r>
        <w:rPr/>
        <w:t>measures</w:t>
      </w:r>
      <w:r>
        <w:rPr>
          <w:spacing w:val="-11"/>
        </w:rPr>
        <w:t> </w:t>
      </w:r>
      <w:r>
        <w:rPr/>
        <w:t>based</w:t>
      </w:r>
      <w:r>
        <w:rPr>
          <w:spacing w:val="-11"/>
        </w:rPr>
        <w:t> </w:t>
      </w:r>
      <w:r>
        <w:rPr/>
        <w:t>on</w:t>
      </w:r>
      <w:r>
        <w:rPr>
          <w:spacing w:val="-11"/>
        </w:rPr>
        <w:t> </w:t>
      </w:r>
      <w:r>
        <w:rPr/>
        <w:t>that</w:t>
      </w:r>
      <w:r>
        <w:rPr>
          <w:spacing w:val="-12"/>
        </w:rPr>
        <w:t> </w:t>
      </w:r>
      <w:r>
        <w:rPr/>
        <w:t>consideration.</w:t>
      </w:r>
      <w:r>
        <w:rPr>
          <w:spacing w:val="-12"/>
        </w:rPr>
        <w:t> </w:t>
      </w:r>
      <w:r>
        <w:rPr/>
        <w:t>These</w:t>
      </w:r>
      <w:r>
        <w:rPr>
          <w:spacing w:val="-11"/>
        </w:rPr>
        <w:t> </w:t>
      </w:r>
      <w:r>
        <w:rPr/>
        <w:t>disability-specific</w:t>
      </w:r>
      <w:r>
        <w:rPr>
          <w:spacing w:val="-11"/>
        </w:rPr>
        <w:t> </w:t>
      </w:r>
      <w:r>
        <w:rPr/>
        <w:t>forms of deprivation of liberty have also been legitimised by international human rights protection systems.</w:t>
      </w:r>
      <w:hyperlink w:history="true" w:anchor="_bookmark6">
        <w:r>
          <w:rPr>
            <w:position w:val="8"/>
            <w:sz w:val="16"/>
          </w:rPr>
          <w:t>6 </w:t>
        </w:r>
      </w:hyperlink>
      <w:r>
        <w:rPr/>
        <w:t>Indeed, according to the perspective of assistencialism and the medical model of disability</w:t>
      </w:r>
      <w:hyperlink w:history="true" w:anchor="_bookmark7">
        <w:r>
          <w:rPr>
            <w:position w:val="8"/>
            <w:sz w:val="16"/>
          </w:rPr>
          <w:t>7</w:t>
        </w:r>
      </w:hyperlink>
      <w:r>
        <w:rPr/>
        <w:t>, depriving the liberty of some persons with disabilities is accepted as necessary, in certain circumstances, and is not considered a </w:t>
      </w:r>
      <w:r>
        <w:rPr>
          <w:i/>
          <w:sz w:val="25"/>
        </w:rPr>
        <w:t>de facto </w:t>
      </w:r>
      <w:r>
        <w:rPr/>
        <w:t>human rights</w:t>
      </w:r>
      <w:r>
        <w:rPr>
          <w:spacing w:val="0"/>
        </w:rPr>
        <w:t> </w:t>
      </w:r>
      <w:r>
        <w:rPr/>
        <w:t>violation.</w:t>
      </w:r>
      <w:hyperlink w:history="true" w:anchor="_bookmark8">
        <w:r>
          <w:rPr>
            <w:position w:val="8"/>
            <w:sz w:val="16"/>
          </w:rPr>
          <w:t>8</w:t>
        </w:r>
      </w:hyperlink>
    </w:p>
    <w:p>
      <w:pPr>
        <w:pStyle w:val="BodyText"/>
        <w:rPr>
          <w:sz w:val="28"/>
        </w:rPr>
      </w:pPr>
    </w:p>
    <w:p>
      <w:pPr>
        <w:pStyle w:val="BodyText"/>
        <w:rPr>
          <w:sz w:val="28"/>
        </w:rPr>
      </w:pPr>
    </w:p>
    <w:p>
      <w:pPr>
        <w:pStyle w:val="BodyText"/>
        <w:rPr>
          <w:sz w:val="28"/>
        </w:rPr>
      </w:pPr>
    </w:p>
    <w:p>
      <w:pPr>
        <w:pStyle w:val="BodyText"/>
        <w:rPr>
          <w:sz w:val="28"/>
        </w:rPr>
      </w:pPr>
    </w:p>
    <w:p>
      <w:pPr>
        <w:pStyle w:val="BodyText"/>
        <w:spacing w:before="3"/>
        <w:rPr>
          <w:sz w:val="21"/>
        </w:rPr>
      </w:pPr>
    </w:p>
    <w:p>
      <w:pPr>
        <w:spacing w:line="237" w:lineRule="auto" w:before="0"/>
        <w:ind w:left="449" w:right="107" w:hanging="171"/>
        <w:jc w:val="both"/>
        <w:rPr>
          <w:sz w:val="20"/>
        </w:rPr>
      </w:pPr>
      <w:bookmarkStart w:name="_bookmark3" w:id="5"/>
      <w:bookmarkEnd w:id="5"/>
      <w:r>
        <w:rPr/>
      </w:r>
      <w:r>
        <w:rPr>
          <w:position w:val="7"/>
          <w:sz w:val="13"/>
        </w:rPr>
        <w:t>3</w:t>
      </w:r>
      <w:r>
        <w:rPr>
          <w:spacing w:val="-10"/>
          <w:position w:val="7"/>
          <w:sz w:val="13"/>
        </w:rPr>
        <w:t> </w:t>
      </w:r>
      <w:r>
        <w:rPr>
          <w:sz w:val="20"/>
        </w:rPr>
        <w:t>Biel,</w:t>
      </w:r>
      <w:r>
        <w:rPr>
          <w:spacing w:val="-15"/>
          <w:sz w:val="20"/>
        </w:rPr>
        <w:t> </w:t>
      </w:r>
      <w:r>
        <w:rPr>
          <w:sz w:val="20"/>
        </w:rPr>
        <w:t>I.</w:t>
      </w:r>
      <w:r>
        <w:rPr>
          <w:spacing w:val="-15"/>
          <w:sz w:val="20"/>
        </w:rPr>
        <w:t> </w:t>
      </w:r>
      <w:r>
        <w:rPr>
          <w:sz w:val="20"/>
        </w:rPr>
        <w:t>and</w:t>
      </w:r>
      <w:r>
        <w:rPr>
          <w:spacing w:val="-16"/>
          <w:sz w:val="20"/>
        </w:rPr>
        <w:t> </w:t>
      </w:r>
      <w:r>
        <w:rPr>
          <w:sz w:val="20"/>
        </w:rPr>
        <w:t>Smith,</w:t>
      </w:r>
      <w:r>
        <w:rPr>
          <w:spacing w:val="-15"/>
          <w:sz w:val="20"/>
        </w:rPr>
        <w:t> </w:t>
      </w:r>
      <w:r>
        <w:rPr>
          <w:sz w:val="20"/>
        </w:rPr>
        <w:t>R.K.M.,</w:t>
      </w:r>
      <w:r>
        <w:rPr>
          <w:spacing w:val="-15"/>
          <w:sz w:val="20"/>
        </w:rPr>
        <w:t> </w:t>
      </w:r>
      <w:r>
        <w:rPr>
          <w:i/>
          <w:sz w:val="21"/>
        </w:rPr>
        <w:t>Textbook</w:t>
      </w:r>
      <w:r>
        <w:rPr>
          <w:i/>
          <w:spacing w:val="-19"/>
          <w:sz w:val="21"/>
        </w:rPr>
        <w:t> </w:t>
      </w:r>
      <w:r>
        <w:rPr>
          <w:i/>
          <w:sz w:val="21"/>
        </w:rPr>
        <w:t>on</w:t>
      </w:r>
      <w:r>
        <w:rPr>
          <w:i/>
          <w:spacing w:val="-19"/>
          <w:sz w:val="21"/>
        </w:rPr>
        <w:t> </w:t>
      </w:r>
      <w:r>
        <w:rPr>
          <w:i/>
          <w:sz w:val="21"/>
        </w:rPr>
        <w:t>International</w:t>
      </w:r>
      <w:r>
        <w:rPr>
          <w:i/>
          <w:spacing w:val="-21"/>
          <w:sz w:val="21"/>
        </w:rPr>
        <w:t> </w:t>
      </w:r>
      <w:r>
        <w:rPr>
          <w:i/>
          <w:sz w:val="21"/>
        </w:rPr>
        <w:t>Human</w:t>
      </w:r>
      <w:r>
        <w:rPr>
          <w:i/>
          <w:spacing w:val="-19"/>
          <w:sz w:val="21"/>
        </w:rPr>
        <w:t> </w:t>
      </w:r>
      <w:r>
        <w:rPr>
          <w:i/>
          <w:sz w:val="21"/>
        </w:rPr>
        <w:t>Rights</w:t>
      </w:r>
      <w:r>
        <w:rPr>
          <w:sz w:val="20"/>
        </w:rPr>
        <w:t>,</w:t>
      </w:r>
      <w:r>
        <w:rPr>
          <w:spacing w:val="-15"/>
          <w:sz w:val="20"/>
        </w:rPr>
        <w:t> </w:t>
      </w:r>
      <w:r>
        <w:rPr>
          <w:sz w:val="20"/>
        </w:rPr>
        <w:t>Oxford</w:t>
      </w:r>
      <w:r>
        <w:rPr>
          <w:spacing w:val="-16"/>
          <w:sz w:val="20"/>
        </w:rPr>
        <w:t> </w:t>
      </w:r>
      <w:r>
        <w:rPr>
          <w:sz w:val="20"/>
        </w:rPr>
        <w:t>University</w:t>
      </w:r>
      <w:r>
        <w:rPr>
          <w:spacing w:val="-16"/>
          <w:sz w:val="20"/>
        </w:rPr>
        <w:t> </w:t>
      </w:r>
      <w:r>
        <w:rPr>
          <w:sz w:val="20"/>
        </w:rPr>
        <w:t>Press,</w:t>
      </w:r>
      <w:r>
        <w:rPr>
          <w:spacing w:val="-15"/>
          <w:sz w:val="20"/>
        </w:rPr>
        <w:t> </w:t>
      </w:r>
      <w:r>
        <w:rPr>
          <w:sz w:val="20"/>
        </w:rPr>
        <w:t>New</w:t>
      </w:r>
      <w:r>
        <w:rPr>
          <w:spacing w:val="-16"/>
          <w:sz w:val="20"/>
        </w:rPr>
        <w:t> </w:t>
      </w:r>
      <w:r>
        <w:rPr>
          <w:sz w:val="20"/>
        </w:rPr>
        <w:t>York, 2007.</w:t>
      </w:r>
    </w:p>
    <w:p>
      <w:pPr>
        <w:spacing w:before="1"/>
        <w:ind w:left="449" w:right="108" w:hanging="171"/>
        <w:jc w:val="both"/>
        <w:rPr>
          <w:sz w:val="20"/>
        </w:rPr>
      </w:pPr>
      <w:bookmarkStart w:name="_bookmark4" w:id="6"/>
      <w:bookmarkEnd w:id="6"/>
      <w:r>
        <w:rPr/>
      </w:r>
      <w:r>
        <w:rPr>
          <w:position w:val="7"/>
          <w:sz w:val="13"/>
        </w:rPr>
        <w:t>4 </w:t>
      </w:r>
      <w:r>
        <w:rPr>
          <w:sz w:val="20"/>
        </w:rPr>
        <w:t>The sad exception is article 5.1(e) of the European Convention (ECHR) that will be commented upon in n 17 below.</w:t>
      </w:r>
    </w:p>
    <w:p>
      <w:pPr>
        <w:spacing w:line="230" w:lineRule="auto" w:before="0"/>
        <w:ind w:left="449" w:right="107" w:hanging="171"/>
        <w:jc w:val="both"/>
        <w:rPr>
          <w:sz w:val="20"/>
        </w:rPr>
      </w:pPr>
      <w:bookmarkStart w:name="_bookmark5" w:id="7"/>
      <w:bookmarkEnd w:id="7"/>
      <w:r>
        <w:rPr/>
      </w:r>
      <w:r>
        <w:rPr>
          <w:position w:val="7"/>
          <w:sz w:val="13"/>
        </w:rPr>
        <w:t>5</w:t>
      </w:r>
      <w:r>
        <w:rPr>
          <w:spacing w:val="-15"/>
          <w:position w:val="7"/>
          <w:sz w:val="13"/>
        </w:rPr>
        <w:t> </w:t>
      </w:r>
      <w:r>
        <w:rPr>
          <w:sz w:val="20"/>
        </w:rPr>
        <w:t>Bariffi,</w:t>
      </w:r>
      <w:r>
        <w:rPr>
          <w:spacing w:val="-14"/>
          <w:sz w:val="20"/>
        </w:rPr>
        <w:t> </w:t>
      </w:r>
      <w:r>
        <w:rPr>
          <w:sz w:val="20"/>
        </w:rPr>
        <w:t>F.,</w:t>
      </w:r>
      <w:r>
        <w:rPr>
          <w:spacing w:val="-14"/>
          <w:sz w:val="20"/>
        </w:rPr>
        <w:t> </w:t>
      </w:r>
      <w:r>
        <w:rPr>
          <w:i/>
          <w:sz w:val="21"/>
        </w:rPr>
        <w:t>El</w:t>
      </w:r>
      <w:r>
        <w:rPr>
          <w:i/>
          <w:spacing w:val="-18"/>
          <w:sz w:val="21"/>
        </w:rPr>
        <w:t> </w:t>
      </w:r>
      <w:r>
        <w:rPr>
          <w:i/>
          <w:sz w:val="21"/>
        </w:rPr>
        <w:t>régimen</w:t>
      </w:r>
      <w:r>
        <w:rPr>
          <w:i/>
          <w:spacing w:val="-17"/>
          <w:sz w:val="21"/>
        </w:rPr>
        <w:t> </w:t>
      </w:r>
      <w:r>
        <w:rPr>
          <w:i/>
          <w:sz w:val="21"/>
        </w:rPr>
        <w:t>jurídico</w:t>
      </w:r>
      <w:r>
        <w:rPr>
          <w:i/>
          <w:spacing w:val="-17"/>
          <w:sz w:val="21"/>
        </w:rPr>
        <w:t> </w:t>
      </w:r>
      <w:r>
        <w:rPr>
          <w:i/>
          <w:sz w:val="21"/>
        </w:rPr>
        <w:t>internacional</w:t>
      </w:r>
      <w:r>
        <w:rPr>
          <w:i/>
          <w:spacing w:val="-17"/>
          <w:sz w:val="21"/>
        </w:rPr>
        <w:t> </w:t>
      </w:r>
      <w:r>
        <w:rPr>
          <w:i/>
          <w:sz w:val="21"/>
        </w:rPr>
        <w:t>de</w:t>
      </w:r>
      <w:r>
        <w:rPr>
          <w:i/>
          <w:spacing w:val="-18"/>
          <w:sz w:val="21"/>
        </w:rPr>
        <w:t> </w:t>
      </w:r>
      <w:r>
        <w:rPr>
          <w:i/>
          <w:sz w:val="21"/>
        </w:rPr>
        <w:t>la</w:t>
      </w:r>
      <w:r>
        <w:rPr>
          <w:i/>
          <w:spacing w:val="-17"/>
          <w:sz w:val="21"/>
        </w:rPr>
        <w:t> </w:t>
      </w:r>
      <w:r>
        <w:rPr>
          <w:i/>
          <w:sz w:val="21"/>
        </w:rPr>
        <w:t>capacidad</w:t>
      </w:r>
      <w:r>
        <w:rPr>
          <w:i/>
          <w:spacing w:val="-17"/>
          <w:sz w:val="21"/>
        </w:rPr>
        <w:t> </w:t>
      </w:r>
      <w:r>
        <w:rPr>
          <w:i/>
          <w:sz w:val="21"/>
        </w:rPr>
        <w:t>jurídica</w:t>
      </w:r>
      <w:r>
        <w:rPr>
          <w:i/>
          <w:spacing w:val="-17"/>
          <w:sz w:val="21"/>
        </w:rPr>
        <w:t> </w:t>
      </w:r>
      <w:r>
        <w:rPr>
          <w:i/>
          <w:sz w:val="21"/>
        </w:rPr>
        <w:t>de</w:t>
      </w:r>
      <w:r>
        <w:rPr>
          <w:i/>
          <w:spacing w:val="-17"/>
          <w:sz w:val="21"/>
        </w:rPr>
        <w:t> </w:t>
      </w:r>
      <w:r>
        <w:rPr>
          <w:i/>
          <w:sz w:val="21"/>
        </w:rPr>
        <w:t>las</w:t>
      </w:r>
      <w:r>
        <w:rPr>
          <w:i/>
          <w:spacing w:val="-17"/>
          <w:sz w:val="21"/>
        </w:rPr>
        <w:t> </w:t>
      </w:r>
      <w:r>
        <w:rPr>
          <w:i/>
          <w:sz w:val="21"/>
        </w:rPr>
        <w:t>personas</w:t>
      </w:r>
      <w:r>
        <w:rPr>
          <w:i/>
          <w:spacing w:val="-17"/>
          <w:sz w:val="21"/>
        </w:rPr>
        <w:t> </w:t>
      </w:r>
      <w:r>
        <w:rPr>
          <w:i/>
          <w:sz w:val="21"/>
        </w:rPr>
        <w:t>con</w:t>
      </w:r>
      <w:r>
        <w:rPr>
          <w:i/>
          <w:spacing w:val="-18"/>
          <w:sz w:val="21"/>
        </w:rPr>
        <w:t> </w:t>
      </w:r>
      <w:r>
        <w:rPr>
          <w:i/>
          <w:sz w:val="21"/>
        </w:rPr>
        <w:t>discapacidad</w:t>
      </w:r>
      <w:r>
        <w:rPr>
          <w:sz w:val="20"/>
        </w:rPr>
        <w:t>, Cinca, Madrid, 2015 – see also; Minkowitz, T., </w:t>
      </w:r>
      <w:r>
        <w:rPr>
          <w:i/>
          <w:sz w:val="21"/>
        </w:rPr>
        <w:t>Why Mental Health Laws Contravene the CRPD – An Application of Article 14 with Implications for the Obligations of States Parties</w:t>
      </w:r>
      <w:r>
        <w:rPr>
          <w:sz w:val="20"/>
        </w:rPr>
        <w:t>, 2011. Available at: </w:t>
      </w:r>
      <w:hyperlink r:id="rId6">
        <w:r>
          <w:rPr>
            <w:sz w:val="20"/>
            <w:u w:val="single"/>
          </w:rPr>
          <w:t>http://dx.doi.org/10.2139/ssrn.1928600</w:t>
        </w:r>
      </w:hyperlink>
      <w:r>
        <w:rPr>
          <w:sz w:val="20"/>
        </w:rPr>
        <w:t>.</w:t>
      </w:r>
    </w:p>
    <w:p>
      <w:pPr>
        <w:spacing w:line="235" w:lineRule="auto" w:before="8"/>
        <w:ind w:left="449" w:right="105" w:hanging="113"/>
        <w:jc w:val="both"/>
        <w:rPr>
          <w:sz w:val="20"/>
        </w:rPr>
      </w:pPr>
      <w:bookmarkStart w:name="_bookmark6" w:id="8"/>
      <w:bookmarkEnd w:id="8"/>
      <w:r>
        <w:rPr/>
      </w:r>
      <w:r>
        <w:rPr>
          <w:position w:val="7"/>
          <w:sz w:val="13"/>
        </w:rPr>
        <w:t>6 </w:t>
      </w:r>
      <w:r>
        <w:rPr>
          <w:sz w:val="20"/>
        </w:rPr>
        <w:t>Article 5.1(e) of the ECHR explicitly permits the deprivation of the liberty of a person of “unsound of mind.” Although other human rights instruments do not include a similar provision, they also seem to accept disability as a valid ground for deprivation of liberty – re the treatment of psychosocial disability in</w:t>
      </w:r>
      <w:r>
        <w:rPr>
          <w:spacing w:val="-28"/>
          <w:sz w:val="20"/>
        </w:rPr>
        <w:t> </w:t>
      </w:r>
      <w:r>
        <w:rPr>
          <w:sz w:val="20"/>
        </w:rPr>
        <w:t>international</w:t>
      </w:r>
      <w:r>
        <w:rPr>
          <w:spacing w:val="-28"/>
          <w:sz w:val="20"/>
        </w:rPr>
        <w:t> </w:t>
      </w:r>
      <w:r>
        <w:rPr>
          <w:sz w:val="20"/>
        </w:rPr>
        <w:t>systems</w:t>
      </w:r>
      <w:r>
        <w:rPr>
          <w:spacing w:val="-28"/>
          <w:sz w:val="20"/>
        </w:rPr>
        <w:t> </w:t>
      </w:r>
      <w:r>
        <w:rPr>
          <w:sz w:val="20"/>
        </w:rPr>
        <w:t>for</w:t>
      </w:r>
      <w:r>
        <w:rPr>
          <w:spacing w:val="-28"/>
          <w:sz w:val="20"/>
        </w:rPr>
        <w:t> </w:t>
      </w:r>
      <w:r>
        <w:rPr>
          <w:sz w:val="20"/>
        </w:rPr>
        <w:t>protection</w:t>
      </w:r>
      <w:r>
        <w:rPr>
          <w:spacing w:val="-28"/>
          <w:sz w:val="20"/>
        </w:rPr>
        <w:t> </w:t>
      </w:r>
      <w:r>
        <w:rPr>
          <w:sz w:val="20"/>
        </w:rPr>
        <w:t>of</w:t>
      </w:r>
      <w:r>
        <w:rPr>
          <w:spacing w:val="-29"/>
          <w:sz w:val="20"/>
        </w:rPr>
        <w:t> </w:t>
      </w:r>
      <w:r>
        <w:rPr>
          <w:sz w:val="20"/>
        </w:rPr>
        <w:t>rights,</w:t>
      </w:r>
      <w:r>
        <w:rPr>
          <w:spacing w:val="-28"/>
          <w:sz w:val="20"/>
        </w:rPr>
        <w:t> </w:t>
      </w:r>
      <w:r>
        <w:rPr>
          <w:sz w:val="20"/>
        </w:rPr>
        <w:t>see;</w:t>
      </w:r>
      <w:r>
        <w:rPr>
          <w:spacing w:val="-28"/>
          <w:sz w:val="20"/>
        </w:rPr>
        <w:t> </w:t>
      </w:r>
      <w:r>
        <w:rPr>
          <w:sz w:val="20"/>
        </w:rPr>
        <w:t>Perlin,</w:t>
      </w:r>
      <w:r>
        <w:rPr>
          <w:spacing w:val="-28"/>
          <w:sz w:val="20"/>
        </w:rPr>
        <w:t> </w:t>
      </w:r>
      <w:r>
        <w:rPr>
          <w:sz w:val="20"/>
        </w:rPr>
        <w:t>M.L.,</w:t>
      </w:r>
      <w:r>
        <w:rPr>
          <w:spacing w:val="-28"/>
          <w:sz w:val="20"/>
        </w:rPr>
        <w:t> </w:t>
      </w:r>
      <w:r>
        <w:rPr>
          <w:i/>
          <w:sz w:val="21"/>
        </w:rPr>
        <w:t>International</w:t>
      </w:r>
      <w:r>
        <w:rPr>
          <w:i/>
          <w:spacing w:val="-31"/>
          <w:sz w:val="21"/>
        </w:rPr>
        <w:t> </w:t>
      </w:r>
      <w:r>
        <w:rPr>
          <w:i/>
          <w:sz w:val="21"/>
        </w:rPr>
        <w:t>Human</w:t>
      </w:r>
      <w:r>
        <w:rPr>
          <w:i/>
          <w:spacing w:val="-31"/>
          <w:sz w:val="21"/>
        </w:rPr>
        <w:t> </w:t>
      </w:r>
      <w:r>
        <w:rPr>
          <w:i/>
          <w:sz w:val="21"/>
        </w:rPr>
        <w:t>Rights</w:t>
      </w:r>
      <w:r>
        <w:rPr>
          <w:i/>
          <w:spacing w:val="-31"/>
          <w:sz w:val="21"/>
        </w:rPr>
        <w:t> </w:t>
      </w:r>
      <w:r>
        <w:rPr>
          <w:i/>
          <w:sz w:val="21"/>
        </w:rPr>
        <w:t>and</w:t>
      </w:r>
      <w:r>
        <w:rPr>
          <w:i/>
          <w:spacing w:val="-32"/>
          <w:sz w:val="21"/>
        </w:rPr>
        <w:t> </w:t>
      </w:r>
      <w:r>
        <w:rPr>
          <w:i/>
          <w:sz w:val="21"/>
        </w:rPr>
        <w:t>Mental Disability</w:t>
      </w:r>
      <w:r>
        <w:rPr>
          <w:i/>
          <w:spacing w:val="-11"/>
          <w:sz w:val="21"/>
        </w:rPr>
        <w:t> </w:t>
      </w:r>
      <w:r>
        <w:rPr>
          <w:i/>
          <w:sz w:val="21"/>
        </w:rPr>
        <w:t>Law.</w:t>
      </w:r>
      <w:r>
        <w:rPr>
          <w:i/>
          <w:spacing w:val="-10"/>
          <w:sz w:val="21"/>
        </w:rPr>
        <w:t> </w:t>
      </w:r>
      <w:r>
        <w:rPr>
          <w:i/>
          <w:sz w:val="21"/>
        </w:rPr>
        <w:t>When</w:t>
      </w:r>
      <w:r>
        <w:rPr>
          <w:i/>
          <w:spacing w:val="-11"/>
          <w:sz w:val="21"/>
        </w:rPr>
        <w:t> </w:t>
      </w:r>
      <w:r>
        <w:rPr>
          <w:i/>
          <w:sz w:val="21"/>
        </w:rPr>
        <w:t>the</w:t>
      </w:r>
      <w:r>
        <w:rPr>
          <w:i/>
          <w:spacing w:val="-10"/>
          <w:sz w:val="21"/>
        </w:rPr>
        <w:t> </w:t>
      </w:r>
      <w:r>
        <w:rPr>
          <w:i/>
          <w:sz w:val="21"/>
        </w:rPr>
        <w:t>Silenced</w:t>
      </w:r>
      <w:r>
        <w:rPr>
          <w:i/>
          <w:spacing w:val="-11"/>
          <w:sz w:val="21"/>
        </w:rPr>
        <w:t> </w:t>
      </w:r>
      <w:r>
        <w:rPr>
          <w:i/>
          <w:sz w:val="21"/>
        </w:rPr>
        <w:t>are</w:t>
      </w:r>
      <w:r>
        <w:rPr>
          <w:i/>
          <w:spacing w:val="-12"/>
          <w:sz w:val="21"/>
        </w:rPr>
        <w:t> </w:t>
      </w:r>
      <w:r>
        <w:rPr>
          <w:i/>
          <w:sz w:val="21"/>
        </w:rPr>
        <w:t>Heard,</w:t>
      </w:r>
      <w:r>
        <w:rPr>
          <w:i/>
          <w:spacing w:val="-10"/>
          <w:sz w:val="21"/>
        </w:rPr>
        <w:t> </w:t>
      </w:r>
      <w:r>
        <w:rPr>
          <w:sz w:val="20"/>
        </w:rPr>
        <w:t>(Oxford</w:t>
      </w:r>
      <w:r>
        <w:rPr>
          <w:spacing w:val="-9"/>
          <w:sz w:val="20"/>
        </w:rPr>
        <w:t> </w:t>
      </w:r>
      <w:r>
        <w:rPr>
          <w:sz w:val="20"/>
        </w:rPr>
        <w:t>University</w:t>
      </w:r>
      <w:r>
        <w:rPr>
          <w:spacing w:val="-8"/>
          <w:sz w:val="20"/>
        </w:rPr>
        <w:t> </w:t>
      </w:r>
      <w:r>
        <w:rPr>
          <w:sz w:val="20"/>
        </w:rPr>
        <w:t>Press</w:t>
      </w:r>
      <w:r>
        <w:rPr>
          <w:spacing w:val="-8"/>
          <w:sz w:val="20"/>
        </w:rPr>
        <w:t> </w:t>
      </w:r>
      <w:r>
        <w:rPr>
          <w:sz w:val="20"/>
        </w:rPr>
        <w:t>-</w:t>
      </w:r>
      <w:r>
        <w:rPr>
          <w:spacing w:val="-7"/>
          <w:sz w:val="20"/>
        </w:rPr>
        <w:t> </w:t>
      </w:r>
      <w:r>
        <w:rPr>
          <w:sz w:val="20"/>
        </w:rPr>
        <w:t>New</w:t>
      </w:r>
      <w:r>
        <w:rPr>
          <w:spacing w:val="-7"/>
          <w:sz w:val="20"/>
        </w:rPr>
        <w:t> </w:t>
      </w:r>
      <w:r>
        <w:rPr>
          <w:sz w:val="20"/>
        </w:rPr>
        <w:t>York,</w:t>
      </w:r>
      <w:r>
        <w:rPr>
          <w:spacing w:val="-7"/>
          <w:sz w:val="20"/>
        </w:rPr>
        <w:t> </w:t>
      </w:r>
      <w:r>
        <w:rPr>
          <w:sz w:val="20"/>
        </w:rPr>
        <w:t>2012).</w:t>
      </w:r>
    </w:p>
    <w:p>
      <w:pPr>
        <w:spacing w:line="228" w:lineRule="auto" w:before="0"/>
        <w:ind w:left="449" w:right="105" w:hanging="113"/>
        <w:jc w:val="both"/>
        <w:rPr>
          <w:sz w:val="20"/>
        </w:rPr>
      </w:pPr>
      <w:bookmarkStart w:name="_bookmark7" w:id="9"/>
      <w:bookmarkEnd w:id="9"/>
      <w:r>
        <w:rPr/>
      </w:r>
      <w:r>
        <w:rPr>
          <w:position w:val="7"/>
          <w:sz w:val="13"/>
        </w:rPr>
        <w:t>7 </w:t>
      </w:r>
      <w:r>
        <w:rPr>
          <w:sz w:val="20"/>
        </w:rPr>
        <w:t>On the medical model and its diferencies vis-à-vis the social model, see; Palacios, A., </w:t>
      </w:r>
      <w:r>
        <w:rPr>
          <w:i/>
          <w:sz w:val="21"/>
        </w:rPr>
        <w:t>El modelo social de discapacidad</w:t>
      </w:r>
      <w:r>
        <w:rPr>
          <w:sz w:val="20"/>
        </w:rPr>
        <w:t>, </w:t>
      </w:r>
      <w:r>
        <w:rPr>
          <w:i/>
          <w:sz w:val="21"/>
        </w:rPr>
        <w:t>orígenes, caracterización y plasmación en la Convención Internacional sobre los derechos de las personas con discapacidad</w:t>
      </w:r>
      <w:r>
        <w:rPr>
          <w:sz w:val="20"/>
        </w:rPr>
        <w:t>, Colección CERMI, Cinca, Madrid, 2008; Oliver, M., </w:t>
      </w:r>
      <w:r>
        <w:rPr>
          <w:i/>
          <w:sz w:val="21"/>
        </w:rPr>
        <w:t>Understanding Disability: From Theory to Practice</w:t>
      </w:r>
      <w:r>
        <w:rPr>
          <w:sz w:val="20"/>
        </w:rPr>
        <w:t>, (Palgrave - Malaysia, 1996); and Barnes, C. and Mercer, G., </w:t>
      </w:r>
      <w:r>
        <w:rPr>
          <w:i/>
          <w:sz w:val="21"/>
        </w:rPr>
        <w:t>Disability</w:t>
      </w:r>
      <w:r>
        <w:rPr>
          <w:sz w:val="20"/>
        </w:rPr>
        <w:t>, (Polity Press, Cambridge, 2003).</w:t>
      </w:r>
    </w:p>
    <w:p>
      <w:pPr>
        <w:spacing w:line="232" w:lineRule="auto" w:before="5"/>
        <w:ind w:left="449" w:right="107" w:hanging="171"/>
        <w:jc w:val="both"/>
        <w:rPr>
          <w:sz w:val="20"/>
        </w:rPr>
      </w:pPr>
      <w:bookmarkStart w:name="_bookmark8" w:id="10"/>
      <w:bookmarkEnd w:id="10"/>
      <w:r>
        <w:rPr/>
      </w:r>
      <w:r>
        <w:rPr>
          <w:position w:val="7"/>
          <w:sz w:val="13"/>
        </w:rPr>
        <w:t>8 </w:t>
      </w:r>
      <w:r>
        <w:rPr>
          <w:sz w:val="20"/>
        </w:rPr>
        <w:t>Flynn, E., “Disability, Deprivation of Liberty and Human Rights Norms: Reconciling European and International Approaches,” </w:t>
      </w:r>
      <w:r>
        <w:rPr>
          <w:i/>
          <w:sz w:val="21"/>
        </w:rPr>
        <w:t>International Journal of Mental Health and Capacity Law</w:t>
      </w:r>
      <w:r>
        <w:rPr>
          <w:sz w:val="20"/>
        </w:rPr>
        <w:t>, 2016, 75–101, [79].</w:t>
      </w:r>
    </w:p>
    <w:p>
      <w:pPr>
        <w:spacing w:after="0" w:line="232" w:lineRule="auto"/>
        <w:jc w:val="both"/>
        <w:rPr>
          <w:sz w:val="20"/>
        </w:rPr>
        <w:sectPr>
          <w:pgSz w:w="11910" w:h="16840"/>
          <w:pgMar w:header="0" w:footer="523" w:top="1320" w:bottom="720" w:left="940" w:right="1320"/>
        </w:sectPr>
      </w:pPr>
    </w:p>
    <w:p>
      <w:pPr>
        <w:pStyle w:val="BodyText"/>
        <w:spacing w:before="82"/>
        <w:ind w:left="397" w:right="105"/>
        <w:jc w:val="both"/>
        <w:rPr>
          <w:sz w:val="16"/>
        </w:rPr>
      </w:pPr>
      <w:r>
        <w:rPr/>
        <w:t>The entry into force of the Convention on the Rights of Persons with Disabilities (hereinafter CRPD</w:t>
      </w:r>
      <w:hyperlink w:history="true" w:anchor="_bookmark9">
        <w:r>
          <w:rPr>
            <w:position w:val="8"/>
            <w:sz w:val="16"/>
          </w:rPr>
          <w:t>9</w:t>
        </w:r>
      </w:hyperlink>
      <w:r>
        <w:rPr/>
        <w:t>) changes this scenario. The CRPD marks a fundamental paradigm shift towards the human rights approach and the social model of disability.</w:t>
      </w:r>
      <w:hyperlink w:history="true" w:anchor="_bookmark10">
        <w:r>
          <w:rPr>
            <w:position w:val="8"/>
            <w:sz w:val="16"/>
          </w:rPr>
          <w:t>10 </w:t>
        </w:r>
      </w:hyperlink>
      <w:r>
        <w:rPr/>
        <w:t>From this new perspective, the limitations experienced by persons with disabilities in the participation</w:t>
      </w:r>
      <w:r>
        <w:rPr>
          <w:spacing w:val="-5"/>
        </w:rPr>
        <w:t> </w:t>
      </w:r>
      <w:r>
        <w:rPr/>
        <w:t>of</w:t>
      </w:r>
      <w:r>
        <w:rPr>
          <w:spacing w:val="-5"/>
        </w:rPr>
        <w:t> </w:t>
      </w:r>
      <w:r>
        <w:rPr/>
        <w:t>social</w:t>
      </w:r>
      <w:r>
        <w:rPr>
          <w:spacing w:val="-5"/>
        </w:rPr>
        <w:t> </w:t>
      </w:r>
      <w:r>
        <w:rPr/>
        <w:t>life</w:t>
      </w:r>
      <w:r>
        <w:rPr>
          <w:spacing w:val="-5"/>
        </w:rPr>
        <w:t> </w:t>
      </w:r>
      <w:r>
        <w:rPr/>
        <w:t>and</w:t>
      </w:r>
      <w:r>
        <w:rPr>
          <w:spacing w:val="-5"/>
        </w:rPr>
        <w:t> </w:t>
      </w:r>
      <w:r>
        <w:rPr/>
        <w:t>the</w:t>
      </w:r>
      <w:r>
        <w:rPr>
          <w:spacing w:val="-7"/>
        </w:rPr>
        <w:t> </w:t>
      </w:r>
      <w:r>
        <w:rPr/>
        <w:t>enjoyment</w:t>
      </w:r>
      <w:r>
        <w:rPr>
          <w:spacing w:val="-6"/>
        </w:rPr>
        <w:t> </w:t>
      </w:r>
      <w:r>
        <w:rPr/>
        <w:t>of</w:t>
      </w:r>
      <w:r>
        <w:rPr>
          <w:spacing w:val="-5"/>
        </w:rPr>
        <w:t> </w:t>
      </w:r>
      <w:r>
        <w:rPr/>
        <w:t>human</w:t>
      </w:r>
      <w:r>
        <w:rPr>
          <w:spacing w:val="-5"/>
        </w:rPr>
        <w:t> </w:t>
      </w:r>
      <w:r>
        <w:rPr/>
        <w:t>rights</w:t>
      </w:r>
      <w:r>
        <w:rPr>
          <w:spacing w:val="-6"/>
        </w:rPr>
        <w:t> </w:t>
      </w:r>
      <w:r>
        <w:rPr/>
        <w:t>are</w:t>
      </w:r>
      <w:r>
        <w:rPr>
          <w:spacing w:val="-5"/>
        </w:rPr>
        <w:t> </w:t>
      </w:r>
      <w:r>
        <w:rPr/>
        <w:t>no</w:t>
      </w:r>
      <w:r>
        <w:rPr>
          <w:spacing w:val="-5"/>
        </w:rPr>
        <w:t> </w:t>
      </w:r>
      <w:r>
        <w:rPr/>
        <w:t>longer</w:t>
      </w:r>
      <w:r>
        <w:rPr>
          <w:spacing w:val="-5"/>
        </w:rPr>
        <w:t> </w:t>
      </w:r>
      <w:r>
        <w:rPr/>
        <w:t>considered a</w:t>
      </w:r>
      <w:r>
        <w:rPr>
          <w:spacing w:val="-12"/>
        </w:rPr>
        <w:t> </w:t>
      </w:r>
      <w:r>
        <w:rPr/>
        <w:t>natural</w:t>
      </w:r>
      <w:r>
        <w:rPr>
          <w:spacing w:val="-13"/>
        </w:rPr>
        <w:t> </w:t>
      </w:r>
      <w:r>
        <w:rPr/>
        <w:t>consequence</w:t>
      </w:r>
      <w:r>
        <w:rPr>
          <w:spacing w:val="-13"/>
        </w:rPr>
        <w:t> </w:t>
      </w:r>
      <w:r>
        <w:rPr/>
        <w:t>caused</w:t>
      </w:r>
      <w:r>
        <w:rPr>
          <w:spacing w:val="-13"/>
        </w:rPr>
        <w:t> </w:t>
      </w:r>
      <w:r>
        <w:rPr/>
        <w:t>by</w:t>
      </w:r>
      <w:r>
        <w:rPr>
          <w:spacing w:val="-12"/>
        </w:rPr>
        <w:t> </w:t>
      </w:r>
      <w:r>
        <w:rPr/>
        <w:t>the</w:t>
      </w:r>
      <w:r>
        <w:rPr>
          <w:spacing w:val="-13"/>
        </w:rPr>
        <w:t> </w:t>
      </w:r>
      <w:r>
        <w:rPr/>
        <w:t>so</w:t>
      </w:r>
      <w:r>
        <w:rPr>
          <w:spacing w:val="-13"/>
        </w:rPr>
        <w:t> </w:t>
      </w:r>
      <w:r>
        <w:rPr/>
        <w:t>called</w:t>
      </w:r>
      <w:r>
        <w:rPr>
          <w:spacing w:val="-13"/>
        </w:rPr>
        <w:t> </w:t>
      </w:r>
      <w:r>
        <w:rPr/>
        <w:t>deficiencies</w:t>
      </w:r>
      <w:r>
        <w:rPr>
          <w:spacing w:val="-13"/>
        </w:rPr>
        <w:t> </w:t>
      </w:r>
      <w:r>
        <w:rPr/>
        <w:t>of</w:t>
      </w:r>
      <w:r>
        <w:rPr>
          <w:spacing w:val="-13"/>
        </w:rPr>
        <w:t> </w:t>
      </w:r>
      <w:r>
        <w:rPr/>
        <w:t>those</w:t>
      </w:r>
      <w:r>
        <w:rPr>
          <w:spacing w:val="-13"/>
        </w:rPr>
        <w:t> </w:t>
      </w:r>
      <w:r>
        <w:rPr/>
        <w:t>persons,</w:t>
      </w:r>
      <w:r>
        <w:rPr>
          <w:spacing w:val="-14"/>
        </w:rPr>
        <w:t> </w:t>
      </w:r>
      <w:r>
        <w:rPr/>
        <w:t>but</w:t>
      </w:r>
      <w:r>
        <w:rPr>
          <w:spacing w:val="-13"/>
        </w:rPr>
        <w:t> </w:t>
      </w:r>
      <w:r>
        <w:rPr/>
        <w:t>rather they</w:t>
      </w:r>
      <w:r>
        <w:rPr>
          <w:spacing w:val="-5"/>
        </w:rPr>
        <w:t> </w:t>
      </w:r>
      <w:r>
        <w:rPr/>
        <w:t>are</w:t>
      </w:r>
      <w:r>
        <w:rPr>
          <w:spacing w:val="-6"/>
        </w:rPr>
        <w:t> </w:t>
      </w:r>
      <w:r>
        <w:rPr/>
        <w:t>the</w:t>
      </w:r>
      <w:r>
        <w:rPr>
          <w:spacing w:val="-6"/>
        </w:rPr>
        <w:t> </w:t>
      </w:r>
      <w:r>
        <w:rPr/>
        <w:t>result</w:t>
      </w:r>
      <w:r>
        <w:rPr>
          <w:spacing w:val="-5"/>
        </w:rPr>
        <w:t> </w:t>
      </w:r>
      <w:r>
        <w:rPr/>
        <w:t>of</w:t>
      </w:r>
      <w:r>
        <w:rPr>
          <w:spacing w:val="-6"/>
        </w:rPr>
        <w:t> </w:t>
      </w:r>
      <w:r>
        <w:rPr/>
        <w:t>a</w:t>
      </w:r>
      <w:r>
        <w:rPr>
          <w:spacing w:val="-5"/>
        </w:rPr>
        <w:t> </w:t>
      </w:r>
      <w:r>
        <w:rPr/>
        <w:t>deeply</w:t>
      </w:r>
      <w:r>
        <w:rPr>
          <w:spacing w:val="-5"/>
        </w:rPr>
        <w:t> </w:t>
      </w:r>
      <w:r>
        <w:rPr/>
        <w:t>rooted</w:t>
      </w:r>
      <w:r>
        <w:rPr>
          <w:spacing w:val="-5"/>
        </w:rPr>
        <w:t> </w:t>
      </w:r>
      <w:r>
        <w:rPr/>
        <w:t>social</w:t>
      </w:r>
      <w:r>
        <w:rPr>
          <w:spacing w:val="-6"/>
        </w:rPr>
        <w:t> </w:t>
      </w:r>
      <w:r>
        <w:rPr/>
        <w:t>construct.</w:t>
      </w:r>
      <w:r>
        <w:rPr>
          <w:spacing w:val="-5"/>
        </w:rPr>
        <w:t> </w:t>
      </w:r>
      <w:r>
        <w:rPr/>
        <w:t>In</w:t>
      </w:r>
      <w:r>
        <w:rPr>
          <w:spacing w:val="-5"/>
        </w:rPr>
        <w:t> </w:t>
      </w:r>
      <w:r>
        <w:rPr/>
        <w:t>other</w:t>
      </w:r>
      <w:r>
        <w:rPr>
          <w:spacing w:val="-5"/>
        </w:rPr>
        <w:t> </w:t>
      </w:r>
      <w:r>
        <w:rPr/>
        <w:t>words,</w:t>
      </w:r>
      <w:r>
        <w:rPr>
          <w:spacing w:val="-5"/>
        </w:rPr>
        <w:t> </w:t>
      </w:r>
      <w:r>
        <w:rPr/>
        <w:t>such</w:t>
      </w:r>
      <w:r>
        <w:rPr>
          <w:spacing w:val="-6"/>
        </w:rPr>
        <w:t> </w:t>
      </w:r>
      <w:r>
        <w:rPr/>
        <w:t>limitations are</w:t>
      </w:r>
      <w:r>
        <w:rPr>
          <w:spacing w:val="-8"/>
        </w:rPr>
        <w:t> </w:t>
      </w:r>
      <w:r>
        <w:rPr/>
        <w:t>consequent</w:t>
      </w:r>
      <w:r>
        <w:rPr>
          <w:spacing w:val="-7"/>
        </w:rPr>
        <w:t> </w:t>
      </w:r>
      <w:r>
        <w:rPr/>
        <w:t>upon</w:t>
      </w:r>
      <w:r>
        <w:rPr>
          <w:spacing w:val="-7"/>
        </w:rPr>
        <w:t> </w:t>
      </w:r>
      <w:r>
        <w:rPr/>
        <w:t>the</w:t>
      </w:r>
      <w:r>
        <w:rPr>
          <w:spacing w:val="-8"/>
        </w:rPr>
        <w:t> </w:t>
      </w:r>
      <w:r>
        <w:rPr/>
        <w:t>design</w:t>
      </w:r>
      <w:r>
        <w:rPr>
          <w:spacing w:val="-7"/>
        </w:rPr>
        <w:t> </w:t>
      </w:r>
      <w:r>
        <w:rPr/>
        <w:t>of</w:t>
      </w:r>
      <w:r>
        <w:rPr>
          <w:spacing w:val="-7"/>
        </w:rPr>
        <w:t> </w:t>
      </w:r>
      <w:r>
        <w:rPr/>
        <w:t>society</w:t>
      </w:r>
      <w:r>
        <w:rPr>
          <w:spacing w:val="-7"/>
        </w:rPr>
        <w:t> </w:t>
      </w:r>
      <w:r>
        <w:rPr/>
        <w:t>(including</w:t>
      </w:r>
      <w:r>
        <w:rPr>
          <w:spacing w:val="-7"/>
        </w:rPr>
        <w:t> </w:t>
      </w:r>
      <w:r>
        <w:rPr/>
        <w:t>the</w:t>
      </w:r>
      <w:r>
        <w:rPr>
          <w:spacing w:val="-9"/>
        </w:rPr>
        <w:t> </w:t>
      </w:r>
      <w:r>
        <w:rPr/>
        <w:t>design</w:t>
      </w:r>
      <w:r>
        <w:rPr>
          <w:spacing w:val="-8"/>
        </w:rPr>
        <w:t> </w:t>
      </w:r>
      <w:r>
        <w:rPr/>
        <w:t>of</w:t>
      </w:r>
      <w:r>
        <w:rPr>
          <w:spacing w:val="-7"/>
        </w:rPr>
        <w:t> </w:t>
      </w:r>
      <w:r>
        <w:rPr/>
        <w:t>the</w:t>
      </w:r>
      <w:r>
        <w:rPr>
          <w:spacing w:val="-8"/>
        </w:rPr>
        <w:t> </w:t>
      </w:r>
      <w:r>
        <w:rPr/>
        <w:t>legal</w:t>
      </w:r>
      <w:r>
        <w:rPr>
          <w:spacing w:val="-7"/>
        </w:rPr>
        <w:t> </w:t>
      </w:r>
      <w:r>
        <w:rPr/>
        <w:t>conditions for the exercise of human rights) structured within a “normalcy” parameter that does not take into account the true situation of persons with disabilities and therefore leads to discriminatory practices.</w:t>
      </w:r>
      <w:hyperlink w:history="true" w:anchor="_bookmark11">
        <w:r>
          <w:rPr>
            <w:position w:val="8"/>
            <w:sz w:val="16"/>
          </w:rPr>
          <w:t>11</w:t>
        </w:r>
      </w:hyperlink>
    </w:p>
    <w:p>
      <w:pPr>
        <w:pStyle w:val="BodyText"/>
      </w:pPr>
    </w:p>
    <w:p>
      <w:pPr>
        <w:pStyle w:val="BodyText"/>
        <w:ind w:left="397" w:right="106"/>
        <w:jc w:val="both"/>
        <w:rPr>
          <w:sz w:val="16"/>
        </w:rPr>
      </w:pPr>
      <w:r>
        <w:rPr/>
        <w:t>Assuming this view the CRPD aims to adapt pre-existing general and abstract rights, universally recognised in other international instruments, to the specific necessities of persons with disabilities, thereby ensuring equal recognition, exercise and enjoyment of human rights.</w:t>
      </w:r>
      <w:hyperlink w:history="true" w:anchor="_bookmark12">
        <w:r>
          <w:rPr>
            <w:position w:val="8"/>
            <w:sz w:val="16"/>
          </w:rPr>
          <w:t>12 </w:t>
        </w:r>
      </w:hyperlink>
      <w:r>
        <w:rPr/>
        <w:t>Moreover, it also identifies fields where the protection of some human rights must be reinforced for persons with disabilities, taking into account the existence of serious and extended violations in the past.</w:t>
      </w:r>
      <w:hyperlink w:history="true" w:anchor="_bookmark13">
        <w:r>
          <w:rPr>
            <w:position w:val="8"/>
            <w:sz w:val="16"/>
          </w:rPr>
          <w:t>13</w:t>
        </w:r>
      </w:hyperlink>
    </w:p>
    <w:p>
      <w:pPr>
        <w:pStyle w:val="BodyText"/>
      </w:pPr>
    </w:p>
    <w:p>
      <w:pPr>
        <w:pStyle w:val="BodyText"/>
        <w:ind w:left="397" w:right="105"/>
        <w:jc w:val="both"/>
      </w:pPr>
      <w:r>
        <w:rPr/>
        <w:t>According to this strategy, Art 14 of the CRPD not only reaffirms the application of the right to liberty and security for persons with disabilities and emphasises the obligation to ensure their protection in equal conditions, but crucially it also reformulates the standard regulation of this right.</w:t>
      </w:r>
      <w:hyperlink w:history="true" w:anchor="_bookmark14">
        <w:r>
          <w:rPr>
            <w:position w:val="8"/>
            <w:sz w:val="16"/>
          </w:rPr>
          <w:t>14 </w:t>
        </w:r>
      </w:hyperlink>
      <w:r>
        <w:rPr/>
        <w:t>Indeed, Art 14 specifies the meaning of the right to personal</w:t>
      </w:r>
      <w:r>
        <w:rPr>
          <w:spacing w:val="-17"/>
        </w:rPr>
        <w:t> </w:t>
      </w:r>
      <w:r>
        <w:rPr/>
        <w:t>liberty</w:t>
      </w:r>
      <w:r>
        <w:rPr>
          <w:spacing w:val="-16"/>
        </w:rPr>
        <w:t> </w:t>
      </w:r>
      <w:r>
        <w:rPr/>
        <w:t>in</w:t>
      </w:r>
      <w:r>
        <w:rPr>
          <w:spacing w:val="-17"/>
        </w:rPr>
        <w:t> </w:t>
      </w:r>
      <w:r>
        <w:rPr/>
        <w:t>the</w:t>
      </w:r>
      <w:r>
        <w:rPr>
          <w:spacing w:val="-17"/>
        </w:rPr>
        <w:t> </w:t>
      </w:r>
      <w:r>
        <w:rPr/>
        <w:t>context</w:t>
      </w:r>
      <w:r>
        <w:rPr>
          <w:spacing w:val="-16"/>
        </w:rPr>
        <w:t> </w:t>
      </w:r>
      <w:r>
        <w:rPr/>
        <w:t>of</w:t>
      </w:r>
      <w:r>
        <w:rPr>
          <w:spacing w:val="-17"/>
        </w:rPr>
        <w:t> </w:t>
      </w:r>
      <w:r>
        <w:rPr/>
        <w:t>disability,</w:t>
      </w:r>
      <w:r>
        <w:rPr>
          <w:spacing w:val="-16"/>
        </w:rPr>
        <w:t> </w:t>
      </w:r>
      <w:r>
        <w:rPr/>
        <w:t>adding</w:t>
      </w:r>
      <w:r>
        <w:rPr>
          <w:spacing w:val="-17"/>
        </w:rPr>
        <w:t> </w:t>
      </w:r>
      <w:r>
        <w:rPr/>
        <w:t>new</w:t>
      </w:r>
      <w:r>
        <w:rPr>
          <w:spacing w:val="-18"/>
        </w:rPr>
        <w:t> </w:t>
      </w:r>
      <w:r>
        <w:rPr/>
        <w:t>contents</w:t>
      </w:r>
      <w:r>
        <w:rPr>
          <w:spacing w:val="-16"/>
        </w:rPr>
        <w:t> </w:t>
      </w:r>
      <w:r>
        <w:rPr/>
        <w:t>that</w:t>
      </w:r>
      <w:r>
        <w:rPr>
          <w:spacing w:val="-16"/>
        </w:rPr>
        <w:t> </w:t>
      </w:r>
      <w:r>
        <w:rPr/>
        <w:t>had</w:t>
      </w:r>
      <w:r>
        <w:rPr>
          <w:spacing w:val="-17"/>
        </w:rPr>
        <w:t> </w:t>
      </w:r>
      <w:r>
        <w:rPr/>
        <w:t>not</w:t>
      </w:r>
      <w:r>
        <w:rPr>
          <w:spacing w:val="-18"/>
        </w:rPr>
        <w:t> </w:t>
      </w:r>
      <w:r>
        <w:rPr/>
        <w:t>previously been mentioned in general human rights</w:t>
      </w:r>
      <w:r>
        <w:rPr>
          <w:spacing w:val="-3"/>
        </w:rPr>
        <w:t> </w:t>
      </w:r>
      <w:r>
        <w:rPr/>
        <w:t>treaties.</w:t>
      </w:r>
    </w:p>
    <w:p>
      <w:pPr>
        <w:pStyle w:val="BodyText"/>
        <w:spacing w:before="11"/>
        <w:rPr>
          <w:sz w:val="23"/>
        </w:rPr>
      </w:pPr>
    </w:p>
    <w:p>
      <w:pPr>
        <w:pStyle w:val="BodyText"/>
        <w:ind w:left="398" w:right="107"/>
        <w:jc w:val="both"/>
      </w:pPr>
      <w:r>
        <w:rPr/>
        <w:t>The first part of this paper seeks to address the meaning, scope and the main implications of Art 14 of the CRPD regarding the deprivation of liberty of persons with disabilities, especially persons with psychosocial disabilities. The second part will focus on the relevant domestic law regarding the liberty and security of persons with psychosocial disabilities in Qatar and posits recommendations for review.</w:t>
      </w:r>
    </w:p>
    <w:p>
      <w:pPr>
        <w:pStyle w:val="BodyText"/>
        <w:rPr>
          <w:sz w:val="28"/>
        </w:rPr>
      </w:pPr>
    </w:p>
    <w:p>
      <w:pPr>
        <w:pStyle w:val="BodyText"/>
        <w:spacing w:before="11"/>
        <w:rPr>
          <w:sz w:val="39"/>
        </w:rPr>
      </w:pPr>
    </w:p>
    <w:p>
      <w:pPr>
        <w:spacing w:before="1"/>
        <w:ind w:left="449" w:right="108" w:hanging="171"/>
        <w:jc w:val="both"/>
        <w:rPr>
          <w:sz w:val="20"/>
        </w:rPr>
      </w:pPr>
      <w:bookmarkStart w:name="_bookmark9" w:id="11"/>
      <w:bookmarkEnd w:id="11"/>
      <w:r>
        <w:rPr/>
      </w:r>
      <w:r>
        <w:rPr>
          <w:position w:val="7"/>
          <w:sz w:val="13"/>
        </w:rPr>
        <w:t>9 </w:t>
      </w:r>
      <w:r>
        <w:rPr>
          <w:sz w:val="20"/>
        </w:rPr>
        <w:t>(United Nations [UN] 2515 UNTS 3, UN Doc A/Res/61/106, Annex, GAOR 61</w:t>
      </w:r>
      <w:r>
        <w:rPr>
          <w:position w:val="7"/>
          <w:sz w:val="13"/>
        </w:rPr>
        <w:t>st </w:t>
      </w:r>
      <w:r>
        <w:rPr>
          <w:sz w:val="20"/>
        </w:rPr>
        <w:t>Session Supp 49, 65. (Adopted) 13 Dec 2006, (Opened for Signature) 30 May 2007, [Entered Into Force] 3 May 2008.</w:t>
      </w:r>
    </w:p>
    <w:p>
      <w:pPr>
        <w:spacing w:line="228" w:lineRule="auto" w:before="10"/>
        <w:ind w:left="391" w:right="107" w:hanging="171"/>
        <w:jc w:val="both"/>
        <w:rPr>
          <w:sz w:val="20"/>
        </w:rPr>
      </w:pPr>
      <w:bookmarkStart w:name="_bookmark10" w:id="12"/>
      <w:bookmarkEnd w:id="12"/>
      <w:r>
        <w:rPr/>
      </w:r>
      <w:r>
        <w:rPr>
          <w:position w:val="7"/>
          <w:sz w:val="13"/>
        </w:rPr>
        <w:t>10 </w:t>
      </w:r>
      <w:r>
        <w:rPr>
          <w:sz w:val="20"/>
        </w:rPr>
        <w:t>On the CRPD generally, see –– Lawson A., “The United Nations Convention on the Rights of Persons with</w:t>
      </w:r>
      <w:r>
        <w:rPr>
          <w:spacing w:val="-28"/>
          <w:sz w:val="20"/>
        </w:rPr>
        <w:t> </w:t>
      </w:r>
      <w:r>
        <w:rPr>
          <w:sz w:val="20"/>
        </w:rPr>
        <w:t>Disabilities”,</w:t>
      </w:r>
      <w:r>
        <w:rPr>
          <w:spacing w:val="-27"/>
          <w:sz w:val="20"/>
        </w:rPr>
        <w:t> </w:t>
      </w:r>
      <w:r>
        <w:rPr>
          <w:i/>
          <w:sz w:val="21"/>
        </w:rPr>
        <w:t>Syracuse</w:t>
      </w:r>
      <w:r>
        <w:rPr>
          <w:i/>
          <w:spacing w:val="-31"/>
          <w:sz w:val="21"/>
        </w:rPr>
        <w:t> </w:t>
      </w:r>
      <w:r>
        <w:rPr>
          <w:i/>
          <w:sz w:val="21"/>
        </w:rPr>
        <w:t>Journal</w:t>
      </w:r>
      <w:r>
        <w:rPr>
          <w:i/>
          <w:spacing w:val="-31"/>
          <w:sz w:val="21"/>
        </w:rPr>
        <w:t> </w:t>
      </w:r>
      <w:r>
        <w:rPr>
          <w:i/>
          <w:sz w:val="21"/>
        </w:rPr>
        <w:t>of</w:t>
      </w:r>
      <w:r>
        <w:rPr>
          <w:i/>
          <w:spacing w:val="-31"/>
          <w:sz w:val="21"/>
        </w:rPr>
        <w:t> </w:t>
      </w:r>
      <w:r>
        <w:rPr>
          <w:i/>
          <w:sz w:val="21"/>
        </w:rPr>
        <w:t>International</w:t>
      </w:r>
      <w:r>
        <w:rPr>
          <w:i/>
          <w:spacing w:val="-31"/>
          <w:sz w:val="21"/>
        </w:rPr>
        <w:t> </w:t>
      </w:r>
      <w:r>
        <w:rPr>
          <w:i/>
          <w:sz w:val="21"/>
        </w:rPr>
        <w:t>Law</w:t>
      </w:r>
      <w:r>
        <w:rPr>
          <w:i/>
          <w:spacing w:val="-31"/>
          <w:sz w:val="21"/>
        </w:rPr>
        <w:t> </w:t>
      </w:r>
      <w:r>
        <w:rPr>
          <w:i/>
          <w:sz w:val="21"/>
        </w:rPr>
        <w:t>and</w:t>
      </w:r>
      <w:r>
        <w:rPr>
          <w:i/>
          <w:spacing w:val="-31"/>
          <w:sz w:val="21"/>
        </w:rPr>
        <w:t> </w:t>
      </w:r>
      <w:r>
        <w:rPr>
          <w:i/>
          <w:sz w:val="21"/>
        </w:rPr>
        <w:t>Commerce</w:t>
      </w:r>
      <w:r>
        <w:rPr>
          <w:sz w:val="20"/>
        </w:rPr>
        <w:t>,</w:t>
      </w:r>
      <w:r>
        <w:rPr>
          <w:spacing w:val="-27"/>
          <w:sz w:val="20"/>
        </w:rPr>
        <w:t> </w:t>
      </w:r>
      <w:r>
        <w:rPr>
          <w:sz w:val="20"/>
        </w:rPr>
        <w:t>34</w:t>
      </w:r>
      <w:r>
        <w:rPr>
          <w:spacing w:val="-28"/>
          <w:sz w:val="20"/>
        </w:rPr>
        <w:t> </w:t>
      </w:r>
      <w:r>
        <w:rPr>
          <w:sz w:val="20"/>
        </w:rPr>
        <w:t>(2),</w:t>
      </w:r>
      <w:r>
        <w:rPr>
          <w:spacing w:val="-28"/>
          <w:sz w:val="20"/>
        </w:rPr>
        <w:t> </w:t>
      </w:r>
      <w:r>
        <w:rPr>
          <w:sz w:val="20"/>
        </w:rPr>
        <w:t>2007,</w:t>
      </w:r>
      <w:r>
        <w:rPr>
          <w:spacing w:val="-28"/>
          <w:sz w:val="20"/>
        </w:rPr>
        <w:t> </w:t>
      </w:r>
      <w:r>
        <w:rPr>
          <w:sz w:val="20"/>
        </w:rPr>
        <w:t>563–619;</w:t>
      </w:r>
      <w:r>
        <w:rPr>
          <w:spacing w:val="-28"/>
          <w:sz w:val="20"/>
        </w:rPr>
        <w:t> </w:t>
      </w:r>
      <w:r>
        <w:rPr>
          <w:sz w:val="20"/>
        </w:rPr>
        <w:t>Mackay, D., “The United Nations Convention on the Rights of Persons with Disabilities,” </w:t>
      </w:r>
      <w:r>
        <w:rPr>
          <w:i/>
          <w:sz w:val="21"/>
        </w:rPr>
        <w:t>Syracuse Journal of International Law and Commerce</w:t>
      </w:r>
      <w:r>
        <w:rPr>
          <w:sz w:val="20"/>
        </w:rPr>
        <w:t>, 34 (2), 2007, [323–331]; and Palacios, A., </w:t>
      </w:r>
      <w:r>
        <w:rPr>
          <w:i/>
          <w:sz w:val="21"/>
        </w:rPr>
        <w:t>El modelo social de discapacidad </w:t>
      </w:r>
      <w:r>
        <w:rPr>
          <w:sz w:val="20"/>
        </w:rPr>
        <w:t>cited above n</w:t>
      </w:r>
      <w:r>
        <w:rPr>
          <w:spacing w:val="-11"/>
          <w:sz w:val="20"/>
        </w:rPr>
        <w:t> </w:t>
      </w:r>
      <w:r>
        <w:rPr>
          <w:sz w:val="20"/>
        </w:rPr>
        <w:t>6.</w:t>
      </w:r>
    </w:p>
    <w:p>
      <w:pPr>
        <w:spacing w:line="228" w:lineRule="auto" w:before="6"/>
        <w:ind w:left="391" w:right="108" w:hanging="171"/>
        <w:jc w:val="both"/>
        <w:rPr>
          <w:sz w:val="20"/>
        </w:rPr>
      </w:pPr>
      <w:bookmarkStart w:name="_bookmark11" w:id="13"/>
      <w:bookmarkEnd w:id="13"/>
      <w:r>
        <w:rPr/>
      </w:r>
      <w:r>
        <w:rPr>
          <w:position w:val="7"/>
          <w:sz w:val="13"/>
        </w:rPr>
        <w:t>11</w:t>
      </w:r>
      <w:r>
        <w:rPr>
          <w:spacing w:val="-14"/>
          <w:position w:val="7"/>
          <w:sz w:val="13"/>
        </w:rPr>
        <w:t> </w:t>
      </w:r>
      <w:r>
        <w:rPr>
          <w:sz w:val="20"/>
        </w:rPr>
        <w:t>Cuenca</w:t>
      </w:r>
      <w:r>
        <w:rPr>
          <w:spacing w:val="-15"/>
          <w:sz w:val="20"/>
        </w:rPr>
        <w:t> </w:t>
      </w:r>
      <w:r>
        <w:rPr>
          <w:sz w:val="20"/>
        </w:rPr>
        <w:t>Gómez,</w:t>
      </w:r>
      <w:r>
        <w:rPr>
          <w:spacing w:val="-15"/>
          <w:sz w:val="20"/>
        </w:rPr>
        <w:t> </w:t>
      </w:r>
      <w:r>
        <w:rPr>
          <w:sz w:val="20"/>
        </w:rPr>
        <w:t>P.,</w:t>
      </w:r>
      <w:r>
        <w:rPr>
          <w:spacing w:val="-15"/>
          <w:sz w:val="20"/>
        </w:rPr>
        <w:t> </w:t>
      </w:r>
      <w:r>
        <w:rPr>
          <w:i/>
          <w:sz w:val="21"/>
        </w:rPr>
        <w:t>Los</w:t>
      </w:r>
      <w:r>
        <w:rPr>
          <w:i/>
          <w:spacing w:val="-18"/>
          <w:sz w:val="21"/>
        </w:rPr>
        <w:t> </w:t>
      </w:r>
      <w:r>
        <w:rPr>
          <w:i/>
          <w:sz w:val="21"/>
        </w:rPr>
        <w:t>derechos</w:t>
      </w:r>
      <w:r>
        <w:rPr>
          <w:i/>
          <w:spacing w:val="-18"/>
          <w:sz w:val="21"/>
        </w:rPr>
        <w:t> </w:t>
      </w:r>
      <w:r>
        <w:rPr>
          <w:i/>
          <w:sz w:val="21"/>
        </w:rPr>
        <w:t>fundamentales</w:t>
      </w:r>
      <w:r>
        <w:rPr>
          <w:i/>
          <w:spacing w:val="-18"/>
          <w:sz w:val="21"/>
        </w:rPr>
        <w:t> </w:t>
      </w:r>
      <w:r>
        <w:rPr>
          <w:i/>
          <w:sz w:val="21"/>
        </w:rPr>
        <w:t>de</w:t>
      </w:r>
      <w:r>
        <w:rPr>
          <w:i/>
          <w:spacing w:val="-18"/>
          <w:sz w:val="21"/>
        </w:rPr>
        <w:t> </w:t>
      </w:r>
      <w:r>
        <w:rPr>
          <w:i/>
          <w:sz w:val="21"/>
        </w:rPr>
        <w:t>las</w:t>
      </w:r>
      <w:r>
        <w:rPr>
          <w:i/>
          <w:spacing w:val="-18"/>
          <w:sz w:val="21"/>
        </w:rPr>
        <w:t> </w:t>
      </w:r>
      <w:r>
        <w:rPr>
          <w:i/>
          <w:sz w:val="21"/>
        </w:rPr>
        <w:t>personas</w:t>
      </w:r>
      <w:r>
        <w:rPr>
          <w:i/>
          <w:spacing w:val="-18"/>
          <w:sz w:val="21"/>
        </w:rPr>
        <w:t> </w:t>
      </w:r>
      <w:r>
        <w:rPr>
          <w:i/>
          <w:sz w:val="21"/>
        </w:rPr>
        <w:t>con</w:t>
      </w:r>
      <w:r>
        <w:rPr>
          <w:i/>
          <w:spacing w:val="-19"/>
          <w:sz w:val="21"/>
        </w:rPr>
        <w:t> </w:t>
      </w:r>
      <w:r>
        <w:rPr>
          <w:i/>
          <w:sz w:val="21"/>
        </w:rPr>
        <w:t>discapacidad.</w:t>
      </w:r>
      <w:r>
        <w:rPr>
          <w:i/>
          <w:spacing w:val="-18"/>
          <w:sz w:val="21"/>
        </w:rPr>
        <w:t> </w:t>
      </w:r>
      <w:r>
        <w:rPr>
          <w:i/>
          <w:sz w:val="21"/>
        </w:rPr>
        <w:t>Un</w:t>
      </w:r>
      <w:r>
        <w:rPr>
          <w:i/>
          <w:spacing w:val="-19"/>
          <w:sz w:val="21"/>
        </w:rPr>
        <w:t> </w:t>
      </w:r>
      <w:r>
        <w:rPr>
          <w:i/>
          <w:sz w:val="21"/>
        </w:rPr>
        <w:t>análisis</w:t>
      </w:r>
      <w:r>
        <w:rPr>
          <w:i/>
          <w:spacing w:val="-18"/>
          <w:sz w:val="21"/>
        </w:rPr>
        <w:t> </w:t>
      </w:r>
      <w:r>
        <w:rPr>
          <w:i/>
          <w:sz w:val="21"/>
        </w:rPr>
        <w:t>a</w:t>
      </w:r>
      <w:r>
        <w:rPr>
          <w:i/>
          <w:spacing w:val="-18"/>
          <w:sz w:val="21"/>
        </w:rPr>
        <w:t> </w:t>
      </w:r>
      <w:r>
        <w:rPr>
          <w:i/>
          <w:sz w:val="21"/>
        </w:rPr>
        <w:t>la</w:t>
      </w:r>
      <w:r>
        <w:rPr>
          <w:i/>
          <w:spacing w:val="-18"/>
          <w:sz w:val="21"/>
        </w:rPr>
        <w:t> </w:t>
      </w:r>
      <w:r>
        <w:rPr>
          <w:i/>
          <w:sz w:val="21"/>
        </w:rPr>
        <w:t>luz de</w:t>
      </w:r>
      <w:r>
        <w:rPr>
          <w:i/>
          <w:spacing w:val="-8"/>
          <w:sz w:val="21"/>
        </w:rPr>
        <w:t> </w:t>
      </w:r>
      <w:r>
        <w:rPr>
          <w:i/>
          <w:sz w:val="21"/>
        </w:rPr>
        <w:t>la</w:t>
      </w:r>
      <w:r>
        <w:rPr>
          <w:i/>
          <w:spacing w:val="-7"/>
          <w:sz w:val="21"/>
        </w:rPr>
        <w:t> </w:t>
      </w:r>
      <w:r>
        <w:rPr>
          <w:i/>
          <w:sz w:val="21"/>
        </w:rPr>
        <w:t>Convención</w:t>
      </w:r>
      <w:r>
        <w:rPr>
          <w:i/>
          <w:spacing w:val="-8"/>
          <w:sz w:val="21"/>
        </w:rPr>
        <w:t> </w:t>
      </w:r>
      <w:r>
        <w:rPr>
          <w:i/>
          <w:sz w:val="21"/>
        </w:rPr>
        <w:t>de</w:t>
      </w:r>
      <w:r>
        <w:rPr>
          <w:i/>
          <w:spacing w:val="-8"/>
          <w:sz w:val="21"/>
        </w:rPr>
        <w:t> </w:t>
      </w:r>
      <w:r>
        <w:rPr>
          <w:i/>
          <w:sz w:val="21"/>
        </w:rPr>
        <w:t>la</w:t>
      </w:r>
      <w:r>
        <w:rPr>
          <w:i/>
          <w:spacing w:val="-7"/>
          <w:sz w:val="21"/>
        </w:rPr>
        <w:t> </w:t>
      </w:r>
      <w:r>
        <w:rPr>
          <w:i/>
          <w:sz w:val="21"/>
        </w:rPr>
        <w:t>ONU,</w:t>
      </w:r>
      <w:r>
        <w:rPr>
          <w:i/>
          <w:spacing w:val="-8"/>
          <w:sz w:val="21"/>
        </w:rPr>
        <w:t> </w:t>
      </w:r>
      <w:r>
        <w:rPr>
          <w:sz w:val="20"/>
        </w:rPr>
        <w:t>Universidad</w:t>
      </w:r>
      <w:r>
        <w:rPr>
          <w:spacing w:val="-5"/>
          <w:sz w:val="20"/>
        </w:rPr>
        <w:t> </w:t>
      </w:r>
      <w:r>
        <w:rPr>
          <w:sz w:val="20"/>
        </w:rPr>
        <w:t>de</w:t>
      </w:r>
      <w:r>
        <w:rPr>
          <w:spacing w:val="-4"/>
          <w:sz w:val="20"/>
        </w:rPr>
        <w:t> </w:t>
      </w:r>
      <w:r>
        <w:rPr>
          <w:sz w:val="20"/>
        </w:rPr>
        <w:t>Alcalá</w:t>
      </w:r>
      <w:r>
        <w:rPr>
          <w:spacing w:val="-4"/>
          <w:sz w:val="20"/>
        </w:rPr>
        <w:t> </w:t>
      </w:r>
      <w:r>
        <w:rPr>
          <w:sz w:val="20"/>
        </w:rPr>
        <w:t>de</w:t>
      </w:r>
      <w:r>
        <w:rPr>
          <w:spacing w:val="-4"/>
          <w:sz w:val="20"/>
        </w:rPr>
        <w:t> </w:t>
      </w:r>
      <w:r>
        <w:rPr>
          <w:sz w:val="20"/>
        </w:rPr>
        <w:t>Henares,</w:t>
      </w:r>
      <w:r>
        <w:rPr>
          <w:spacing w:val="-4"/>
          <w:sz w:val="20"/>
        </w:rPr>
        <w:t> </w:t>
      </w:r>
      <w:r>
        <w:rPr>
          <w:sz w:val="20"/>
        </w:rPr>
        <w:t>Madrid,</w:t>
      </w:r>
      <w:r>
        <w:rPr>
          <w:spacing w:val="-4"/>
          <w:sz w:val="20"/>
        </w:rPr>
        <w:t> </w:t>
      </w:r>
      <w:r>
        <w:rPr>
          <w:sz w:val="20"/>
        </w:rPr>
        <w:t>2012,</w:t>
      </w:r>
      <w:r>
        <w:rPr>
          <w:spacing w:val="-3"/>
          <w:sz w:val="20"/>
        </w:rPr>
        <w:t> </w:t>
      </w:r>
      <w:r>
        <w:rPr>
          <w:sz w:val="20"/>
        </w:rPr>
        <w:t>[151].</w:t>
      </w:r>
    </w:p>
    <w:p>
      <w:pPr>
        <w:spacing w:line="230" w:lineRule="auto" w:before="8"/>
        <w:ind w:left="391" w:right="107" w:hanging="171"/>
        <w:jc w:val="both"/>
        <w:rPr>
          <w:sz w:val="20"/>
        </w:rPr>
      </w:pPr>
      <w:bookmarkStart w:name="_bookmark12" w:id="14"/>
      <w:bookmarkEnd w:id="14"/>
      <w:r>
        <w:rPr/>
      </w:r>
      <w:r>
        <w:rPr>
          <w:position w:val="7"/>
          <w:sz w:val="13"/>
        </w:rPr>
        <w:t>12</w:t>
      </w:r>
      <w:r>
        <w:rPr>
          <w:spacing w:val="-3"/>
          <w:position w:val="7"/>
          <w:sz w:val="13"/>
        </w:rPr>
        <w:t> </w:t>
      </w:r>
      <w:r>
        <w:rPr>
          <w:sz w:val="20"/>
        </w:rPr>
        <w:t>See</w:t>
      </w:r>
      <w:r>
        <w:rPr>
          <w:spacing w:val="-11"/>
          <w:sz w:val="20"/>
        </w:rPr>
        <w:t> </w:t>
      </w:r>
      <w:r>
        <w:rPr>
          <w:sz w:val="20"/>
        </w:rPr>
        <w:t>––</w:t>
      </w:r>
      <w:r>
        <w:rPr>
          <w:spacing w:val="-11"/>
          <w:sz w:val="20"/>
        </w:rPr>
        <w:t> </w:t>
      </w:r>
      <w:r>
        <w:rPr>
          <w:sz w:val="20"/>
        </w:rPr>
        <w:t>Bartlett,</w:t>
      </w:r>
      <w:r>
        <w:rPr>
          <w:spacing w:val="-10"/>
          <w:sz w:val="20"/>
        </w:rPr>
        <w:t> </w:t>
      </w:r>
      <w:r>
        <w:rPr>
          <w:sz w:val="20"/>
        </w:rPr>
        <w:t>P.,</w:t>
      </w:r>
      <w:r>
        <w:rPr>
          <w:spacing w:val="-10"/>
          <w:sz w:val="20"/>
        </w:rPr>
        <w:t> </w:t>
      </w:r>
      <w:r>
        <w:rPr>
          <w:sz w:val="20"/>
        </w:rPr>
        <w:t>“The</w:t>
      </w:r>
      <w:r>
        <w:rPr>
          <w:spacing w:val="-11"/>
          <w:sz w:val="20"/>
        </w:rPr>
        <w:t> </w:t>
      </w:r>
      <w:r>
        <w:rPr>
          <w:sz w:val="20"/>
        </w:rPr>
        <w:t>United</w:t>
      </w:r>
      <w:r>
        <w:rPr>
          <w:spacing w:val="-11"/>
          <w:sz w:val="20"/>
        </w:rPr>
        <w:t> </w:t>
      </w:r>
      <w:r>
        <w:rPr>
          <w:sz w:val="20"/>
        </w:rPr>
        <w:t>Nations</w:t>
      </w:r>
      <w:r>
        <w:rPr>
          <w:spacing w:val="-12"/>
          <w:sz w:val="20"/>
        </w:rPr>
        <w:t> </w:t>
      </w:r>
      <w:r>
        <w:rPr>
          <w:sz w:val="20"/>
        </w:rPr>
        <w:t>Convention</w:t>
      </w:r>
      <w:r>
        <w:rPr>
          <w:spacing w:val="-11"/>
          <w:sz w:val="20"/>
        </w:rPr>
        <w:t> </w:t>
      </w:r>
      <w:r>
        <w:rPr>
          <w:sz w:val="20"/>
        </w:rPr>
        <w:t>on</w:t>
      </w:r>
      <w:r>
        <w:rPr>
          <w:spacing w:val="-11"/>
          <w:sz w:val="20"/>
        </w:rPr>
        <w:t> </w:t>
      </w:r>
      <w:r>
        <w:rPr>
          <w:sz w:val="20"/>
        </w:rPr>
        <w:t>the</w:t>
      </w:r>
      <w:r>
        <w:rPr>
          <w:spacing w:val="-11"/>
          <w:sz w:val="20"/>
        </w:rPr>
        <w:t> </w:t>
      </w:r>
      <w:r>
        <w:rPr>
          <w:sz w:val="20"/>
        </w:rPr>
        <w:t>Rights</w:t>
      </w:r>
      <w:r>
        <w:rPr>
          <w:spacing w:val="-10"/>
          <w:sz w:val="20"/>
        </w:rPr>
        <w:t> </w:t>
      </w:r>
      <w:r>
        <w:rPr>
          <w:sz w:val="20"/>
        </w:rPr>
        <w:t>of</w:t>
      </w:r>
      <w:r>
        <w:rPr>
          <w:spacing w:val="-11"/>
          <w:sz w:val="20"/>
        </w:rPr>
        <w:t> </w:t>
      </w:r>
      <w:r>
        <w:rPr>
          <w:sz w:val="20"/>
        </w:rPr>
        <w:t>Persons</w:t>
      </w:r>
      <w:r>
        <w:rPr>
          <w:spacing w:val="-10"/>
          <w:sz w:val="20"/>
        </w:rPr>
        <w:t> </w:t>
      </w:r>
      <w:r>
        <w:rPr>
          <w:sz w:val="20"/>
        </w:rPr>
        <w:t>with</w:t>
      </w:r>
      <w:r>
        <w:rPr>
          <w:spacing w:val="-11"/>
          <w:sz w:val="20"/>
        </w:rPr>
        <w:t> </w:t>
      </w:r>
      <w:r>
        <w:rPr>
          <w:sz w:val="20"/>
        </w:rPr>
        <w:t>Disabilities</w:t>
      </w:r>
      <w:r>
        <w:rPr>
          <w:spacing w:val="-10"/>
          <w:sz w:val="20"/>
        </w:rPr>
        <w:t> </w:t>
      </w:r>
      <w:r>
        <w:rPr>
          <w:sz w:val="20"/>
        </w:rPr>
        <w:t>and</w:t>
      </w:r>
      <w:r>
        <w:rPr>
          <w:spacing w:val="-11"/>
          <w:sz w:val="20"/>
        </w:rPr>
        <w:t> </w:t>
      </w:r>
      <w:r>
        <w:rPr>
          <w:sz w:val="20"/>
        </w:rPr>
        <w:t>Mental Health Law,” </w:t>
      </w:r>
      <w:r>
        <w:rPr>
          <w:i/>
          <w:sz w:val="21"/>
        </w:rPr>
        <w:t>The Modern Law Review</w:t>
      </w:r>
      <w:r>
        <w:rPr>
          <w:sz w:val="20"/>
        </w:rPr>
        <w:t>, 75 (5), 2012,</w:t>
      </w:r>
      <w:r>
        <w:rPr>
          <w:spacing w:val="-34"/>
          <w:sz w:val="20"/>
        </w:rPr>
        <w:t> </w:t>
      </w:r>
      <w:r>
        <w:rPr>
          <w:sz w:val="20"/>
        </w:rPr>
        <w:t>[752–778].</w:t>
      </w:r>
    </w:p>
    <w:p>
      <w:pPr>
        <w:spacing w:line="235" w:lineRule="auto" w:before="0"/>
        <w:ind w:left="392" w:right="107" w:hanging="171"/>
        <w:jc w:val="both"/>
        <w:rPr>
          <w:sz w:val="20"/>
        </w:rPr>
      </w:pPr>
      <w:bookmarkStart w:name="_bookmark13" w:id="15"/>
      <w:bookmarkEnd w:id="15"/>
      <w:r>
        <w:rPr/>
      </w:r>
      <w:r>
        <w:rPr>
          <w:position w:val="7"/>
          <w:sz w:val="13"/>
        </w:rPr>
        <w:t>13 </w:t>
      </w:r>
      <w:r>
        <w:rPr>
          <w:sz w:val="20"/>
        </w:rPr>
        <w:t>Palacios, A., </w:t>
      </w:r>
      <w:r>
        <w:rPr>
          <w:i/>
          <w:sz w:val="21"/>
        </w:rPr>
        <w:t>El modelo social de discapacidad, </w:t>
      </w:r>
      <w:r>
        <w:rPr>
          <w:sz w:val="20"/>
        </w:rPr>
        <w:t>270 and Lord, J.E. and Stein, M., “The Domestic Incorporation of Humans Rights Law and the United Nations Convention on the Rights of Persons with Disabilities,” </w:t>
      </w:r>
      <w:r>
        <w:rPr>
          <w:i/>
          <w:sz w:val="21"/>
        </w:rPr>
        <w:t>Washington Law Review; </w:t>
      </w:r>
      <w:r>
        <w:rPr>
          <w:sz w:val="20"/>
        </w:rPr>
        <w:t>83, (4), 2008, [449–479, particularly 461].</w:t>
      </w:r>
    </w:p>
    <w:p>
      <w:pPr>
        <w:spacing w:line="232" w:lineRule="auto" w:before="0"/>
        <w:ind w:left="391" w:right="107" w:hanging="171"/>
        <w:jc w:val="both"/>
        <w:rPr>
          <w:sz w:val="20"/>
        </w:rPr>
      </w:pPr>
      <w:bookmarkStart w:name="_bookmark14" w:id="16"/>
      <w:bookmarkEnd w:id="16"/>
      <w:r>
        <w:rPr/>
      </w:r>
      <w:r>
        <w:rPr>
          <w:position w:val="7"/>
          <w:sz w:val="13"/>
        </w:rPr>
        <w:t>14 </w:t>
      </w:r>
      <w:r>
        <w:rPr>
          <w:sz w:val="20"/>
        </w:rPr>
        <w:t>Article 14 combines the three strategies mentioned by Megret, F., “The Disabilities Convention: Human Rights of Persons with Disabilities or Disability Rights?,” </w:t>
      </w:r>
      <w:r>
        <w:rPr>
          <w:i/>
          <w:sz w:val="21"/>
        </w:rPr>
        <w:t>Human Rights Quartely, </w:t>
      </w:r>
      <w:r>
        <w:rPr>
          <w:sz w:val="20"/>
        </w:rPr>
        <w:t>no. 30, 2008, [494– 516].</w:t>
      </w:r>
    </w:p>
    <w:p>
      <w:pPr>
        <w:spacing w:after="0" w:line="232" w:lineRule="auto"/>
        <w:jc w:val="both"/>
        <w:rPr>
          <w:sz w:val="20"/>
        </w:rPr>
        <w:sectPr>
          <w:pgSz w:w="11910" w:h="16840"/>
          <w:pgMar w:header="0" w:footer="523" w:top="1320" w:bottom="720" w:left="940" w:right="1320"/>
        </w:sectPr>
      </w:pPr>
    </w:p>
    <w:p>
      <w:pPr>
        <w:pStyle w:val="ListParagraph"/>
        <w:numPr>
          <w:ilvl w:val="0"/>
          <w:numId w:val="1"/>
        </w:numPr>
        <w:tabs>
          <w:tab w:pos="1148" w:val="left" w:leader="none"/>
        </w:tabs>
        <w:spacing w:line="240" w:lineRule="auto" w:before="82" w:after="0"/>
        <w:ind w:left="3915" w:right="441" w:hanging="3184"/>
        <w:jc w:val="left"/>
        <w:rPr>
          <w:sz w:val="24"/>
        </w:rPr>
      </w:pPr>
      <w:r>
        <w:rPr>
          <w:sz w:val="24"/>
        </w:rPr>
        <w:t>LIBERTY AND SECURITY OF PERSONS WITH PSYCHOSOCIAL DISABILITIES (ARTICLE 14</w:t>
      </w:r>
      <w:r>
        <w:rPr>
          <w:spacing w:val="-2"/>
          <w:sz w:val="24"/>
        </w:rPr>
        <w:t> </w:t>
      </w:r>
      <w:r>
        <w:rPr>
          <w:sz w:val="24"/>
        </w:rPr>
        <w:t>CRPD)</w:t>
      </w:r>
    </w:p>
    <w:p>
      <w:pPr>
        <w:pStyle w:val="BodyText"/>
      </w:pPr>
    </w:p>
    <w:p>
      <w:pPr>
        <w:pStyle w:val="BodyText"/>
        <w:ind w:left="397" w:right="107"/>
        <w:jc w:val="both"/>
      </w:pPr>
      <w:r>
        <w:rPr/>
        <w:t>As explained above, article 14 ensures the effective and equal application of the right to liberty and security for persons with disabilities. It does so by incorporating new standards into international human rights law that have not previously been included in most pieces of domestic legislation. In particular, these relatively new standards challenge the conventional wisdom of mental health practices.</w:t>
      </w:r>
    </w:p>
    <w:p>
      <w:pPr>
        <w:pStyle w:val="BodyText"/>
        <w:spacing w:before="11"/>
        <w:rPr>
          <w:sz w:val="23"/>
        </w:rPr>
      </w:pPr>
    </w:p>
    <w:p>
      <w:pPr>
        <w:pStyle w:val="BodyText"/>
        <w:ind w:left="397" w:right="105"/>
        <w:jc w:val="both"/>
        <w:rPr>
          <w:sz w:val="16"/>
        </w:rPr>
      </w:pPr>
      <w:r>
        <w:rPr/>
        <w:t>Article 14.1(a) requires States Parties to ensure; “that persons with disabilities, on an equal basis with others, enjoy the right to liberty and security of person.” And article 14.1(b) clarifies that this obligation not only implies guaranteeing (according to the traditional</w:t>
      </w:r>
      <w:r>
        <w:rPr>
          <w:spacing w:val="-16"/>
        </w:rPr>
        <w:t> </w:t>
      </w:r>
      <w:r>
        <w:rPr/>
        <w:t>formulation</w:t>
      </w:r>
      <w:r>
        <w:rPr>
          <w:spacing w:val="-16"/>
        </w:rPr>
        <w:t> </w:t>
      </w:r>
      <w:r>
        <w:rPr/>
        <w:t>of</w:t>
      </w:r>
      <w:r>
        <w:rPr>
          <w:spacing w:val="-14"/>
        </w:rPr>
        <w:t> </w:t>
      </w:r>
      <w:r>
        <w:rPr/>
        <w:t>this</w:t>
      </w:r>
      <w:r>
        <w:rPr>
          <w:spacing w:val="-15"/>
        </w:rPr>
        <w:t> </w:t>
      </w:r>
      <w:r>
        <w:rPr/>
        <w:t>right</w:t>
      </w:r>
      <w:r>
        <w:rPr>
          <w:spacing w:val="-15"/>
        </w:rPr>
        <w:t> </w:t>
      </w:r>
      <w:r>
        <w:rPr/>
        <w:t>in</w:t>
      </w:r>
      <w:r>
        <w:rPr>
          <w:spacing w:val="-14"/>
        </w:rPr>
        <w:t> </w:t>
      </w:r>
      <w:r>
        <w:rPr/>
        <w:t>other</w:t>
      </w:r>
      <w:r>
        <w:rPr>
          <w:spacing w:val="-15"/>
        </w:rPr>
        <w:t> </w:t>
      </w:r>
      <w:r>
        <w:rPr/>
        <w:t>international</w:t>
      </w:r>
      <w:r>
        <w:rPr>
          <w:spacing w:val="-15"/>
        </w:rPr>
        <w:t> </w:t>
      </w:r>
      <w:r>
        <w:rPr/>
        <w:t>instruments)</w:t>
      </w:r>
      <w:r>
        <w:rPr>
          <w:spacing w:val="-12"/>
        </w:rPr>
        <w:t> </w:t>
      </w:r>
      <w:r>
        <w:rPr/>
        <w:t>that</w:t>
      </w:r>
      <w:r>
        <w:rPr>
          <w:spacing w:val="-15"/>
        </w:rPr>
        <w:t> </w:t>
      </w:r>
      <w:r>
        <w:rPr/>
        <w:t>persons</w:t>
      </w:r>
      <w:r>
        <w:rPr>
          <w:spacing w:val="-14"/>
        </w:rPr>
        <w:t> </w:t>
      </w:r>
      <w:r>
        <w:rPr/>
        <w:t>with disabilities; “are not deprived of their liberty unlawfully or arbitrarily, and that any deprivation of liberty is in conformity with the law,” but also ”that the existence of a disability shall in no case justify a deprivation of liberty.” Hence, article 14 must be approached “from a dual</w:t>
      </w:r>
      <w:r>
        <w:rPr>
          <w:spacing w:val="-3"/>
        </w:rPr>
        <w:t> </w:t>
      </w:r>
      <w:r>
        <w:rPr/>
        <w:t>perspective.”</w:t>
      </w:r>
      <w:hyperlink w:history="true" w:anchor="_bookmark15">
        <w:r>
          <w:rPr>
            <w:position w:val="8"/>
            <w:sz w:val="16"/>
          </w:rPr>
          <w:t>15</w:t>
        </w:r>
      </w:hyperlink>
    </w:p>
    <w:p>
      <w:pPr>
        <w:pStyle w:val="BodyText"/>
      </w:pPr>
    </w:p>
    <w:p>
      <w:pPr>
        <w:pStyle w:val="BodyText"/>
        <w:spacing w:before="1"/>
        <w:ind w:left="397" w:right="107"/>
        <w:jc w:val="both"/>
        <w:rPr>
          <w:sz w:val="16"/>
        </w:rPr>
      </w:pPr>
      <w:r>
        <w:rPr/>
        <w:t>Firstly, article 14, in connection with article 13 (on the right to access to justice</w:t>
      </w:r>
      <w:hyperlink w:history="true" w:anchor="_bookmark16">
        <w:r>
          <w:rPr>
            <w:position w:val="8"/>
            <w:sz w:val="16"/>
          </w:rPr>
          <w:t>16</w:t>
        </w:r>
      </w:hyperlink>
      <w:r>
        <w:rPr/>
        <w:t>) includes the guarantee that no person with a disability can be deprived of her liberty without</w:t>
      </w:r>
      <w:r>
        <w:rPr>
          <w:spacing w:val="-6"/>
        </w:rPr>
        <w:t> </w:t>
      </w:r>
      <w:r>
        <w:rPr/>
        <w:t>a</w:t>
      </w:r>
      <w:r>
        <w:rPr>
          <w:spacing w:val="-6"/>
        </w:rPr>
        <w:t> </w:t>
      </w:r>
      <w:r>
        <w:rPr/>
        <w:t>legal</w:t>
      </w:r>
      <w:r>
        <w:rPr>
          <w:spacing w:val="-6"/>
        </w:rPr>
        <w:t> </w:t>
      </w:r>
      <w:r>
        <w:rPr/>
        <w:t>procedure</w:t>
      </w:r>
      <w:r>
        <w:rPr>
          <w:spacing w:val="-6"/>
        </w:rPr>
        <w:t> </w:t>
      </w:r>
      <w:r>
        <w:rPr/>
        <w:t>whereby</w:t>
      </w:r>
      <w:r>
        <w:rPr>
          <w:spacing w:val="-5"/>
        </w:rPr>
        <w:t> </w:t>
      </w:r>
      <w:r>
        <w:rPr/>
        <w:t>minimum</w:t>
      </w:r>
      <w:r>
        <w:rPr>
          <w:spacing w:val="-5"/>
        </w:rPr>
        <w:t> </w:t>
      </w:r>
      <w:r>
        <w:rPr/>
        <w:t>obligations</w:t>
      </w:r>
      <w:r>
        <w:rPr>
          <w:spacing w:val="-5"/>
        </w:rPr>
        <w:t> </w:t>
      </w:r>
      <w:r>
        <w:rPr/>
        <w:t>of</w:t>
      </w:r>
      <w:r>
        <w:rPr>
          <w:spacing w:val="-6"/>
        </w:rPr>
        <w:t> </w:t>
      </w:r>
      <w:r>
        <w:rPr/>
        <w:t>due</w:t>
      </w:r>
      <w:r>
        <w:rPr>
          <w:spacing w:val="-7"/>
        </w:rPr>
        <w:t> </w:t>
      </w:r>
      <w:r>
        <w:rPr/>
        <w:t>process</w:t>
      </w:r>
      <w:r>
        <w:rPr>
          <w:spacing w:val="-6"/>
        </w:rPr>
        <w:t> </w:t>
      </w:r>
      <w:r>
        <w:rPr/>
        <w:t>are</w:t>
      </w:r>
      <w:r>
        <w:rPr>
          <w:spacing w:val="-6"/>
        </w:rPr>
        <w:t> </w:t>
      </w:r>
      <w:r>
        <w:rPr/>
        <w:t>respected. At this point, international jurisprudence has made considerable progress in recent years.</w:t>
      </w:r>
      <w:hyperlink w:history="true" w:anchor="_bookmark17">
        <w:r>
          <w:rPr>
            <w:position w:val="8"/>
            <w:sz w:val="16"/>
          </w:rPr>
          <w:t>17</w:t>
        </w:r>
      </w:hyperlink>
    </w:p>
    <w:p>
      <w:pPr>
        <w:pStyle w:val="BodyText"/>
      </w:pPr>
    </w:p>
    <w:p>
      <w:pPr>
        <w:pStyle w:val="BodyText"/>
        <w:ind w:left="398" w:right="106"/>
        <w:jc w:val="both"/>
      </w:pPr>
      <w:r>
        <w:rPr/>
        <w:t>The</w:t>
      </w:r>
      <w:r>
        <w:rPr>
          <w:spacing w:val="-4"/>
        </w:rPr>
        <w:t> </w:t>
      </w:r>
      <w:r>
        <w:rPr/>
        <w:t>second</w:t>
      </w:r>
      <w:r>
        <w:rPr>
          <w:spacing w:val="-5"/>
        </w:rPr>
        <w:t> </w:t>
      </w:r>
      <w:r>
        <w:rPr/>
        <w:t>perspective</w:t>
      </w:r>
      <w:r>
        <w:rPr>
          <w:spacing w:val="-5"/>
        </w:rPr>
        <w:t> </w:t>
      </w:r>
      <w:r>
        <w:rPr/>
        <w:t>included</w:t>
      </w:r>
      <w:r>
        <w:rPr>
          <w:spacing w:val="-6"/>
        </w:rPr>
        <w:t> </w:t>
      </w:r>
      <w:r>
        <w:rPr/>
        <w:t>by</w:t>
      </w:r>
      <w:r>
        <w:rPr>
          <w:spacing w:val="-5"/>
        </w:rPr>
        <w:t> </w:t>
      </w:r>
      <w:r>
        <w:rPr/>
        <w:t>article</w:t>
      </w:r>
      <w:r>
        <w:rPr>
          <w:spacing w:val="-5"/>
        </w:rPr>
        <w:t> </w:t>
      </w:r>
      <w:r>
        <w:rPr/>
        <w:t>14</w:t>
      </w:r>
      <w:r>
        <w:rPr>
          <w:spacing w:val="-5"/>
        </w:rPr>
        <w:t> </w:t>
      </w:r>
      <w:r>
        <w:rPr/>
        <w:t>is</w:t>
      </w:r>
      <w:r>
        <w:rPr>
          <w:spacing w:val="-5"/>
        </w:rPr>
        <w:t> </w:t>
      </w:r>
      <w:r>
        <w:rPr/>
        <w:t>the</w:t>
      </w:r>
      <w:r>
        <w:rPr>
          <w:spacing w:val="-6"/>
        </w:rPr>
        <w:t> </w:t>
      </w:r>
      <w:r>
        <w:rPr/>
        <w:t>guarantee</w:t>
      </w:r>
      <w:r>
        <w:rPr>
          <w:spacing w:val="-5"/>
        </w:rPr>
        <w:t> </w:t>
      </w:r>
      <w:r>
        <w:rPr/>
        <w:t>that</w:t>
      </w:r>
      <w:r>
        <w:rPr>
          <w:spacing w:val="-4"/>
        </w:rPr>
        <w:t> </w:t>
      </w:r>
      <w:r>
        <w:rPr/>
        <w:t>“the</w:t>
      </w:r>
      <w:r>
        <w:rPr>
          <w:spacing w:val="-6"/>
        </w:rPr>
        <w:t> </w:t>
      </w:r>
      <w:r>
        <w:rPr/>
        <w:t>existence</w:t>
      </w:r>
      <w:r>
        <w:rPr>
          <w:spacing w:val="-5"/>
        </w:rPr>
        <w:t> </w:t>
      </w:r>
      <w:r>
        <w:rPr/>
        <w:t>of</w:t>
      </w:r>
      <w:r>
        <w:rPr>
          <w:spacing w:val="-6"/>
        </w:rPr>
        <w:t> </w:t>
      </w:r>
      <w:r>
        <w:rPr/>
        <w:t>a disability</w:t>
      </w:r>
      <w:r>
        <w:rPr>
          <w:spacing w:val="-12"/>
        </w:rPr>
        <w:t> </w:t>
      </w:r>
      <w:r>
        <w:rPr/>
        <w:t>shall</w:t>
      </w:r>
      <w:r>
        <w:rPr>
          <w:spacing w:val="-12"/>
        </w:rPr>
        <w:t> </w:t>
      </w:r>
      <w:r>
        <w:rPr/>
        <w:t>in</w:t>
      </w:r>
      <w:r>
        <w:rPr>
          <w:spacing w:val="-12"/>
        </w:rPr>
        <w:t> </w:t>
      </w:r>
      <w:r>
        <w:rPr/>
        <w:t>no</w:t>
      </w:r>
      <w:r>
        <w:rPr>
          <w:spacing w:val="-12"/>
        </w:rPr>
        <w:t> </w:t>
      </w:r>
      <w:r>
        <w:rPr/>
        <w:t>case</w:t>
      </w:r>
      <w:r>
        <w:rPr>
          <w:spacing w:val="-12"/>
        </w:rPr>
        <w:t> </w:t>
      </w:r>
      <w:r>
        <w:rPr/>
        <w:t>justify</w:t>
      </w:r>
      <w:r>
        <w:rPr>
          <w:spacing w:val="-12"/>
        </w:rPr>
        <w:t> </w:t>
      </w:r>
      <w:r>
        <w:rPr/>
        <w:t>a</w:t>
      </w:r>
      <w:r>
        <w:rPr>
          <w:spacing w:val="-14"/>
        </w:rPr>
        <w:t> </w:t>
      </w:r>
      <w:r>
        <w:rPr/>
        <w:t>deprivation</w:t>
      </w:r>
      <w:r>
        <w:rPr>
          <w:spacing w:val="-13"/>
        </w:rPr>
        <w:t> </w:t>
      </w:r>
      <w:r>
        <w:rPr/>
        <w:t>of</w:t>
      </w:r>
      <w:r>
        <w:rPr>
          <w:spacing w:val="-12"/>
        </w:rPr>
        <w:t> </w:t>
      </w:r>
      <w:r>
        <w:rPr/>
        <w:t>liberty.”</w:t>
      </w:r>
      <w:r>
        <w:rPr>
          <w:spacing w:val="-14"/>
        </w:rPr>
        <w:t> </w:t>
      </w:r>
      <w:r>
        <w:rPr/>
        <w:t>This</w:t>
      </w:r>
      <w:r>
        <w:rPr>
          <w:spacing w:val="-13"/>
        </w:rPr>
        <w:t> </w:t>
      </w:r>
      <w:r>
        <w:rPr/>
        <w:t>perspective,</w:t>
      </w:r>
      <w:r>
        <w:rPr>
          <w:spacing w:val="-12"/>
        </w:rPr>
        <w:t> </w:t>
      </w:r>
      <w:r>
        <w:rPr/>
        <w:t>where</w:t>
      </w:r>
      <w:r>
        <w:rPr>
          <w:spacing w:val="-12"/>
        </w:rPr>
        <w:t> </w:t>
      </w:r>
      <w:r>
        <w:rPr/>
        <w:t>article 14 is in close interrelation with the right to equality and non-discrimination (Art 5 CRPD),</w:t>
      </w:r>
      <w:hyperlink w:history="true" w:anchor="_bookmark18">
        <w:r>
          <w:rPr>
            <w:position w:val="8"/>
            <w:sz w:val="16"/>
          </w:rPr>
          <w:t>18 </w:t>
        </w:r>
      </w:hyperlink>
      <w:r>
        <w:rPr/>
        <w:t>implies a revolution from the previous treatment of this issue in national and international</w:t>
      </w:r>
      <w:r>
        <w:rPr>
          <w:spacing w:val="-1"/>
        </w:rPr>
        <w:t> </w:t>
      </w:r>
      <w:r>
        <w:rPr/>
        <w:t>law.</w:t>
      </w:r>
    </w:p>
    <w:p>
      <w:pPr>
        <w:pStyle w:val="BodyText"/>
        <w:rPr>
          <w:sz w:val="28"/>
        </w:rPr>
      </w:pPr>
    </w:p>
    <w:p>
      <w:pPr>
        <w:pStyle w:val="BodyText"/>
        <w:spacing w:before="4"/>
        <w:rPr>
          <w:sz w:val="40"/>
        </w:rPr>
      </w:pPr>
    </w:p>
    <w:p>
      <w:pPr>
        <w:spacing w:line="252" w:lineRule="exact" w:before="0"/>
        <w:ind w:left="221" w:right="0" w:firstLine="0"/>
        <w:jc w:val="left"/>
        <w:rPr>
          <w:sz w:val="20"/>
        </w:rPr>
      </w:pPr>
      <w:bookmarkStart w:name="_bookmark15" w:id="17"/>
      <w:bookmarkEnd w:id="17"/>
      <w:r>
        <w:rPr/>
      </w:r>
      <w:r>
        <w:rPr>
          <w:position w:val="7"/>
          <w:sz w:val="13"/>
        </w:rPr>
        <w:t>15 </w:t>
      </w:r>
      <w:r>
        <w:rPr>
          <w:sz w:val="20"/>
        </w:rPr>
        <w:t>Bariffi, F., </w:t>
      </w:r>
      <w:r>
        <w:rPr>
          <w:i/>
          <w:sz w:val="21"/>
        </w:rPr>
        <w:t>El régimen jurídico internacional</w:t>
      </w:r>
      <w:r>
        <w:rPr>
          <w:sz w:val="20"/>
        </w:rPr>
        <w:t>, [223].</w:t>
      </w:r>
    </w:p>
    <w:p>
      <w:pPr>
        <w:spacing w:before="0"/>
        <w:ind w:left="391" w:right="105" w:hanging="171"/>
        <w:jc w:val="both"/>
        <w:rPr>
          <w:sz w:val="20"/>
        </w:rPr>
      </w:pPr>
      <w:bookmarkStart w:name="_bookmark16" w:id="18"/>
      <w:bookmarkEnd w:id="18"/>
      <w:r>
        <w:rPr/>
      </w:r>
      <w:r>
        <w:rPr>
          <w:position w:val="7"/>
          <w:sz w:val="13"/>
        </w:rPr>
        <w:t>16</w:t>
      </w:r>
      <w:r>
        <w:rPr>
          <w:spacing w:val="-3"/>
          <w:position w:val="7"/>
          <w:sz w:val="13"/>
        </w:rPr>
        <w:t> </w:t>
      </w:r>
      <w:r>
        <w:rPr>
          <w:sz w:val="20"/>
        </w:rPr>
        <w:t>According</w:t>
      </w:r>
      <w:r>
        <w:rPr>
          <w:spacing w:val="-14"/>
          <w:sz w:val="20"/>
        </w:rPr>
        <w:t> </w:t>
      </w:r>
      <w:r>
        <w:rPr>
          <w:sz w:val="20"/>
        </w:rPr>
        <w:t>to</w:t>
      </w:r>
      <w:r>
        <w:rPr>
          <w:spacing w:val="-13"/>
          <w:sz w:val="20"/>
        </w:rPr>
        <w:t> </w:t>
      </w:r>
      <w:r>
        <w:rPr>
          <w:sz w:val="20"/>
        </w:rPr>
        <w:t>this</w:t>
      </w:r>
      <w:r>
        <w:rPr>
          <w:spacing w:val="-13"/>
          <w:sz w:val="20"/>
        </w:rPr>
        <w:t> </w:t>
      </w:r>
      <w:r>
        <w:rPr>
          <w:sz w:val="20"/>
        </w:rPr>
        <w:t>provision</w:t>
      </w:r>
      <w:r>
        <w:rPr>
          <w:spacing w:val="-13"/>
          <w:sz w:val="20"/>
        </w:rPr>
        <w:t> </w:t>
      </w:r>
      <w:r>
        <w:rPr>
          <w:sz w:val="20"/>
        </w:rPr>
        <w:t>effective</w:t>
      </w:r>
      <w:r>
        <w:rPr>
          <w:spacing w:val="-13"/>
          <w:sz w:val="20"/>
        </w:rPr>
        <w:t> </w:t>
      </w:r>
      <w:r>
        <w:rPr>
          <w:sz w:val="20"/>
        </w:rPr>
        <w:t>access</w:t>
      </w:r>
      <w:r>
        <w:rPr>
          <w:spacing w:val="-13"/>
          <w:sz w:val="20"/>
        </w:rPr>
        <w:t> </w:t>
      </w:r>
      <w:r>
        <w:rPr>
          <w:sz w:val="20"/>
        </w:rPr>
        <w:t>to</w:t>
      </w:r>
      <w:r>
        <w:rPr>
          <w:spacing w:val="-13"/>
          <w:sz w:val="20"/>
        </w:rPr>
        <w:t> </w:t>
      </w:r>
      <w:r>
        <w:rPr>
          <w:sz w:val="20"/>
        </w:rPr>
        <w:t>justice</w:t>
      </w:r>
      <w:r>
        <w:rPr>
          <w:spacing w:val="-13"/>
          <w:sz w:val="20"/>
        </w:rPr>
        <w:t> </w:t>
      </w:r>
      <w:r>
        <w:rPr>
          <w:sz w:val="20"/>
        </w:rPr>
        <w:t>on</w:t>
      </w:r>
      <w:r>
        <w:rPr>
          <w:spacing w:val="-14"/>
          <w:sz w:val="20"/>
        </w:rPr>
        <w:t> </w:t>
      </w:r>
      <w:r>
        <w:rPr>
          <w:sz w:val="20"/>
        </w:rPr>
        <w:t>an</w:t>
      </w:r>
      <w:r>
        <w:rPr>
          <w:spacing w:val="-13"/>
          <w:sz w:val="20"/>
        </w:rPr>
        <w:t> </w:t>
      </w:r>
      <w:r>
        <w:rPr>
          <w:sz w:val="20"/>
        </w:rPr>
        <w:t>equal</w:t>
      </w:r>
      <w:r>
        <w:rPr>
          <w:spacing w:val="-14"/>
          <w:sz w:val="20"/>
        </w:rPr>
        <w:t> </w:t>
      </w:r>
      <w:r>
        <w:rPr>
          <w:sz w:val="20"/>
        </w:rPr>
        <w:t>basis</w:t>
      </w:r>
      <w:r>
        <w:rPr>
          <w:spacing w:val="-13"/>
          <w:sz w:val="20"/>
        </w:rPr>
        <w:t> </w:t>
      </w:r>
      <w:r>
        <w:rPr>
          <w:sz w:val="20"/>
        </w:rPr>
        <w:t>with</w:t>
      </w:r>
      <w:r>
        <w:rPr>
          <w:spacing w:val="-14"/>
          <w:sz w:val="20"/>
        </w:rPr>
        <w:t> </w:t>
      </w:r>
      <w:r>
        <w:rPr>
          <w:sz w:val="20"/>
        </w:rPr>
        <w:t>others</w:t>
      </w:r>
      <w:r>
        <w:rPr>
          <w:spacing w:val="-13"/>
          <w:sz w:val="20"/>
        </w:rPr>
        <w:t> </w:t>
      </w:r>
      <w:r>
        <w:rPr>
          <w:sz w:val="20"/>
        </w:rPr>
        <w:t>includes</w:t>
      </w:r>
      <w:r>
        <w:rPr>
          <w:spacing w:val="-13"/>
          <w:sz w:val="20"/>
        </w:rPr>
        <w:t> </w:t>
      </w:r>
      <w:r>
        <w:rPr>
          <w:sz w:val="20"/>
        </w:rPr>
        <w:t>the</w:t>
      </w:r>
      <w:r>
        <w:rPr>
          <w:spacing w:val="-14"/>
          <w:sz w:val="20"/>
        </w:rPr>
        <w:t> </w:t>
      </w:r>
      <w:r>
        <w:rPr>
          <w:sz w:val="20"/>
        </w:rPr>
        <w:t>provision of procedural and age-appropriate accommodations and appropriate training; “for those working in the field of administration of justice, including police and prison</w:t>
      </w:r>
      <w:r>
        <w:rPr>
          <w:spacing w:val="-13"/>
          <w:sz w:val="20"/>
        </w:rPr>
        <w:t> </w:t>
      </w:r>
      <w:r>
        <w:rPr>
          <w:sz w:val="20"/>
        </w:rPr>
        <w:t>staff”.</w:t>
      </w:r>
    </w:p>
    <w:p>
      <w:pPr>
        <w:spacing w:line="237" w:lineRule="auto" w:before="0"/>
        <w:ind w:left="391" w:right="106" w:hanging="170"/>
        <w:jc w:val="both"/>
        <w:rPr>
          <w:sz w:val="20"/>
        </w:rPr>
      </w:pPr>
      <w:bookmarkStart w:name="_bookmark17" w:id="19"/>
      <w:bookmarkEnd w:id="19"/>
      <w:r>
        <w:rPr/>
      </w:r>
      <w:r>
        <w:rPr>
          <w:rFonts w:ascii="Calibri" w:hAnsi="Calibri"/>
          <w:position w:val="8"/>
          <w:sz w:val="14"/>
        </w:rPr>
        <w:t>17 </w:t>
      </w:r>
      <w:r>
        <w:rPr>
          <w:sz w:val="20"/>
        </w:rPr>
        <w:t>E.g. – in the European context (before the entry into force of the CRPD), the case law of the European Court of Human Rights (ECtHR) had already required some formal safeguards to be put into place in order to guarantee that the deprivation of liberty of a person of “unsound of mind,” allowed by Article 5.1(e) of the ECHR, e.g. it must not be arbitrary. The first landmark court decision on Article 5.1(e) of was</w:t>
      </w:r>
      <w:r>
        <w:rPr>
          <w:spacing w:val="-6"/>
          <w:sz w:val="20"/>
        </w:rPr>
        <w:t> </w:t>
      </w:r>
      <w:r>
        <w:rPr>
          <w:i/>
          <w:sz w:val="21"/>
        </w:rPr>
        <w:t>Winterwerp</w:t>
      </w:r>
      <w:r>
        <w:rPr>
          <w:i/>
          <w:spacing w:val="-8"/>
          <w:sz w:val="21"/>
        </w:rPr>
        <w:t> </w:t>
      </w:r>
      <w:r>
        <w:rPr>
          <w:i/>
          <w:sz w:val="21"/>
        </w:rPr>
        <w:t>v</w:t>
      </w:r>
      <w:r>
        <w:rPr>
          <w:i/>
          <w:spacing w:val="-9"/>
          <w:sz w:val="21"/>
        </w:rPr>
        <w:t> </w:t>
      </w:r>
      <w:r>
        <w:rPr>
          <w:i/>
          <w:sz w:val="21"/>
        </w:rPr>
        <w:t>The</w:t>
      </w:r>
      <w:r>
        <w:rPr>
          <w:i/>
          <w:spacing w:val="-7"/>
          <w:sz w:val="21"/>
        </w:rPr>
        <w:t> </w:t>
      </w:r>
      <w:r>
        <w:rPr>
          <w:i/>
          <w:sz w:val="21"/>
        </w:rPr>
        <w:t>Netherlands</w:t>
      </w:r>
      <w:r>
        <w:rPr>
          <w:i/>
          <w:spacing w:val="-7"/>
          <w:sz w:val="21"/>
        </w:rPr>
        <w:t> </w:t>
      </w:r>
      <w:r>
        <w:rPr>
          <w:sz w:val="20"/>
        </w:rPr>
        <w:t>(A/33)</w:t>
      </w:r>
      <w:r>
        <w:rPr>
          <w:spacing w:val="-5"/>
          <w:sz w:val="20"/>
        </w:rPr>
        <w:t> </w:t>
      </w:r>
      <w:r>
        <w:rPr>
          <w:sz w:val="20"/>
        </w:rPr>
        <w:t>(1979-80)</w:t>
      </w:r>
      <w:r>
        <w:rPr>
          <w:spacing w:val="-17"/>
          <w:sz w:val="20"/>
        </w:rPr>
        <w:t> </w:t>
      </w:r>
      <w:r>
        <w:rPr>
          <w:sz w:val="20"/>
        </w:rPr>
        <w:t>2</w:t>
      </w:r>
      <w:r>
        <w:rPr>
          <w:spacing w:val="-5"/>
          <w:sz w:val="20"/>
        </w:rPr>
        <w:t> </w:t>
      </w:r>
      <w:r>
        <w:rPr>
          <w:sz w:val="20"/>
        </w:rPr>
        <w:t>E.H.R.R.</w:t>
      </w:r>
      <w:r>
        <w:rPr>
          <w:spacing w:val="-4"/>
          <w:sz w:val="20"/>
        </w:rPr>
        <w:t> </w:t>
      </w:r>
      <w:r>
        <w:rPr>
          <w:sz w:val="20"/>
        </w:rPr>
        <w:t>387.</w:t>
      </w:r>
      <w:r>
        <w:rPr>
          <w:spacing w:val="-4"/>
          <w:sz w:val="20"/>
        </w:rPr>
        <w:t> </w:t>
      </w:r>
      <w:r>
        <w:rPr>
          <w:sz w:val="20"/>
        </w:rPr>
        <w:t>After</w:t>
      </w:r>
      <w:r>
        <w:rPr>
          <w:spacing w:val="-5"/>
          <w:sz w:val="20"/>
        </w:rPr>
        <w:t> </w:t>
      </w:r>
      <w:r>
        <w:rPr>
          <w:sz w:val="20"/>
        </w:rPr>
        <w:t>the</w:t>
      </w:r>
      <w:r>
        <w:rPr>
          <w:spacing w:val="-7"/>
          <w:sz w:val="20"/>
        </w:rPr>
        <w:t> </w:t>
      </w:r>
      <w:r>
        <w:rPr>
          <w:sz w:val="20"/>
        </w:rPr>
        <w:t>adoption</w:t>
      </w:r>
      <w:r>
        <w:rPr>
          <w:spacing w:val="-5"/>
          <w:sz w:val="20"/>
        </w:rPr>
        <w:t> </w:t>
      </w:r>
      <w:r>
        <w:rPr>
          <w:sz w:val="20"/>
        </w:rPr>
        <w:t>of</w:t>
      </w:r>
      <w:r>
        <w:rPr>
          <w:spacing w:val="-6"/>
          <w:sz w:val="20"/>
        </w:rPr>
        <w:t> </w:t>
      </w:r>
      <w:r>
        <w:rPr>
          <w:sz w:val="20"/>
        </w:rPr>
        <w:t>the</w:t>
      </w:r>
      <w:r>
        <w:rPr>
          <w:spacing w:val="-4"/>
          <w:sz w:val="20"/>
        </w:rPr>
        <w:t> </w:t>
      </w:r>
      <w:r>
        <w:rPr>
          <w:sz w:val="20"/>
        </w:rPr>
        <w:t>CRPD</w:t>
      </w:r>
      <w:r>
        <w:rPr>
          <w:spacing w:val="-6"/>
          <w:sz w:val="20"/>
        </w:rPr>
        <w:t> </w:t>
      </w:r>
      <w:r>
        <w:rPr>
          <w:sz w:val="20"/>
        </w:rPr>
        <w:t>it is</w:t>
      </w:r>
      <w:r>
        <w:rPr>
          <w:spacing w:val="-12"/>
          <w:sz w:val="20"/>
        </w:rPr>
        <w:t> </w:t>
      </w:r>
      <w:r>
        <w:rPr>
          <w:sz w:val="20"/>
        </w:rPr>
        <w:t>worth</w:t>
      </w:r>
      <w:r>
        <w:rPr>
          <w:spacing w:val="-12"/>
          <w:sz w:val="20"/>
        </w:rPr>
        <w:t> </w:t>
      </w:r>
      <w:r>
        <w:rPr>
          <w:sz w:val="20"/>
        </w:rPr>
        <w:t>mentioning</w:t>
      </w:r>
      <w:r>
        <w:rPr>
          <w:spacing w:val="-12"/>
          <w:sz w:val="20"/>
        </w:rPr>
        <w:t> </w:t>
      </w:r>
      <w:r>
        <w:rPr>
          <w:sz w:val="20"/>
        </w:rPr>
        <w:t>the</w:t>
      </w:r>
      <w:r>
        <w:rPr>
          <w:spacing w:val="-12"/>
          <w:sz w:val="20"/>
        </w:rPr>
        <w:t> </w:t>
      </w:r>
      <w:r>
        <w:rPr>
          <w:sz w:val="20"/>
        </w:rPr>
        <w:t>decision</w:t>
      </w:r>
      <w:r>
        <w:rPr>
          <w:spacing w:val="-12"/>
          <w:sz w:val="20"/>
        </w:rPr>
        <w:t> </w:t>
      </w:r>
      <w:r>
        <w:rPr>
          <w:sz w:val="20"/>
        </w:rPr>
        <w:t>in</w:t>
      </w:r>
      <w:r>
        <w:rPr>
          <w:spacing w:val="-12"/>
          <w:sz w:val="20"/>
        </w:rPr>
        <w:t> </w:t>
      </w:r>
      <w:r>
        <w:rPr>
          <w:i/>
          <w:sz w:val="21"/>
        </w:rPr>
        <w:t>Shtukaturov</w:t>
      </w:r>
      <w:r>
        <w:rPr>
          <w:i/>
          <w:spacing w:val="-15"/>
          <w:sz w:val="21"/>
        </w:rPr>
        <w:t> </w:t>
      </w:r>
      <w:r>
        <w:rPr>
          <w:i/>
          <w:sz w:val="21"/>
        </w:rPr>
        <w:t>v</w:t>
      </w:r>
      <w:r>
        <w:rPr>
          <w:i/>
          <w:spacing w:val="-15"/>
          <w:sz w:val="21"/>
        </w:rPr>
        <w:t> </w:t>
      </w:r>
      <w:r>
        <w:rPr>
          <w:i/>
          <w:sz w:val="21"/>
        </w:rPr>
        <w:t>Russia</w:t>
      </w:r>
      <w:r>
        <w:rPr>
          <w:i/>
          <w:spacing w:val="25"/>
          <w:sz w:val="21"/>
        </w:rPr>
        <w:t> </w:t>
      </w:r>
      <w:r>
        <w:rPr>
          <w:sz w:val="20"/>
        </w:rPr>
        <w:t>(no.</w:t>
      </w:r>
      <w:r>
        <w:rPr>
          <w:spacing w:val="-12"/>
          <w:sz w:val="20"/>
        </w:rPr>
        <w:t> </w:t>
      </w:r>
      <w:r>
        <w:rPr>
          <w:sz w:val="20"/>
        </w:rPr>
        <w:t>44009/05)</w:t>
      </w:r>
      <w:r>
        <w:rPr>
          <w:spacing w:val="-12"/>
          <w:sz w:val="20"/>
        </w:rPr>
        <w:t> </w:t>
      </w:r>
      <w:r>
        <w:rPr>
          <w:sz w:val="20"/>
        </w:rPr>
        <w:t>(2012)</w:t>
      </w:r>
      <w:r>
        <w:rPr>
          <w:spacing w:val="-12"/>
          <w:sz w:val="20"/>
        </w:rPr>
        <w:t> </w:t>
      </w:r>
      <w:r>
        <w:rPr>
          <w:sz w:val="20"/>
        </w:rPr>
        <w:t>54</w:t>
      </w:r>
      <w:r>
        <w:rPr>
          <w:spacing w:val="-12"/>
          <w:sz w:val="20"/>
        </w:rPr>
        <w:t> </w:t>
      </w:r>
      <w:r>
        <w:rPr>
          <w:sz w:val="20"/>
        </w:rPr>
        <w:t>E.H.R.R.</w:t>
      </w:r>
      <w:r>
        <w:rPr>
          <w:spacing w:val="-12"/>
          <w:sz w:val="20"/>
        </w:rPr>
        <w:t> </w:t>
      </w:r>
      <w:r>
        <w:rPr>
          <w:sz w:val="20"/>
        </w:rPr>
        <w:t>27;</w:t>
      </w:r>
      <w:r>
        <w:rPr>
          <w:spacing w:val="-12"/>
          <w:sz w:val="20"/>
        </w:rPr>
        <w:t> </w:t>
      </w:r>
      <w:r>
        <w:rPr>
          <w:sz w:val="20"/>
        </w:rPr>
        <w:t>(2008) 11</w:t>
      </w:r>
      <w:r>
        <w:rPr>
          <w:spacing w:val="-7"/>
          <w:sz w:val="20"/>
        </w:rPr>
        <w:t> </w:t>
      </w:r>
      <w:r>
        <w:rPr>
          <w:sz w:val="20"/>
        </w:rPr>
        <w:t>C.C.L.</w:t>
      </w:r>
      <w:r>
        <w:rPr>
          <w:spacing w:val="-7"/>
          <w:sz w:val="20"/>
        </w:rPr>
        <w:t> </w:t>
      </w:r>
      <w:r>
        <w:rPr>
          <w:sz w:val="20"/>
        </w:rPr>
        <w:t>Rep.</w:t>
      </w:r>
      <w:r>
        <w:rPr>
          <w:spacing w:val="-6"/>
          <w:sz w:val="20"/>
        </w:rPr>
        <w:t> </w:t>
      </w:r>
      <w:r>
        <w:rPr>
          <w:sz w:val="20"/>
        </w:rPr>
        <w:t>440;</w:t>
      </w:r>
      <w:r>
        <w:rPr>
          <w:spacing w:val="-7"/>
          <w:sz w:val="20"/>
        </w:rPr>
        <w:t> </w:t>
      </w:r>
      <w:r>
        <w:rPr>
          <w:sz w:val="20"/>
        </w:rPr>
        <w:t>[2008]</w:t>
      </w:r>
      <w:r>
        <w:rPr>
          <w:spacing w:val="-8"/>
          <w:sz w:val="20"/>
        </w:rPr>
        <w:t> </w:t>
      </w:r>
      <w:r>
        <w:rPr>
          <w:sz w:val="20"/>
        </w:rPr>
        <w:t>M.H.L.R.</w:t>
      </w:r>
      <w:r>
        <w:rPr>
          <w:spacing w:val="-6"/>
          <w:sz w:val="20"/>
        </w:rPr>
        <w:t> </w:t>
      </w:r>
      <w:r>
        <w:rPr>
          <w:sz w:val="20"/>
        </w:rPr>
        <w:t>238,</w:t>
      </w:r>
      <w:r>
        <w:rPr>
          <w:spacing w:val="-6"/>
          <w:sz w:val="20"/>
        </w:rPr>
        <w:t> </w:t>
      </w:r>
      <w:r>
        <w:rPr>
          <w:sz w:val="20"/>
        </w:rPr>
        <w:t>and</w:t>
      </w:r>
      <w:r>
        <w:rPr>
          <w:spacing w:val="-8"/>
          <w:sz w:val="20"/>
        </w:rPr>
        <w:t> </w:t>
      </w:r>
      <w:r>
        <w:rPr>
          <w:sz w:val="20"/>
        </w:rPr>
        <w:t>after</w:t>
      </w:r>
      <w:r>
        <w:rPr>
          <w:spacing w:val="-7"/>
          <w:sz w:val="20"/>
        </w:rPr>
        <w:t> </w:t>
      </w:r>
      <w:r>
        <w:rPr>
          <w:sz w:val="20"/>
        </w:rPr>
        <w:t>its</w:t>
      </w:r>
      <w:r>
        <w:rPr>
          <w:spacing w:val="-7"/>
          <w:sz w:val="20"/>
        </w:rPr>
        <w:t> </w:t>
      </w:r>
      <w:r>
        <w:rPr>
          <w:sz w:val="20"/>
        </w:rPr>
        <w:t>entry</w:t>
      </w:r>
      <w:r>
        <w:rPr>
          <w:spacing w:val="-7"/>
          <w:sz w:val="20"/>
        </w:rPr>
        <w:t> </w:t>
      </w:r>
      <w:r>
        <w:rPr>
          <w:sz w:val="20"/>
        </w:rPr>
        <w:t>into</w:t>
      </w:r>
      <w:r>
        <w:rPr>
          <w:spacing w:val="-6"/>
          <w:sz w:val="20"/>
        </w:rPr>
        <w:t> </w:t>
      </w:r>
      <w:r>
        <w:rPr>
          <w:sz w:val="20"/>
        </w:rPr>
        <w:t>force</w:t>
      </w:r>
      <w:r>
        <w:rPr>
          <w:spacing w:val="-6"/>
          <w:sz w:val="20"/>
        </w:rPr>
        <w:t> </w:t>
      </w:r>
      <w:r>
        <w:rPr>
          <w:sz w:val="20"/>
        </w:rPr>
        <w:t>the</w:t>
      </w:r>
      <w:r>
        <w:rPr>
          <w:spacing w:val="-8"/>
          <w:sz w:val="20"/>
        </w:rPr>
        <w:t> </w:t>
      </w:r>
      <w:r>
        <w:rPr>
          <w:sz w:val="20"/>
        </w:rPr>
        <w:t>cases</w:t>
      </w:r>
      <w:r>
        <w:rPr>
          <w:spacing w:val="-6"/>
          <w:sz w:val="20"/>
        </w:rPr>
        <w:t> </w:t>
      </w:r>
      <w:r>
        <w:rPr>
          <w:i/>
          <w:sz w:val="21"/>
        </w:rPr>
        <w:t>Stanev</w:t>
      </w:r>
      <w:r>
        <w:rPr>
          <w:i/>
          <w:spacing w:val="-11"/>
          <w:sz w:val="21"/>
        </w:rPr>
        <w:t> </w:t>
      </w:r>
      <w:r>
        <w:rPr>
          <w:i/>
          <w:sz w:val="21"/>
        </w:rPr>
        <w:t>v</w:t>
      </w:r>
      <w:r>
        <w:rPr>
          <w:i/>
          <w:spacing w:val="-10"/>
          <w:sz w:val="21"/>
        </w:rPr>
        <w:t> </w:t>
      </w:r>
      <w:r>
        <w:rPr>
          <w:i/>
          <w:sz w:val="21"/>
        </w:rPr>
        <w:t>Bulgaria</w:t>
      </w:r>
      <w:r>
        <w:rPr>
          <w:i/>
          <w:spacing w:val="35"/>
          <w:sz w:val="21"/>
        </w:rPr>
        <w:t> </w:t>
      </w:r>
      <w:r>
        <w:rPr>
          <w:sz w:val="20"/>
        </w:rPr>
        <w:t>(no. 36760/06)</w:t>
      </w:r>
      <w:r>
        <w:rPr>
          <w:spacing w:val="32"/>
          <w:sz w:val="20"/>
        </w:rPr>
        <w:t> </w:t>
      </w:r>
      <w:r>
        <w:rPr>
          <w:sz w:val="20"/>
        </w:rPr>
        <w:t>(2012)</w:t>
      </w:r>
      <w:r>
        <w:rPr>
          <w:spacing w:val="32"/>
          <w:sz w:val="20"/>
        </w:rPr>
        <w:t> </w:t>
      </w:r>
      <w:r>
        <w:rPr>
          <w:sz w:val="20"/>
        </w:rPr>
        <w:t>55</w:t>
      </w:r>
      <w:r>
        <w:rPr>
          <w:spacing w:val="30"/>
          <w:sz w:val="20"/>
        </w:rPr>
        <w:t> </w:t>
      </w:r>
      <w:r>
        <w:rPr>
          <w:sz w:val="20"/>
        </w:rPr>
        <w:t>E.H.R.R.</w:t>
      </w:r>
      <w:r>
        <w:rPr>
          <w:spacing w:val="31"/>
          <w:sz w:val="20"/>
        </w:rPr>
        <w:t> </w:t>
      </w:r>
      <w:r>
        <w:rPr>
          <w:sz w:val="20"/>
        </w:rPr>
        <w:t>22;</w:t>
      </w:r>
      <w:r>
        <w:rPr>
          <w:spacing w:val="31"/>
          <w:sz w:val="20"/>
        </w:rPr>
        <w:t> </w:t>
      </w:r>
      <w:r>
        <w:rPr>
          <w:sz w:val="20"/>
        </w:rPr>
        <w:t>[2012]</w:t>
      </w:r>
      <w:r>
        <w:rPr>
          <w:spacing w:val="32"/>
          <w:sz w:val="20"/>
        </w:rPr>
        <w:t> </w:t>
      </w:r>
      <w:r>
        <w:rPr>
          <w:sz w:val="20"/>
        </w:rPr>
        <w:t>M.H.L.R.</w:t>
      </w:r>
      <w:r>
        <w:rPr>
          <w:spacing w:val="31"/>
          <w:sz w:val="20"/>
        </w:rPr>
        <w:t> </w:t>
      </w:r>
      <w:r>
        <w:rPr>
          <w:sz w:val="20"/>
        </w:rPr>
        <w:t>23,</w:t>
      </w:r>
      <w:r>
        <w:rPr>
          <w:spacing w:val="31"/>
          <w:sz w:val="20"/>
        </w:rPr>
        <w:t> </w:t>
      </w:r>
      <w:r>
        <w:rPr>
          <w:sz w:val="20"/>
        </w:rPr>
        <w:t>and</w:t>
      </w:r>
      <w:r>
        <w:rPr>
          <w:spacing w:val="31"/>
          <w:sz w:val="20"/>
        </w:rPr>
        <w:t> </w:t>
      </w:r>
      <w:r>
        <w:rPr>
          <w:i/>
          <w:sz w:val="21"/>
        </w:rPr>
        <w:t>DD</w:t>
      </w:r>
      <w:r>
        <w:rPr>
          <w:i/>
          <w:spacing w:val="27"/>
          <w:sz w:val="21"/>
        </w:rPr>
        <w:t> </w:t>
      </w:r>
      <w:r>
        <w:rPr>
          <w:i/>
          <w:sz w:val="21"/>
        </w:rPr>
        <w:t>v</w:t>
      </w:r>
      <w:r>
        <w:rPr>
          <w:i/>
          <w:spacing w:val="28"/>
          <w:sz w:val="21"/>
        </w:rPr>
        <w:t> </w:t>
      </w:r>
      <w:r>
        <w:rPr>
          <w:i/>
          <w:sz w:val="21"/>
        </w:rPr>
        <w:t>Lithuania</w:t>
      </w:r>
      <w:r>
        <w:rPr>
          <w:i/>
          <w:spacing w:val="22"/>
          <w:sz w:val="21"/>
        </w:rPr>
        <w:t> </w:t>
      </w:r>
      <w:r>
        <w:rPr>
          <w:rFonts w:ascii="Calibri" w:hAnsi="Calibri"/>
          <w:sz w:val="22"/>
        </w:rPr>
        <w:t>(no.</w:t>
      </w:r>
      <w:r>
        <w:rPr>
          <w:rFonts w:ascii="Calibri" w:hAnsi="Calibri"/>
          <w:spacing w:val="25"/>
          <w:sz w:val="22"/>
        </w:rPr>
        <w:t> </w:t>
      </w:r>
      <w:r>
        <w:rPr>
          <w:sz w:val="20"/>
        </w:rPr>
        <w:t>13469/06</w:t>
      </w:r>
      <w:r>
        <w:rPr>
          <w:spacing w:val="31"/>
          <w:sz w:val="20"/>
        </w:rPr>
        <w:t> </w:t>
      </w:r>
      <w:r>
        <w:rPr>
          <w:sz w:val="20"/>
        </w:rPr>
        <w:t>[2012]</w:t>
      </w:r>
    </w:p>
    <w:p>
      <w:pPr>
        <w:spacing w:line="239" w:lineRule="exact" w:before="0"/>
        <w:ind w:left="392" w:right="0" w:firstLine="0"/>
        <w:jc w:val="both"/>
        <w:rPr>
          <w:sz w:val="20"/>
        </w:rPr>
      </w:pPr>
      <w:r>
        <w:rPr>
          <w:sz w:val="20"/>
        </w:rPr>
        <w:t>M.H.L.R. 209 that reinforced the procedural safeguards in the application of Article 5.1(e).</w:t>
      </w:r>
    </w:p>
    <w:p>
      <w:pPr>
        <w:spacing w:before="0"/>
        <w:ind w:left="391" w:right="106" w:hanging="227"/>
        <w:jc w:val="both"/>
        <w:rPr>
          <w:sz w:val="20"/>
        </w:rPr>
      </w:pPr>
      <w:bookmarkStart w:name="_bookmark18" w:id="20"/>
      <w:bookmarkEnd w:id="20"/>
      <w:r>
        <w:rPr/>
      </w:r>
      <w:r>
        <w:rPr>
          <w:position w:val="7"/>
          <w:sz w:val="13"/>
        </w:rPr>
        <w:t>18 </w:t>
      </w:r>
      <w:r>
        <w:rPr>
          <w:sz w:val="20"/>
        </w:rPr>
        <w:t>Article 5.1 of the CRPD prohibits “all discrimination on the basis of disability” as defined in Article 2 as: “any distinction, exclusion or restriction on the basis of disability which has the purpose or effect of impairing</w:t>
      </w:r>
      <w:r>
        <w:rPr>
          <w:spacing w:val="-15"/>
          <w:sz w:val="20"/>
        </w:rPr>
        <w:t> </w:t>
      </w:r>
      <w:r>
        <w:rPr>
          <w:sz w:val="20"/>
        </w:rPr>
        <w:t>or</w:t>
      </w:r>
      <w:r>
        <w:rPr>
          <w:spacing w:val="-15"/>
          <w:sz w:val="20"/>
        </w:rPr>
        <w:t> </w:t>
      </w:r>
      <w:r>
        <w:rPr>
          <w:sz w:val="20"/>
        </w:rPr>
        <w:t>nullifying</w:t>
      </w:r>
      <w:r>
        <w:rPr>
          <w:spacing w:val="-15"/>
          <w:sz w:val="20"/>
        </w:rPr>
        <w:t> </w:t>
      </w:r>
      <w:r>
        <w:rPr>
          <w:sz w:val="20"/>
        </w:rPr>
        <w:t>the</w:t>
      </w:r>
      <w:r>
        <w:rPr>
          <w:spacing w:val="-14"/>
          <w:sz w:val="20"/>
        </w:rPr>
        <w:t> </w:t>
      </w:r>
      <w:r>
        <w:rPr>
          <w:sz w:val="20"/>
        </w:rPr>
        <w:t>recognition,</w:t>
      </w:r>
      <w:r>
        <w:rPr>
          <w:spacing w:val="-14"/>
          <w:sz w:val="20"/>
        </w:rPr>
        <w:t> </w:t>
      </w:r>
      <w:r>
        <w:rPr>
          <w:sz w:val="20"/>
        </w:rPr>
        <w:t>enjoyment</w:t>
      </w:r>
      <w:r>
        <w:rPr>
          <w:spacing w:val="-15"/>
          <w:sz w:val="20"/>
        </w:rPr>
        <w:t> </w:t>
      </w:r>
      <w:r>
        <w:rPr>
          <w:sz w:val="20"/>
        </w:rPr>
        <w:t>or</w:t>
      </w:r>
      <w:r>
        <w:rPr>
          <w:spacing w:val="-15"/>
          <w:sz w:val="20"/>
        </w:rPr>
        <w:t> </w:t>
      </w:r>
      <w:r>
        <w:rPr>
          <w:sz w:val="20"/>
        </w:rPr>
        <w:t>exercise,</w:t>
      </w:r>
      <w:r>
        <w:rPr>
          <w:spacing w:val="-14"/>
          <w:sz w:val="20"/>
        </w:rPr>
        <w:t> </w:t>
      </w:r>
      <w:r>
        <w:rPr>
          <w:sz w:val="20"/>
        </w:rPr>
        <w:t>on</w:t>
      </w:r>
      <w:r>
        <w:rPr>
          <w:spacing w:val="-15"/>
          <w:sz w:val="20"/>
        </w:rPr>
        <w:t> </w:t>
      </w:r>
      <w:r>
        <w:rPr>
          <w:sz w:val="20"/>
        </w:rPr>
        <w:t>an</w:t>
      </w:r>
      <w:r>
        <w:rPr>
          <w:spacing w:val="-16"/>
          <w:sz w:val="20"/>
        </w:rPr>
        <w:t> </w:t>
      </w:r>
      <w:r>
        <w:rPr>
          <w:sz w:val="20"/>
        </w:rPr>
        <w:t>equal</w:t>
      </w:r>
      <w:r>
        <w:rPr>
          <w:spacing w:val="-14"/>
          <w:sz w:val="20"/>
        </w:rPr>
        <w:t> </w:t>
      </w:r>
      <w:r>
        <w:rPr>
          <w:sz w:val="20"/>
        </w:rPr>
        <w:t>basis</w:t>
      </w:r>
      <w:r>
        <w:rPr>
          <w:spacing w:val="-14"/>
          <w:sz w:val="20"/>
        </w:rPr>
        <w:t> </w:t>
      </w:r>
      <w:r>
        <w:rPr>
          <w:sz w:val="20"/>
        </w:rPr>
        <w:t>with</w:t>
      </w:r>
      <w:r>
        <w:rPr>
          <w:spacing w:val="-15"/>
          <w:sz w:val="20"/>
        </w:rPr>
        <w:t> </w:t>
      </w:r>
      <w:r>
        <w:rPr>
          <w:sz w:val="20"/>
        </w:rPr>
        <w:t>others,</w:t>
      </w:r>
      <w:r>
        <w:rPr>
          <w:spacing w:val="-15"/>
          <w:sz w:val="20"/>
        </w:rPr>
        <w:t> </w:t>
      </w:r>
      <w:r>
        <w:rPr>
          <w:sz w:val="20"/>
        </w:rPr>
        <w:t>of</w:t>
      </w:r>
      <w:r>
        <w:rPr>
          <w:spacing w:val="-15"/>
          <w:sz w:val="20"/>
        </w:rPr>
        <w:t> </w:t>
      </w:r>
      <w:r>
        <w:rPr>
          <w:sz w:val="20"/>
        </w:rPr>
        <w:t>all</w:t>
      </w:r>
      <w:r>
        <w:rPr>
          <w:spacing w:val="-15"/>
          <w:sz w:val="20"/>
        </w:rPr>
        <w:t> </w:t>
      </w:r>
      <w:r>
        <w:rPr>
          <w:sz w:val="20"/>
        </w:rPr>
        <w:t>human rights and fundamental freedoms in the political, economic, social, cultural, civil or any other field. It includes all forms of discrimination, including denial of reasonable</w:t>
      </w:r>
      <w:r>
        <w:rPr>
          <w:spacing w:val="-15"/>
          <w:sz w:val="20"/>
        </w:rPr>
        <w:t> </w:t>
      </w:r>
      <w:r>
        <w:rPr>
          <w:sz w:val="20"/>
        </w:rPr>
        <w:t>accommodation”.</w:t>
      </w:r>
    </w:p>
    <w:p>
      <w:pPr>
        <w:spacing w:after="0"/>
        <w:jc w:val="both"/>
        <w:rPr>
          <w:sz w:val="20"/>
        </w:rPr>
        <w:sectPr>
          <w:pgSz w:w="11910" w:h="16840"/>
          <w:pgMar w:header="0" w:footer="523" w:top="1320" w:bottom="720" w:left="940" w:right="1320"/>
        </w:sectPr>
      </w:pPr>
    </w:p>
    <w:p>
      <w:pPr>
        <w:pStyle w:val="BodyText"/>
        <w:spacing w:before="82"/>
        <w:ind w:left="398" w:right="107"/>
        <w:jc w:val="both"/>
      </w:pPr>
      <w:r>
        <w:rPr/>
        <w:t>Prior to the CRPD coming into force, existence of a psychosocial disability represented a lawful ground for deprivation of liberty and detention under international human rights law. </w:t>
      </w:r>
      <w:hyperlink w:history="true" w:anchor="_bookmark19">
        <w:r>
          <w:rPr>
            <w:position w:val="8"/>
            <w:sz w:val="16"/>
          </w:rPr>
          <w:t>19</w:t>
        </w:r>
      </w:hyperlink>
      <w:r>
        <w:rPr>
          <w:position w:val="8"/>
          <w:sz w:val="16"/>
        </w:rPr>
        <w:t> </w:t>
      </w:r>
      <w:r>
        <w:rPr/>
        <w:t>The Convention radically departs from this approach by forbidding deprivation of liberty based on disability, including psychosocial disability.</w:t>
      </w:r>
    </w:p>
    <w:p>
      <w:pPr>
        <w:pStyle w:val="BodyText"/>
        <w:spacing w:before="5"/>
      </w:pPr>
    </w:p>
    <w:p>
      <w:pPr>
        <w:pStyle w:val="BodyText"/>
        <w:spacing w:line="235" w:lineRule="auto"/>
        <w:ind w:left="397" w:right="107"/>
        <w:jc w:val="both"/>
      </w:pPr>
      <w:r>
        <w:rPr/>
        <w:t>The new approach means that disability cannot serve in any circumstances as a valid ground for deprivation of liberty. According to the </w:t>
      </w:r>
      <w:r>
        <w:rPr>
          <w:i/>
          <w:sz w:val="25"/>
        </w:rPr>
        <w:t>Guidelines </w:t>
      </w:r>
      <w:r>
        <w:rPr/>
        <w:t>on Article 14 of the Convention</w:t>
      </w:r>
      <w:hyperlink w:history="true" w:anchor="_bookmark20">
        <w:r>
          <w:rPr>
            <w:position w:val="8"/>
            <w:sz w:val="16"/>
          </w:rPr>
          <w:t>20</w:t>
        </w:r>
      </w:hyperlink>
      <w:r>
        <w:rPr/>
        <w:t>,</w:t>
      </w:r>
      <w:r>
        <w:rPr>
          <w:spacing w:val="-18"/>
        </w:rPr>
        <w:t> </w:t>
      </w:r>
      <w:r>
        <w:rPr/>
        <w:t>(approved</w:t>
      </w:r>
      <w:r>
        <w:rPr>
          <w:spacing w:val="-19"/>
        </w:rPr>
        <w:t> </w:t>
      </w:r>
      <w:r>
        <w:rPr/>
        <w:t>by</w:t>
      </w:r>
      <w:r>
        <w:rPr>
          <w:spacing w:val="-18"/>
        </w:rPr>
        <w:t> </w:t>
      </w:r>
      <w:r>
        <w:rPr/>
        <w:t>the</w:t>
      </w:r>
      <w:r>
        <w:rPr>
          <w:spacing w:val="-19"/>
        </w:rPr>
        <w:t> </w:t>
      </w:r>
      <w:r>
        <w:rPr/>
        <w:t>UN</w:t>
      </w:r>
      <w:r>
        <w:rPr>
          <w:spacing w:val="-19"/>
        </w:rPr>
        <w:t> </w:t>
      </w:r>
      <w:r>
        <w:rPr/>
        <w:t>Committee</w:t>
      </w:r>
      <w:r>
        <w:rPr>
          <w:spacing w:val="-19"/>
        </w:rPr>
        <w:t> </w:t>
      </w:r>
      <w:r>
        <w:rPr/>
        <w:t>on</w:t>
      </w:r>
      <w:r>
        <w:rPr>
          <w:spacing w:val="-18"/>
        </w:rPr>
        <w:t> </w:t>
      </w:r>
      <w:r>
        <w:rPr/>
        <w:t>the</w:t>
      </w:r>
      <w:r>
        <w:rPr>
          <w:spacing w:val="-19"/>
        </w:rPr>
        <w:t> </w:t>
      </w:r>
      <w:r>
        <w:rPr/>
        <w:t>Rights</w:t>
      </w:r>
      <w:r>
        <w:rPr>
          <w:spacing w:val="-19"/>
        </w:rPr>
        <w:t> </w:t>
      </w:r>
      <w:r>
        <w:rPr/>
        <w:t>of</w:t>
      </w:r>
      <w:r>
        <w:rPr>
          <w:spacing w:val="-18"/>
        </w:rPr>
        <w:t> </w:t>
      </w:r>
      <w:r>
        <w:rPr/>
        <w:t>Persons</w:t>
      </w:r>
      <w:r>
        <w:rPr>
          <w:spacing w:val="-19"/>
        </w:rPr>
        <w:t> </w:t>
      </w:r>
      <w:r>
        <w:rPr/>
        <w:t>with</w:t>
      </w:r>
      <w:r>
        <w:rPr>
          <w:spacing w:val="-18"/>
        </w:rPr>
        <w:t> </w:t>
      </w:r>
      <w:r>
        <w:rPr/>
        <w:t>Disabilities</w:t>
      </w:r>
    </w:p>
    <w:p>
      <w:pPr>
        <w:pStyle w:val="BodyText"/>
        <w:ind w:left="397" w:right="106"/>
        <w:jc w:val="both"/>
        <w:rPr>
          <w:sz w:val="16"/>
        </w:rPr>
      </w:pPr>
      <w:r>
        <w:rPr/>
        <w:t>—hereinafter the CRPD Committee), this provision implies “the absolute prohibition of detention on the basis of disability” </w:t>
      </w:r>
      <w:hyperlink w:history="true" w:anchor="_bookmark21">
        <w:r>
          <w:rPr>
            <w:position w:val="8"/>
            <w:sz w:val="16"/>
          </w:rPr>
          <w:t>21 </w:t>
        </w:r>
      </w:hyperlink>
      <w:r>
        <w:rPr/>
        <w:t>and does not permit any exceptions. Thus, national</w:t>
      </w:r>
      <w:r>
        <w:rPr>
          <w:spacing w:val="-5"/>
        </w:rPr>
        <w:t> </w:t>
      </w:r>
      <w:r>
        <w:rPr/>
        <w:t>laws</w:t>
      </w:r>
      <w:r>
        <w:rPr>
          <w:spacing w:val="-5"/>
        </w:rPr>
        <w:t> </w:t>
      </w:r>
      <w:r>
        <w:rPr/>
        <w:t>that</w:t>
      </w:r>
      <w:r>
        <w:rPr>
          <w:spacing w:val="-4"/>
        </w:rPr>
        <w:t> </w:t>
      </w:r>
      <w:r>
        <w:rPr/>
        <w:t>provide</w:t>
      </w:r>
      <w:r>
        <w:rPr>
          <w:spacing w:val="-6"/>
        </w:rPr>
        <w:t> </w:t>
      </w:r>
      <w:r>
        <w:rPr/>
        <w:t>instances</w:t>
      </w:r>
      <w:r>
        <w:rPr>
          <w:spacing w:val="-5"/>
        </w:rPr>
        <w:t> </w:t>
      </w:r>
      <w:r>
        <w:rPr/>
        <w:t>in</w:t>
      </w:r>
      <w:r>
        <w:rPr>
          <w:spacing w:val="-4"/>
        </w:rPr>
        <w:t> </w:t>
      </w:r>
      <w:r>
        <w:rPr/>
        <w:t>which</w:t>
      </w:r>
      <w:r>
        <w:rPr>
          <w:spacing w:val="-4"/>
        </w:rPr>
        <w:t> </w:t>
      </w:r>
      <w:r>
        <w:rPr/>
        <w:t>persons</w:t>
      </w:r>
      <w:r>
        <w:rPr>
          <w:spacing w:val="-6"/>
        </w:rPr>
        <w:t> </w:t>
      </w:r>
      <w:r>
        <w:rPr/>
        <w:t>may</w:t>
      </w:r>
      <w:r>
        <w:rPr>
          <w:spacing w:val="-4"/>
        </w:rPr>
        <w:t> </w:t>
      </w:r>
      <w:r>
        <w:rPr/>
        <w:t>be</w:t>
      </w:r>
      <w:r>
        <w:rPr>
          <w:spacing w:val="-6"/>
        </w:rPr>
        <w:t> </w:t>
      </w:r>
      <w:r>
        <w:rPr/>
        <w:t>detained</w:t>
      </w:r>
      <w:r>
        <w:rPr>
          <w:spacing w:val="-5"/>
        </w:rPr>
        <w:t> </w:t>
      </w:r>
      <w:r>
        <w:rPr/>
        <w:t>on</w:t>
      </w:r>
      <w:r>
        <w:rPr>
          <w:spacing w:val="-5"/>
        </w:rPr>
        <w:t> </w:t>
      </w:r>
      <w:r>
        <w:rPr/>
        <w:t>the</w:t>
      </w:r>
      <w:r>
        <w:rPr>
          <w:spacing w:val="-5"/>
        </w:rPr>
        <w:t> </w:t>
      </w:r>
      <w:r>
        <w:rPr/>
        <w:t>grounds of their actual or perceived disability, are incompatible with article</w:t>
      </w:r>
      <w:r>
        <w:rPr>
          <w:spacing w:val="-7"/>
        </w:rPr>
        <w:t> </w:t>
      </w:r>
      <w:r>
        <w:rPr/>
        <w:t>14.</w:t>
      </w:r>
      <w:hyperlink w:history="true" w:anchor="_bookmark22">
        <w:r>
          <w:rPr>
            <w:position w:val="8"/>
            <w:sz w:val="16"/>
          </w:rPr>
          <w:t>22</w:t>
        </w:r>
      </w:hyperlink>
    </w:p>
    <w:p>
      <w:pPr>
        <w:pStyle w:val="BodyText"/>
      </w:pPr>
    </w:p>
    <w:p>
      <w:pPr>
        <w:pStyle w:val="BodyText"/>
        <w:ind w:left="397" w:right="106"/>
        <w:jc w:val="both"/>
        <w:rPr>
          <w:sz w:val="16"/>
        </w:rPr>
      </w:pPr>
      <w:r>
        <w:rPr/>
        <w:t>Resolutely, the Committee maintains, and recalling the debate on the wording of Art 14</w:t>
      </w:r>
      <w:r>
        <w:rPr>
          <w:spacing w:val="-8"/>
        </w:rPr>
        <w:t> </w:t>
      </w:r>
      <w:r>
        <w:rPr/>
        <w:t>during</w:t>
      </w:r>
      <w:r>
        <w:rPr>
          <w:spacing w:val="-9"/>
        </w:rPr>
        <w:t> </w:t>
      </w:r>
      <w:r>
        <w:rPr/>
        <w:t>the</w:t>
      </w:r>
      <w:r>
        <w:rPr>
          <w:spacing w:val="-8"/>
        </w:rPr>
        <w:t> </w:t>
      </w:r>
      <w:r>
        <w:rPr/>
        <w:t>negotiation</w:t>
      </w:r>
      <w:r>
        <w:rPr>
          <w:spacing w:val="-9"/>
        </w:rPr>
        <w:t> </w:t>
      </w:r>
      <w:r>
        <w:rPr/>
        <w:t>of</w:t>
      </w:r>
      <w:r>
        <w:rPr>
          <w:spacing w:val="-7"/>
        </w:rPr>
        <w:t> </w:t>
      </w:r>
      <w:r>
        <w:rPr/>
        <w:t>the</w:t>
      </w:r>
      <w:r>
        <w:rPr>
          <w:spacing w:val="-8"/>
        </w:rPr>
        <w:t> </w:t>
      </w:r>
      <w:r>
        <w:rPr/>
        <w:t>CRPD,</w:t>
      </w:r>
      <w:hyperlink w:history="true" w:anchor="_bookmark23">
        <w:r>
          <w:rPr>
            <w:position w:val="8"/>
            <w:sz w:val="16"/>
          </w:rPr>
          <w:t>23</w:t>
        </w:r>
        <w:r>
          <w:rPr>
            <w:spacing w:val="-1"/>
            <w:position w:val="8"/>
            <w:sz w:val="16"/>
          </w:rPr>
          <w:t> </w:t>
        </w:r>
      </w:hyperlink>
      <w:r>
        <w:rPr/>
        <w:t>that</w:t>
      </w:r>
      <w:r>
        <w:rPr>
          <w:spacing w:val="-9"/>
        </w:rPr>
        <w:t> </w:t>
      </w:r>
      <w:r>
        <w:rPr/>
        <w:t>this</w:t>
      </w:r>
      <w:r>
        <w:rPr>
          <w:spacing w:val="-9"/>
        </w:rPr>
        <w:t> </w:t>
      </w:r>
      <w:r>
        <w:rPr/>
        <w:t>provision</w:t>
      </w:r>
      <w:r>
        <w:rPr>
          <w:spacing w:val="-8"/>
        </w:rPr>
        <w:t> </w:t>
      </w:r>
      <w:r>
        <w:rPr/>
        <w:t>prohibits</w:t>
      </w:r>
      <w:r>
        <w:rPr>
          <w:spacing w:val="-9"/>
        </w:rPr>
        <w:t> </w:t>
      </w:r>
      <w:r>
        <w:rPr/>
        <w:t>the</w:t>
      </w:r>
      <w:r>
        <w:rPr>
          <w:spacing w:val="-8"/>
        </w:rPr>
        <w:t> </w:t>
      </w:r>
      <w:r>
        <w:rPr/>
        <w:t>deprivation</w:t>
      </w:r>
      <w:r>
        <w:rPr>
          <w:spacing w:val="-9"/>
        </w:rPr>
        <w:t> </w:t>
      </w:r>
      <w:r>
        <w:rPr/>
        <w:t>of liberty on the basis of actual or perceived impairment even if additional factors or criteria are used to “justify the deprivation of liberty.”</w:t>
      </w:r>
      <w:hyperlink w:history="true" w:anchor="_bookmark24">
        <w:r>
          <w:rPr>
            <w:position w:val="8"/>
            <w:sz w:val="16"/>
          </w:rPr>
          <w:t>24 </w:t>
        </w:r>
      </w:hyperlink>
      <w:r>
        <w:rPr/>
        <w:t>— for example; risk or danger to</w:t>
      </w:r>
      <w:r>
        <w:rPr>
          <w:spacing w:val="-13"/>
        </w:rPr>
        <w:t> </w:t>
      </w:r>
      <w:r>
        <w:rPr/>
        <w:t>self</w:t>
      </w:r>
      <w:r>
        <w:rPr>
          <w:spacing w:val="-14"/>
        </w:rPr>
        <w:t> </w:t>
      </w:r>
      <w:r>
        <w:rPr/>
        <w:t>or</w:t>
      </w:r>
      <w:r>
        <w:rPr>
          <w:spacing w:val="-14"/>
        </w:rPr>
        <w:t> </w:t>
      </w:r>
      <w:r>
        <w:rPr/>
        <w:t>others,</w:t>
      </w:r>
      <w:r>
        <w:rPr>
          <w:spacing w:val="-13"/>
        </w:rPr>
        <w:t> </w:t>
      </w:r>
      <w:r>
        <w:rPr/>
        <w:t>alleged</w:t>
      </w:r>
      <w:r>
        <w:rPr>
          <w:spacing w:val="-14"/>
        </w:rPr>
        <w:t> </w:t>
      </w:r>
      <w:r>
        <w:rPr/>
        <w:t>need</w:t>
      </w:r>
      <w:r>
        <w:rPr>
          <w:spacing w:val="-14"/>
        </w:rPr>
        <w:t> </w:t>
      </w:r>
      <w:r>
        <w:rPr/>
        <w:t>of</w:t>
      </w:r>
      <w:r>
        <w:rPr>
          <w:spacing w:val="-14"/>
        </w:rPr>
        <w:t> </w:t>
      </w:r>
      <w:r>
        <w:rPr/>
        <w:t>care</w:t>
      </w:r>
      <w:r>
        <w:rPr>
          <w:spacing w:val="-14"/>
        </w:rPr>
        <w:t> </w:t>
      </w:r>
      <w:r>
        <w:rPr/>
        <w:t>or</w:t>
      </w:r>
      <w:r>
        <w:rPr>
          <w:spacing w:val="-14"/>
        </w:rPr>
        <w:t> </w:t>
      </w:r>
      <w:r>
        <w:rPr/>
        <w:t>treatment,</w:t>
      </w:r>
      <w:r>
        <w:rPr>
          <w:spacing w:val="-14"/>
        </w:rPr>
        <w:t> </w:t>
      </w:r>
      <w:r>
        <w:rPr/>
        <w:t>or</w:t>
      </w:r>
      <w:r>
        <w:rPr>
          <w:spacing w:val="-14"/>
        </w:rPr>
        <w:t> </w:t>
      </w:r>
      <w:r>
        <w:rPr/>
        <w:t>other</w:t>
      </w:r>
      <w:r>
        <w:rPr>
          <w:spacing w:val="-14"/>
        </w:rPr>
        <w:t> </w:t>
      </w:r>
      <w:r>
        <w:rPr/>
        <w:t>reasons</w:t>
      </w:r>
      <w:r>
        <w:rPr>
          <w:spacing w:val="-14"/>
        </w:rPr>
        <w:t> </w:t>
      </w:r>
      <w:r>
        <w:rPr/>
        <w:t>tied</w:t>
      </w:r>
      <w:r>
        <w:rPr>
          <w:spacing w:val="-14"/>
        </w:rPr>
        <w:t> </w:t>
      </w:r>
      <w:r>
        <w:rPr/>
        <w:t>to</w:t>
      </w:r>
      <w:r>
        <w:rPr>
          <w:spacing w:val="-14"/>
        </w:rPr>
        <w:t> </w:t>
      </w:r>
      <w:r>
        <w:rPr/>
        <w:t>impairment or health diagnosis. According to this position, already exposited in the CRPD Committee</w:t>
      </w:r>
      <w:r>
        <w:rPr>
          <w:spacing w:val="-29"/>
        </w:rPr>
        <w:t> </w:t>
      </w:r>
      <w:r>
        <w:rPr>
          <w:i/>
          <w:sz w:val="25"/>
        </w:rPr>
        <w:t>Concluding</w:t>
      </w:r>
      <w:r>
        <w:rPr>
          <w:i/>
          <w:spacing w:val="-32"/>
          <w:sz w:val="25"/>
        </w:rPr>
        <w:t> </w:t>
      </w:r>
      <w:r>
        <w:rPr>
          <w:i/>
          <w:sz w:val="25"/>
        </w:rPr>
        <w:t>Observations</w:t>
      </w:r>
      <w:r>
        <w:rPr>
          <w:i/>
          <w:spacing w:val="-31"/>
          <w:sz w:val="25"/>
        </w:rPr>
        <w:t> </w:t>
      </w:r>
      <w:r>
        <w:rPr/>
        <w:t>on</w:t>
      </w:r>
      <w:r>
        <w:rPr>
          <w:spacing w:val="-28"/>
        </w:rPr>
        <w:t> </w:t>
      </w:r>
      <w:r>
        <w:rPr/>
        <w:t>States</w:t>
      </w:r>
      <w:r>
        <w:rPr>
          <w:spacing w:val="-29"/>
        </w:rPr>
        <w:t> </w:t>
      </w:r>
      <w:r>
        <w:rPr/>
        <w:t>initial</w:t>
      </w:r>
      <w:r>
        <w:rPr>
          <w:spacing w:val="-28"/>
        </w:rPr>
        <w:t> </w:t>
      </w:r>
      <w:r>
        <w:rPr/>
        <w:t>reports,</w:t>
      </w:r>
      <w:r>
        <w:rPr>
          <w:spacing w:val="-28"/>
        </w:rPr>
        <w:t> </w:t>
      </w:r>
      <w:r>
        <w:rPr/>
        <w:t>the</w:t>
      </w:r>
      <w:r>
        <w:rPr>
          <w:spacing w:val="-29"/>
        </w:rPr>
        <w:t> </w:t>
      </w:r>
      <w:r>
        <w:rPr/>
        <w:t>existing</w:t>
      </w:r>
      <w:r>
        <w:rPr>
          <w:spacing w:val="-29"/>
        </w:rPr>
        <w:t> </w:t>
      </w:r>
      <w:r>
        <w:rPr/>
        <w:t>domestic</w:t>
      </w:r>
      <w:r>
        <w:rPr>
          <w:spacing w:val="-29"/>
        </w:rPr>
        <w:t> </w:t>
      </w:r>
      <w:r>
        <w:rPr/>
        <w:t>laws and human rights instruments that permit involuntary commitment of persons with psychosocial disabilities need to be questioned. However, the opinion of the CRPD Committee is not shared by all UN Human Rights Committees or indeed by all the Special Procedures of the Human Rights</w:t>
      </w:r>
      <w:r>
        <w:rPr>
          <w:spacing w:val="-3"/>
        </w:rPr>
        <w:t> </w:t>
      </w:r>
      <w:r>
        <w:rPr/>
        <w:t>Council.</w:t>
      </w:r>
      <w:hyperlink w:history="true" w:anchor="_bookmark25">
        <w:r>
          <w:rPr>
            <w:position w:val="8"/>
            <w:sz w:val="16"/>
          </w:rPr>
          <w:t>25</w:t>
        </w:r>
      </w:hyperlink>
    </w:p>
    <w:p>
      <w:pPr>
        <w:pStyle w:val="BodyText"/>
        <w:rPr>
          <w:sz w:val="28"/>
        </w:rPr>
      </w:pPr>
    </w:p>
    <w:p>
      <w:pPr>
        <w:pStyle w:val="BodyText"/>
        <w:rPr>
          <w:sz w:val="28"/>
        </w:rPr>
      </w:pPr>
    </w:p>
    <w:p>
      <w:pPr>
        <w:spacing w:before="201"/>
        <w:ind w:left="391" w:right="0" w:hanging="171"/>
        <w:jc w:val="left"/>
        <w:rPr>
          <w:sz w:val="20"/>
        </w:rPr>
      </w:pPr>
      <w:bookmarkStart w:name="_bookmark19" w:id="21"/>
      <w:bookmarkEnd w:id="21"/>
      <w:r>
        <w:rPr/>
      </w:r>
      <w:r>
        <w:rPr>
          <w:position w:val="7"/>
          <w:sz w:val="13"/>
        </w:rPr>
        <w:t>19 </w:t>
      </w:r>
      <w:r>
        <w:rPr>
          <w:sz w:val="20"/>
        </w:rPr>
        <w:t>See –– Thematic Study by the Office of the United Nations High Commissioner for Human Rights on Enhancing Awareness and Understanding of the Convention on the Rights of Persons with Disabilities, A/HRC/10/48, January 26, 2009, paras (48) and (49). Available at: </w:t>
      </w:r>
      <w:hyperlink r:id="rId7">
        <w:r>
          <w:rPr>
            <w:sz w:val="20"/>
            <w:u w:val="single"/>
          </w:rPr>
          <w:t>http://www2.ohchr.org/english/bodies/hrcouncil/docs/10session/A.HRC.10.48.pdf</w:t>
        </w:r>
      </w:hyperlink>
    </w:p>
    <w:p>
      <w:pPr>
        <w:spacing w:line="235" w:lineRule="auto" w:before="5"/>
        <w:ind w:left="391" w:right="107" w:hanging="171"/>
        <w:jc w:val="both"/>
        <w:rPr>
          <w:sz w:val="20"/>
        </w:rPr>
      </w:pPr>
      <w:bookmarkStart w:name="_bookmark20" w:id="22"/>
      <w:bookmarkEnd w:id="22"/>
      <w:r>
        <w:rPr/>
      </w:r>
      <w:r>
        <w:rPr>
          <w:position w:val="7"/>
          <w:sz w:val="13"/>
        </w:rPr>
        <w:t>20</w:t>
      </w:r>
      <w:r>
        <w:rPr>
          <w:spacing w:val="-3"/>
          <w:position w:val="7"/>
          <w:sz w:val="13"/>
        </w:rPr>
        <w:t> </w:t>
      </w:r>
      <w:r>
        <w:rPr>
          <w:sz w:val="20"/>
        </w:rPr>
        <w:t>The</w:t>
      </w:r>
      <w:r>
        <w:rPr>
          <w:spacing w:val="-13"/>
          <w:sz w:val="20"/>
        </w:rPr>
        <w:t> </w:t>
      </w:r>
      <w:r>
        <w:rPr>
          <w:sz w:val="20"/>
        </w:rPr>
        <w:t>right</w:t>
      </w:r>
      <w:r>
        <w:rPr>
          <w:spacing w:val="-13"/>
          <w:sz w:val="20"/>
        </w:rPr>
        <w:t> </w:t>
      </w:r>
      <w:r>
        <w:rPr>
          <w:sz w:val="20"/>
        </w:rPr>
        <w:t>to</w:t>
      </w:r>
      <w:r>
        <w:rPr>
          <w:spacing w:val="-13"/>
          <w:sz w:val="20"/>
        </w:rPr>
        <w:t> </w:t>
      </w:r>
      <w:r>
        <w:rPr>
          <w:sz w:val="20"/>
        </w:rPr>
        <w:t>liberty</w:t>
      </w:r>
      <w:r>
        <w:rPr>
          <w:spacing w:val="-14"/>
          <w:sz w:val="20"/>
        </w:rPr>
        <w:t> </w:t>
      </w:r>
      <w:r>
        <w:rPr>
          <w:sz w:val="20"/>
        </w:rPr>
        <w:t>and</w:t>
      </w:r>
      <w:r>
        <w:rPr>
          <w:spacing w:val="-14"/>
          <w:sz w:val="20"/>
        </w:rPr>
        <w:t> </w:t>
      </w:r>
      <w:r>
        <w:rPr>
          <w:sz w:val="20"/>
        </w:rPr>
        <w:t>security</w:t>
      </w:r>
      <w:r>
        <w:rPr>
          <w:spacing w:val="-14"/>
          <w:sz w:val="20"/>
        </w:rPr>
        <w:t> </w:t>
      </w:r>
      <w:r>
        <w:rPr>
          <w:sz w:val="20"/>
        </w:rPr>
        <w:t>of</w:t>
      </w:r>
      <w:r>
        <w:rPr>
          <w:spacing w:val="-14"/>
          <w:sz w:val="20"/>
        </w:rPr>
        <w:t> </w:t>
      </w:r>
      <w:r>
        <w:rPr>
          <w:sz w:val="20"/>
        </w:rPr>
        <w:t>persons</w:t>
      </w:r>
      <w:r>
        <w:rPr>
          <w:spacing w:val="-13"/>
          <w:sz w:val="20"/>
        </w:rPr>
        <w:t> </w:t>
      </w:r>
      <w:r>
        <w:rPr>
          <w:sz w:val="20"/>
        </w:rPr>
        <w:t>with</w:t>
      </w:r>
      <w:r>
        <w:rPr>
          <w:spacing w:val="-14"/>
          <w:sz w:val="20"/>
        </w:rPr>
        <w:t> </w:t>
      </w:r>
      <w:r>
        <w:rPr>
          <w:sz w:val="20"/>
        </w:rPr>
        <w:t>disabilities</w:t>
      </w:r>
      <w:r>
        <w:rPr>
          <w:spacing w:val="-13"/>
          <w:sz w:val="20"/>
        </w:rPr>
        <w:t> </w:t>
      </w:r>
      <w:r>
        <w:rPr>
          <w:sz w:val="20"/>
        </w:rPr>
        <w:t>(Geneva:</w:t>
      </w:r>
      <w:r>
        <w:rPr>
          <w:spacing w:val="-13"/>
          <w:sz w:val="20"/>
        </w:rPr>
        <w:t> </w:t>
      </w:r>
      <w:r>
        <w:rPr>
          <w:sz w:val="20"/>
        </w:rPr>
        <w:t>Committee</w:t>
      </w:r>
      <w:r>
        <w:rPr>
          <w:spacing w:val="-14"/>
          <w:sz w:val="20"/>
        </w:rPr>
        <w:t> </w:t>
      </w:r>
      <w:r>
        <w:rPr>
          <w:sz w:val="20"/>
        </w:rPr>
        <w:t>on</w:t>
      </w:r>
      <w:r>
        <w:rPr>
          <w:spacing w:val="-14"/>
          <w:sz w:val="20"/>
        </w:rPr>
        <w:t> </w:t>
      </w:r>
      <w:r>
        <w:rPr>
          <w:sz w:val="20"/>
        </w:rPr>
        <w:t>the</w:t>
      </w:r>
      <w:r>
        <w:rPr>
          <w:spacing w:val="-13"/>
          <w:sz w:val="20"/>
        </w:rPr>
        <w:t> </w:t>
      </w:r>
      <w:r>
        <w:rPr>
          <w:sz w:val="20"/>
        </w:rPr>
        <w:t>Rights</w:t>
      </w:r>
      <w:r>
        <w:rPr>
          <w:spacing w:val="-14"/>
          <w:sz w:val="20"/>
        </w:rPr>
        <w:t> </w:t>
      </w:r>
      <w:r>
        <w:rPr>
          <w:sz w:val="20"/>
        </w:rPr>
        <w:t>of</w:t>
      </w:r>
      <w:r>
        <w:rPr>
          <w:spacing w:val="-14"/>
          <w:sz w:val="20"/>
        </w:rPr>
        <w:t> </w:t>
      </w:r>
      <w:r>
        <w:rPr>
          <w:sz w:val="20"/>
        </w:rPr>
        <w:t>Persons with</w:t>
      </w:r>
      <w:r>
        <w:rPr>
          <w:spacing w:val="-9"/>
          <w:sz w:val="20"/>
        </w:rPr>
        <w:t> </w:t>
      </w:r>
      <w:r>
        <w:rPr>
          <w:sz w:val="20"/>
        </w:rPr>
        <w:t>Disabilities,</w:t>
      </w:r>
      <w:r>
        <w:rPr>
          <w:spacing w:val="-8"/>
          <w:sz w:val="20"/>
        </w:rPr>
        <w:t> </w:t>
      </w:r>
      <w:r>
        <w:rPr>
          <w:sz w:val="20"/>
        </w:rPr>
        <w:t>Adopted</w:t>
      </w:r>
      <w:r>
        <w:rPr>
          <w:spacing w:val="-9"/>
          <w:sz w:val="20"/>
        </w:rPr>
        <w:t> </w:t>
      </w:r>
      <w:r>
        <w:rPr>
          <w:sz w:val="20"/>
        </w:rPr>
        <w:t>during</w:t>
      </w:r>
      <w:r>
        <w:rPr>
          <w:spacing w:val="-9"/>
          <w:sz w:val="20"/>
        </w:rPr>
        <w:t> </w:t>
      </w:r>
      <w:r>
        <w:rPr>
          <w:sz w:val="20"/>
        </w:rPr>
        <w:t>the</w:t>
      </w:r>
      <w:r>
        <w:rPr>
          <w:spacing w:val="-9"/>
          <w:sz w:val="20"/>
        </w:rPr>
        <w:t> </w:t>
      </w:r>
      <w:r>
        <w:rPr>
          <w:sz w:val="20"/>
        </w:rPr>
        <w:t>Committee's</w:t>
      </w:r>
      <w:r>
        <w:rPr>
          <w:spacing w:val="-8"/>
          <w:sz w:val="20"/>
        </w:rPr>
        <w:t> </w:t>
      </w:r>
      <w:r>
        <w:rPr>
          <w:sz w:val="20"/>
        </w:rPr>
        <w:t>14</w:t>
      </w:r>
      <w:r>
        <w:rPr>
          <w:position w:val="7"/>
          <w:sz w:val="13"/>
        </w:rPr>
        <w:t>th</w:t>
      </w:r>
      <w:r>
        <w:rPr>
          <w:spacing w:val="-7"/>
          <w:position w:val="7"/>
          <w:sz w:val="13"/>
        </w:rPr>
        <w:t> </w:t>
      </w:r>
      <w:r>
        <w:rPr>
          <w:sz w:val="20"/>
        </w:rPr>
        <w:t>session,</w:t>
      </w:r>
      <w:r>
        <w:rPr>
          <w:spacing w:val="-8"/>
          <w:sz w:val="20"/>
        </w:rPr>
        <w:t> </w:t>
      </w:r>
      <w:r>
        <w:rPr>
          <w:sz w:val="20"/>
        </w:rPr>
        <w:t>held</w:t>
      </w:r>
      <w:r>
        <w:rPr>
          <w:spacing w:val="-9"/>
          <w:sz w:val="20"/>
        </w:rPr>
        <w:t> </w:t>
      </w:r>
      <w:r>
        <w:rPr>
          <w:sz w:val="20"/>
        </w:rPr>
        <w:t>in</w:t>
      </w:r>
      <w:r>
        <w:rPr>
          <w:spacing w:val="-9"/>
          <w:sz w:val="20"/>
        </w:rPr>
        <w:t> </w:t>
      </w:r>
      <w:r>
        <w:rPr>
          <w:sz w:val="20"/>
        </w:rPr>
        <w:t>September</w:t>
      </w:r>
      <w:r>
        <w:rPr>
          <w:spacing w:val="-9"/>
          <w:sz w:val="20"/>
        </w:rPr>
        <w:t> </w:t>
      </w:r>
      <w:r>
        <w:rPr>
          <w:sz w:val="20"/>
        </w:rPr>
        <w:t>2015).</w:t>
      </w:r>
      <w:r>
        <w:rPr>
          <w:spacing w:val="-8"/>
          <w:sz w:val="20"/>
        </w:rPr>
        <w:t> </w:t>
      </w:r>
      <w:r>
        <w:rPr>
          <w:sz w:val="20"/>
        </w:rPr>
        <w:t>The</w:t>
      </w:r>
      <w:r>
        <w:rPr>
          <w:spacing w:val="-10"/>
          <w:sz w:val="20"/>
        </w:rPr>
        <w:t> </w:t>
      </w:r>
      <w:r>
        <w:rPr>
          <w:i/>
          <w:sz w:val="21"/>
        </w:rPr>
        <w:t>Guidelines </w:t>
      </w:r>
      <w:r>
        <w:rPr>
          <w:sz w:val="20"/>
        </w:rPr>
        <w:t>replaces the </w:t>
      </w:r>
      <w:r>
        <w:rPr>
          <w:i/>
          <w:sz w:val="21"/>
        </w:rPr>
        <w:t>Statement </w:t>
      </w:r>
      <w:r>
        <w:rPr>
          <w:sz w:val="20"/>
        </w:rPr>
        <w:t>on Article 14 approved in 2014. The </w:t>
      </w:r>
      <w:r>
        <w:rPr>
          <w:i/>
          <w:sz w:val="21"/>
        </w:rPr>
        <w:t>Guidelines </w:t>
      </w:r>
      <w:r>
        <w:rPr>
          <w:sz w:val="20"/>
        </w:rPr>
        <w:t>do not have the status of a General</w:t>
      </w:r>
      <w:r>
        <w:rPr>
          <w:spacing w:val="-7"/>
          <w:sz w:val="20"/>
        </w:rPr>
        <w:t> </w:t>
      </w:r>
      <w:r>
        <w:rPr>
          <w:sz w:val="20"/>
        </w:rPr>
        <w:t>Comment,</w:t>
      </w:r>
      <w:r>
        <w:rPr>
          <w:spacing w:val="-7"/>
          <w:sz w:val="20"/>
        </w:rPr>
        <w:t> </w:t>
      </w:r>
      <w:r>
        <w:rPr>
          <w:sz w:val="20"/>
        </w:rPr>
        <w:t>but</w:t>
      </w:r>
      <w:r>
        <w:rPr>
          <w:spacing w:val="-7"/>
          <w:sz w:val="20"/>
        </w:rPr>
        <w:t> </w:t>
      </w:r>
      <w:r>
        <w:rPr>
          <w:sz w:val="20"/>
        </w:rPr>
        <w:t>represent</w:t>
      </w:r>
      <w:r>
        <w:rPr>
          <w:spacing w:val="-7"/>
          <w:sz w:val="20"/>
        </w:rPr>
        <w:t> </w:t>
      </w:r>
      <w:r>
        <w:rPr>
          <w:sz w:val="20"/>
        </w:rPr>
        <w:t>the</w:t>
      </w:r>
      <w:r>
        <w:rPr>
          <w:spacing w:val="-7"/>
          <w:sz w:val="20"/>
        </w:rPr>
        <w:t> </w:t>
      </w:r>
      <w:r>
        <w:rPr>
          <w:sz w:val="20"/>
        </w:rPr>
        <w:t>most</w:t>
      </w:r>
      <w:r>
        <w:rPr>
          <w:spacing w:val="-7"/>
          <w:sz w:val="20"/>
        </w:rPr>
        <w:t> </w:t>
      </w:r>
      <w:r>
        <w:rPr>
          <w:sz w:val="20"/>
        </w:rPr>
        <w:t>recent</w:t>
      </w:r>
      <w:r>
        <w:rPr>
          <w:spacing w:val="-7"/>
          <w:sz w:val="20"/>
        </w:rPr>
        <w:t> </w:t>
      </w:r>
      <w:r>
        <w:rPr>
          <w:sz w:val="20"/>
        </w:rPr>
        <w:t>expression</w:t>
      </w:r>
      <w:r>
        <w:rPr>
          <w:spacing w:val="-7"/>
          <w:sz w:val="20"/>
        </w:rPr>
        <w:t> </w:t>
      </w:r>
      <w:r>
        <w:rPr>
          <w:sz w:val="20"/>
        </w:rPr>
        <w:t>of</w:t>
      </w:r>
      <w:r>
        <w:rPr>
          <w:spacing w:val="-7"/>
          <w:sz w:val="20"/>
        </w:rPr>
        <w:t> </w:t>
      </w:r>
      <w:r>
        <w:rPr>
          <w:sz w:val="20"/>
        </w:rPr>
        <w:t>the</w:t>
      </w:r>
      <w:r>
        <w:rPr>
          <w:spacing w:val="-7"/>
          <w:sz w:val="20"/>
        </w:rPr>
        <w:t> </w:t>
      </w:r>
      <w:r>
        <w:rPr>
          <w:sz w:val="20"/>
        </w:rPr>
        <w:t>Committee’s</w:t>
      </w:r>
      <w:r>
        <w:rPr>
          <w:spacing w:val="-7"/>
          <w:sz w:val="20"/>
        </w:rPr>
        <w:t> </w:t>
      </w:r>
      <w:r>
        <w:rPr>
          <w:sz w:val="20"/>
        </w:rPr>
        <w:t>interpretation</w:t>
      </w:r>
      <w:r>
        <w:rPr>
          <w:spacing w:val="-7"/>
          <w:sz w:val="20"/>
        </w:rPr>
        <w:t> </w:t>
      </w:r>
      <w:r>
        <w:rPr>
          <w:sz w:val="20"/>
        </w:rPr>
        <w:t>of</w:t>
      </w:r>
      <w:r>
        <w:rPr>
          <w:spacing w:val="-7"/>
          <w:sz w:val="20"/>
        </w:rPr>
        <w:t> </w:t>
      </w:r>
      <w:r>
        <w:rPr>
          <w:sz w:val="20"/>
        </w:rPr>
        <w:t>Article 14.</w:t>
      </w:r>
    </w:p>
    <w:p>
      <w:pPr>
        <w:spacing w:line="238" w:lineRule="exact" w:before="0"/>
        <w:ind w:left="221" w:right="0" w:firstLine="0"/>
        <w:jc w:val="left"/>
        <w:rPr>
          <w:sz w:val="20"/>
        </w:rPr>
      </w:pPr>
      <w:bookmarkStart w:name="_bookmark21" w:id="23"/>
      <w:bookmarkEnd w:id="23"/>
      <w:r>
        <w:rPr/>
      </w:r>
      <w:r>
        <w:rPr>
          <w:position w:val="7"/>
          <w:sz w:val="13"/>
        </w:rPr>
        <w:t>21 </w:t>
      </w:r>
      <w:r>
        <w:rPr>
          <w:sz w:val="20"/>
        </w:rPr>
        <w:t>Ibid, paras (6–9). As noted by Flynn, E., “Disability, Deprivation of Liberty and Human Rights Norms,”,</w:t>
      </w:r>
    </w:p>
    <w:p>
      <w:pPr>
        <w:spacing w:before="0"/>
        <w:ind w:left="449" w:right="106" w:hanging="1"/>
        <w:jc w:val="both"/>
        <w:rPr>
          <w:sz w:val="20"/>
        </w:rPr>
      </w:pPr>
      <w:r>
        <w:rPr>
          <w:sz w:val="20"/>
        </w:rPr>
        <w:t>[84] – The Committee’s guidelines go further than previous interpretations of article 14, for example: “that put forward by the UN High Commissioner for Human Rights, who had suggested in 2009 that it would be in conformity with the CRPD to have disability-neutral laws on preventative detention.”</w:t>
      </w:r>
    </w:p>
    <w:p>
      <w:pPr>
        <w:spacing w:line="243" w:lineRule="exact" w:before="0"/>
        <w:ind w:left="221" w:right="0" w:firstLine="0"/>
        <w:jc w:val="left"/>
        <w:rPr>
          <w:sz w:val="20"/>
        </w:rPr>
      </w:pPr>
      <w:bookmarkStart w:name="_bookmark22" w:id="24"/>
      <w:bookmarkEnd w:id="24"/>
      <w:r>
        <w:rPr/>
      </w:r>
      <w:r>
        <w:rPr>
          <w:position w:val="7"/>
          <w:sz w:val="13"/>
        </w:rPr>
        <w:t>22 </w:t>
      </w:r>
      <w:r>
        <w:rPr>
          <w:sz w:val="20"/>
        </w:rPr>
        <w:t>CRPD Committee, </w:t>
      </w:r>
      <w:r>
        <w:rPr>
          <w:i/>
          <w:sz w:val="21"/>
        </w:rPr>
        <w:t>Guidelines on Article 14, </w:t>
      </w:r>
      <w:r>
        <w:rPr>
          <w:sz w:val="20"/>
        </w:rPr>
        <w:t>para (6).</w:t>
      </w:r>
    </w:p>
    <w:p>
      <w:pPr>
        <w:spacing w:before="0"/>
        <w:ind w:left="449" w:right="106" w:hanging="228"/>
        <w:jc w:val="both"/>
        <w:rPr>
          <w:sz w:val="20"/>
        </w:rPr>
      </w:pPr>
      <w:bookmarkStart w:name="_bookmark23" w:id="25"/>
      <w:bookmarkEnd w:id="25"/>
      <w:r>
        <w:rPr/>
      </w:r>
      <w:r>
        <w:rPr>
          <w:position w:val="7"/>
          <w:sz w:val="13"/>
        </w:rPr>
        <w:t>23 </w:t>
      </w:r>
      <w:r>
        <w:rPr>
          <w:sz w:val="20"/>
        </w:rPr>
        <w:t>Ibid, para (7). During the negotiations of article 14 of the CRPD, states and civil society debated in the Ad Hoc Committee whether this provision should be framed to ensure that disability could not be the “sole” or “exclusive” basis for a deprivation of liberty. Ultimately this qualifier was not included.</w:t>
      </w:r>
    </w:p>
    <w:p>
      <w:pPr>
        <w:spacing w:line="241" w:lineRule="exact" w:before="0"/>
        <w:ind w:left="221" w:right="0" w:firstLine="0"/>
        <w:jc w:val="left"/>
        <w:rPr>
          <w:sz w:val="20"/>
        </w:rPr>
      </w:pPr>
      <w:bookmarkStart w:name="_bookmark24" w:id="26"/>
      <w:bookmarkEnd w:id="26"/>
      <w:r>
        <w:rPr/>
      </w:r>
      <w:r>
        <w:rPr>
          <w:position w:val="7"/>
          <w:sz w:val="13"/>
        </w:rPr>
        <w:t>24 </w:t>
      </w:r>
      <w:r>
        <w:rPr>
          <w:sz w:val="20"/>
        </w:rPr>
        <w:t>Ibid, paras (7) and (13).</w:t>
      </w:r>
    </w:p>
    <w:p>
      <w:pPr>
        <w:spacing w:line="237" w:lineRule="auto" w:before="0"/>
        <w:ind w:left="449" w:right="106" w:hanging="228"/>
        <w:jc w:val="both"/>
        <w:rPr>
          <w:sz w:val="20"/>
        </w:rPr>
      </w:pPr>
      <w:bookmarkStart w:name="_bookmark25" w:id="27"/>
      <w:bookmarkEnd w:id="27"/>
      <w:r>
        <w:rPr/>
      </w:r>
      <w:r>
        <w:rPr>
          <w:position w:val="7"/>
          <w:sz w:val="13"/>
        </w:rPr>
        <w:t>25 </w:t>
      </w:r>
      <w:r>
        <w:rPr>
          <w:sz w:val="20"/>
        </w:rPr>
        <w:t>Flynn, E., “Disability, Deprivation of Liberty and Human Rights Norms,” [84]. For an exhaustive explanation</w:t>
      </w:r>
      <w:r>
        <w:rPr>
          <w:spacing w:val="-10"/>
          <w:sz w:val="20"/>
        </w:rPr>
        <w:t> </w:t>
      </w:r>
      <w:r>
        <w:rPr>
          <w:sz w:val="20"/>
        </w:rPr>
        <w:t>on</w:t>
      </w:r>
      <w:r>
        <w:rPr>
          <w:spacing w:val="-9"/>
          <w:sz w:val="20"/>
        </w:rPr>
        <w:t> </w:t>
      </w:r>
      <w:r>
        <w:rPr>
          <w:sz w:val="20"/>
        </w:rPr>
        <w:t>the</w:t>
      </w:r>
      <w:r>
        <w:rPr>
          <w:spacing w:val="-8"/>
          <w:sz w:val="20"/>
        </w:rPr>
        <w:t> </w:t>
      </w:r>
      <w:r>
        <w:rPr>
          <w:sz w:val="20"/>
        </w:rPr>
        <w:t>position</w:t>
      </w:r>
      <w:r>
        <w:rPr>
          <w:spacing w:val="-10"/>
          <w:sz w:val="20"/>
        </w:rPr>
        <w:t> </w:t>
      </w:r>
      <w:r>
        <w:rPr>
          <w:sz w:val="20"/>
        </w:rPr>
        <w:t>of</w:t>
      </w:r>
      <w:r>
        <w:rPr>
          <w:spacing w:val="-9"/>
          <w:sz w:val="20"/>
        </w:rPr>
        <w:t> </w:t>
      </w:r>
      <w:r>
        <w:rPr>
          <w:sz w:val="20"/>
        </w:rPr>
        <w:t>the</w:t>
      </w:r>
      <w:r>
        <w:rPr>
          <w:spacing w:val="-9"/>
          <w:sz w:val="20"/>
        </w:rPr>
        <w:t> </w:t>
      </w:r>
      <w:r>
        <w:rPr>
          <w:sz w:val="20"/>
        </w:rPr>
        <w:t>UN</w:t>
      </w:r>
      <w:r>
        <w:rPr>
          <w:spacing w:val="-10"/>
          <w:sz w:val="20"/>
        </w:rPr>
        <w:t> </w:t>
      </w:r>
      <w:r>
        <w:rPr>
          <w:sz w:val="20"/>
        </w:rPr>
        <w:t>Treaty</w:t>
      </w:r>
      <w:r>
        <w:rPr>
          <w:spacing w:val="-9"/>
          <w:sz w:val="20"/>
        </w:rPr>
        <w:t> </w:t>
      </w:r>
      <w:r>
        <w:rPr>
          <w:sz w:val="20"/>
        </w:rPr>
        <w:t>Bodies</w:t>
      </w:r>
      <w:r>
        <w:rPr>
          <w:spacing w:val="-9"/>
          <w:sz w:val="20"/>
        </w:rPr>
        <w:t> </w:t>
      </w:r>
      <w:r>
        <w:rPr>
          <w:sz w:val="20"/>
        </w:rPr>
        <w:t>and</w:t>
      </w:r>
      <w:r>
        <w:rPr>
          <w:spacing w:val="-9"/>
          <w:sz w:val="20"/>
        </w:rPr>
        <w:t> </w:t>
      </w:r>
      <w:r>
        <w:rPr>
          <w:sz w:val="20"/>
        </w:rPr>
        <w:t>Special</w:t>
      </w:r>
      <w:r>
        <w:rPr>
          <w:spacing w:val="-10"/>
          <w:sz w:val="20"/>
        </w:rPr>
        <w:t> </w:t>
      </w:r>
      <w:r>
        <w:rPr>
          <w:sz w:val="20"/>
        </w:rPr>
        <w:t>Procedures</w:t>
      </w:r>
      <w:r>
        <w:rPr>
          <w:spacing w:val="-9"/>
          <w:sz w:val="20"/>
        </w:rPr>
        <w:t> </w:t>
      </w:r>
      <w:r>
        <w:rPr>
          <w:sz w:val="20"/>
        </w:rPr>
        <w:t>on</w:t>
      </w:r>
      <w:r>
        <w:rPr>
          <w:spacing w:val="-9"/>
          <w:sz w:val="20"/>
        </w:rPr>
        <w:t> </w:t>
      </w:r>
      <w:r>
        <w:rPr>
          <w:sz w:val="20"/>
        </w:rPr>
        <w:t>the</w:t>
      </w:r>
      <w:r>
        <w:rPr>
          <w:spacing w:val="-8"/>
          <w:sz w:val="20"/>
        </w:rPr>
        <w:t> </w:t>
      </w:r>
      <w:r>
        <w:rPr>
          <w:sz w:val="20"/>
        </w:rPr>
        <w:t>deprivation</w:t>
      </w:r>
      <w:r>
        <w:rPr>
          <w:spacing w:val="-9"/>
          <w:sz w:val="20"/>
        </w:rPr>
        <w:t> </w:t>
      </w:r>
      <w:r>
        <w:rPr>
          <w:sz w:val="20"/>
        </w:rPr>
        <w:t>of</w:t>
      </w:r>
      <w:r>
        <w:rPr>
          <w:spacing w:val="-9"/>
          <w:sz w:val="20"/>
        </w:rPr>
        <w:t> </w:t>
      </w:r>
      <w:r>
        <w:rPr>
          <w:sz w:val="20"/>
        </w:rPr>
        <w:t>liberty of</w:t>
      </w:r>
      <w:r>
        <w:rPr>
          <w:spacing w:val="-10"/>
          <w:sz w:val="20"/>
        </w:rPr>
        <w:t> </w:t>
      </w:r>
      <w:r>
        <w:rPr>
          <w:sz w:val="20"/>
        </w:rPr>
        <w:t>persons</w:t>
      </w:r>
      <w:r>
        <w:rPr>
          <w:spacing w:val="-9"/>
          <w:sz w:val="20"/>
        </w:rPr>
        <w:t> </w:t>
      </w:r>
      <w:r>
        <w:rPr>
          <w:sz w:val="20"/>
        </w:rPr>
        <w:t>with</w:t>
      </w:r>
      <w:r>
        <w:rPr>
          <w:spacing w:val="-10"/>
          <w:sz w:val="20"/>
        </w:rPr>
        <w:t> </w:t>
      </w:r>
      <w:r>
        <w:rPr>
          <w:sz w:val="20"/>
        </w:rPr>
        <w:t>disabilities,</w:t>
      </w:r>
      <w:r>
        <w:rPr>
          <w:spacing w:val="-11"/>
          <w:sz w:val="20"/>
        </w:rPr>
        <w:t> </w:t>
      </w:r>
      <w:r>
        <w:rPr>
          <w:sz w:val="20"/>
        </w:rPr>
        <w:t>see</w:t>
      </w:r>
      <w:r>
        <w:rPr>
          <w:spacing w:val="-10"/>
          <w:sz w:val="20"/>
        </w:rPr>
        <w:t> </w:t>
      </w:r>
      <w:r>
        <w:rPr>
          <w:sz w:val="20"/>
        </w:rPr>
        <w:t>––</w:t>
      </w:r>
      <w:r>
        <w:rPr>
          <w:spacing w:val="-10"/>
          <w:sz w:val="20"/>
        </w:rPr>
        <w:t> </w:t>
      </w:r>
      <w:r>
        <w:rPr>
          <w:sz w:val="20"/>
        </w:rPr>
        <w:t>the</w:t>
      </w:r>
      <w:r>
        <w:rPr>
          <w:spacing w:val="-10"/>
          <w:sz w:val="20"/>
        </w:rPr>
        <w:t> </w:t>
      </w:r>
      <w:r>
        <w:rPr>
          <w:i/>
          <w:sz w:val="21"/>
        </w:rPr>
        <w:t>Background</w:t>
      </w:r>
      <w:r>
        <w:rPr>
          <w:i/>
          <w:spacing w:val="-14"/>
          <w:sz w:val="21"/>
        </w:rPr>
        <w:t> </w:t>
      </w:r>
      <w:r>
        <w:rPr>
          <w:i/>
          <w:sz w:val="21"/>
        </w:rPr>
        <w:t>Note,</w:t>
      </w:r>
      <w:r>
        <w:rPr>
          <w:i/>
          <w:spacing w:val="-13"/>
          <w:sz w:val="21"/>
        </w:rPr>
        <w:t> </w:t>
      </w:r>
      <w:r>
        <w:rPr>
          <w:sz w:val="20"/>
        </w:rPr>
        <w:t>paras</w:t>
      </w:r>
      <w:r>
        <w:rPr>
          <w:spacing w:val="-9"/>
          <w:sz w:val="20"/>
        </w:rPr>
        <w:t> </w:t>
      </w:r>
      <w:r>
        <w:rPr>
          <w:sz w:val="20"/>
        </w:rPr>
        <w:t>(24-33);</w:t>
      </w:r>
      <w:r>
        <w:rPr>
          <w:spacing w:val="-10"/>
          <w:sz w:val="20"/>
        </w:rPr>
        <w:t> </w:t>
      </w:r>
      <w:r>
        <w:rPr>
          <w:sz w:val="20"/>
        </w:rPr>
        <w:t>elaborated</w:t>
      </w:r>
      <w:r>
        <w:rPr>
          <w:spacing w:val="-10"/>
          <w:sz w:val="20"/>
        </w:rPr>
        <w:t> </w:t>
      </w:r>
      <w:r>
        <w:rPr>
          <w:sz w:val="20"/>
        </w:rPr>
        <w:t>by</w:t>
      </w:r>
      <w:r>
        <w:rPr>
          <w:spacing w:val="-10"/>
          <w:sz w:val="20"/>
        </w:rPr>
        <w:t> </w:t>
      </w:r>
      <w:r>
        <w:rPr>
          <w:sz w:val="20"/>
        </w:rPr>
        <w:t>the</w:t>
      </w:r>
      <w:r>
        <w:rPr>
          <w:spacing w:val="-10"/>
          <w:sz w:val="20"/>
        </w:rPr>
        <w:t> </w:t>
      </w:r>
      <w:r>
        <w:rPr>
          <w:sz w:val="20"/>
        </w:rPr>
        <w:t>Office</w:t>
      </w:r>
      <w:r>
        <w:rPr>
          <w:spacing w:val="-10"/>
          <w:sz w:val="20"/>
        </w:rPr>
        <w:t> </w:t>
      </w:r>
      <w:r>
        <w:rPr>
          <w:sz w:val="20"/>
        </w:rPr>
        <w:t>of</w:t>
      </w:r>
      <w:r>
        <w:rPr>
          <w:spacing w:val="-10"/>
          <w:sz w:val="20"/>
        </w:rPr>
        <w:t> </w:t>
      </w:r>
      <w:r>
        <w:rPr>
          <w:sz w:val="20"/>
        </w:rPr>
        <w:t>the High Commissioner for Human Rights during the expert meeting on “International standards on the right to liberty and security of persons with disabilities”, on 8-9 September 2015. Available at: </w:t>
      </w:r>
      <w:hyperlink r:id="rId8">
        <w:r>
          <w:rPr>
            <w:sz w:val="20"/>
            <w:u w:val="single"/>
          </w:rPr>
          <w:t>http://www.ohchr.org/Documents/Issues/Disability/DeprivationLiberty/BackgroundNote.doc</w:t>
        </w:r>
      </w:hyperlink>
    </w:p>
    <w:p>
      <w:pPr>
        <w:spacing w:after="0" w:line="237" w:lineRule="auto"/>
        <w:jc w:val="both"/>
        <w:rPr>
          <w:sz w:val="20"/>
        </w:rPr>
        <w:sectPr>
          <w:pgSz w:w="11910" w:h="16840"/>
          <w:pgMar w:header="0" w:footer="523" w:top="1320" w:bottom="720" w:left="940" w:right="1320"/>
        </w:sectPr>
      </w:pPr>
    </w:p>
    <w:p>
      <w:pPr>
        <w:pStyle w:val="BodyText"/>
        <w:spacing w:before="82"/>
        <w:ind w:left="397" w:right="106"/>
        <w:jc w:val="both"/>
      </w:pPr>
      <w:r>
        <w:rPr/>
        <w:t>On the one hand; the Human Rights Committee, the Committee against Torture and the current Special Rapporteur on Torture have not fully adopted (or even contradict) the</w:t>
      </w:r>
      <w:r>
        <w:rPr>
          <w:spacing w:val="-11"/>
        </w:rPr>
        <w:t> </w:t>
      </w:r>
      <w:r>
        <w:rPr/>
        <w:t>CRPD</w:t>
      </w:r>
      <w:r>
        <w:rPr>
          <w:spacing w:val="-11"/>
        </w:rPr>
        <w:t> </w:t>
      </w:r>
      <w:r>
        <w:rPr/>
        <w:t>standard</w:t>
      </w:r>
      <w:r>
        <w:rPr>
          <w:spacing w:val="-12"/>
        </w:rPr>
        <w:t> </w:t>
      </w:r>
      <w:r>
        <w:rPr/>
        <w:t>on</w:t>
      </w:r>
      <w:r>
        <w:rPr>
          <w:spacing w:val="-12"/>
        </w:rPr>
        <w:t> </w:t>
      </w:r>
      <w:r>
        <w:rPr/>
        <w:t>Art</w:t>
      </w:r>
      <w:r>
        <w:rPr>
          <w:spacing w:val="-11"/>
        </w:rPr>
        <w:t> </w:t>
      </w:r>
      <w:r>
        <w:rPr/>
        <w:t>14.1,</w:t>
      </w:r>
      <w:r>
        <w:rPr>
          <w:spacing w:val="-12"/>
        </w:rPr>
        <w:t> </w:t>
      </w:r>
      <w:r>
        <w:rPr/>
        <w:t>developed</w:t>
      </w:r>
      <w:r>
        <w:rPr>
          <w:spacing w:val="-12"/>
        </w:rPr>
        <w:t> </w:t>
      </w:r>
      <w:r>
        <w:rPr/>
        <w:t>by</w:t>
      </w:r>
      <w:r>
        <w:rPr>
          <w:spacing w:val="-11"/>
        </w:rPr>
        <w:t> </w:t>
      </w:r>
      <w:r>
        <w:rPr/>
        <w:t>the</w:t>
      </w:r>
      <w:r>
        <w:rPr>
          <w:spacing w:val="-12"/>
        </w:rPr>
        <w:t> </w:t>
      </w:r>
      <w:r>
        <w:rPr/>
        <w:t>CRPD</w:t>
      </w:r>
      <w:r>
        <w:rPr>
          <w:spacing w:val="-12"/>
        </w:rPr>
        <w:t> </w:t>
      </w:r>
      <w:r>
        <w:rPr/>
        <w:t>Committee.</w:t>
      </w:r>
      <w:r>
        <w:rPr>
          <w:spacing w:val="-11"/>
        </w:rPr>
        <w:t> </w:t>
      </w:r>
      <w:r>
        <w:rPr/>
        <w:t>These</w:t>
      </w:r>
      <w:r>
        <w:rPr>
          <w:spacing w:val="-12"/>
        </w:rPr>
        <w:t> </w:t>
      </w:r>
      <w:r>
        <w:rPr/>
        <w:t>bodies</w:t>
      </w:r>
      <w:r>
        <w:rPr>
          <w:spacing w:val="-11"/>
        </w:rPr>
        <w:t> </w:t>
      </w:r>
      <w:r>
        <w:rPr/>
        <w:t>have accepted</w:t>
      </w:r>
      <w:r>
        <w:rPr>
          <w:spacing w:val="-6"/>
        </w:rPr>
        <w:t> </w:t>
      </w:r>
      <w:r>
        <w:rPr/>
        <w:t>the</w:t>
      </w:r>
      <w:r>
        <w:rPr>
          <w:spacing w:val="-7"/>
        </w:rPr>
        <w:t> </w:t>
      </w:r>
      <w:r>
        <w:rPr/>
        <w:t>possibility</w:t>
      </w:r>
      <w:r>
        <w:rPr>
          <w:spacing w:val="-6"/>
        </w:rPr>
        <w:t> </w:t>
      </w:r>
      <w:r>
        <w:rPr/>
        <w:t>of</w:t>
      </w:r>
      <w:r>
        <w:rPr>
          <w:spacing w:val="-7"/>
        </w:rPr>
        <w:t> </w:t>
      </w:r>
      <w:r>
        <w:rPr/>
        <w:t>lawful</w:t>
      </w:r>
      <w:r>
        <w:rPr>
          <w:spacing w:val="-7"/>
        </w:rPr>
        <w:t> </w:t>
      </w:r>
      <w:r>
        <w:rPr/>
        <w:t>involuntary</w:t>
      </w:r>
      <w:r>
        <w:rPr>
          <w:spacing w:val="-6"/>
        </w:rPr>
        <w:t> </w:t>
      </w:r>
      <w:r>
        <w:rPr/>
        <w:t>committal</w:t>
      </w:r>
      <w:r>
        <w:rPr>
          <w:spacing w:val="-6"/>
        </w:rPr>
        <w:t> </w:t>
      </w:r>
      <w:r>
        <w:rPr/>
        <w:t>of</w:t>
      </w:r>
      <w:r>
        <w:rPr>
          <w:spacing w:val="-7"/>
        </w:rPr>
        <w:t> </w:t>
      </w:r>
      <w:r>
        <w:rPr/>
        <w:t>persons</w:t>
      </w:r>
      <w:r>
        <w:rPr>
          <w:spacing w:val="-8"/>
        </w:rPr>
        <w:t> </w:t>
      </w:r>
      <w:r>
        <w:rPr/>
        <w:t>with</w:t>
      </w:r>
      <w:r>
        <w:rPr>
          <w:spacing w:val="-7"/>
        </w:rPr>
        <w:t> </w:t>
      </w:r>
      <w:r>
        <w:rPr/>
        <w:t>disabilities</w:t>
      </w:r>
      <w:r>
        <w:rPr>
          <w:spacing w:val="-7"/>
        </w:rPr>
        <w:t> </w:t>
      </w:r>
      <w:r>
        <w:rPr/>
        <w:t>as</w:t>
      </w:r>
      <w:r>
        <w:rPr>
          <w:spacing w:val="-7"/>
        </w:rPr>
        <w:t> </w:t>
      </w:r>
      <w:r>
        <w:rPr/>
        <w:t>a measure of last resort in qualified situations – in general for the purpose of protecting the individual in question or third parties and with robust and appropriate legal safeguards.</w:t>
      </w:r>
      <w:hyperlink w:history="true" w:anchor="_bookmark26">
        <w:r>
          <w:rPr>
            <w:position w:val="8"/>
            <w:sz w:val="16"/>
          </w:rPr>
          <w:t>26</w:t>
        </w:r>
        <w:r>
          <w:rPr>
            <w:spacing w:val="-1"/>
            <w:position w:val="8"/>
            <w:sz w:val="16"/>
          </w:rPr>
          <w:t> </w:t>
        </w:r>
      </w:hyperlink>
      <w:r>
        <w:rPr/>
        <w:t>At</w:t>
      </w:r>
      <w:r>
        <w:rPr>
          <w:spacing w:val="-6"/>
        </w:rPr>
        <w:t> </w:t>
      </w:r>
      <w:r>
        <w:rPr/>
        <w:t>the</w:t>
      </w:r>
      <w:r>
        <w:rPr>
          <w:spacing w:val="-6"/>
        </w:rPr>
        <w:t> </w:t>
      </w:r>
      <w:r>
        <w:rPr/>
        <w:t>regional</w:t>
      </w:r>
      <w:r>
        <w:rPr>
          <w:spacing w:val="-6"/>
        </w:rPr>
        <w:t> </w:t>
      </w:r>
      <w:r>
        <w:rPr/>
        <w:t>level,</w:t>
      </w:r>
      <w:r>
        <w:rPr>
          <w:spacing w:val="-6"/>
        </w:rPr>
        <w:t> </w:t>
      </w:r>
      <w:r>
        <w:rPr/>
        <w:t>the</w:t>
      </w:r>
      <w:r>
        <w:rPr>
          <w:spacing w:val="-6"/>
        </w:rPr>
        <w:t> </w:t>
      </w:r>
      <w:r>
        <w:rPr/>
        <w:t>European</w:t>
      </w:r>
      <w:r>
        <w:rPr>
          <w:spacing w:val="-5"/>
        </w:rPr>
        <w:t> </w:t>
      </w:r>
      <w:r>
        <w:rPr/>
        <w:t>Court</w:t>
      </w:r>
      <w:r>
        <w:rPr>
          <w:spacing w:val="-8"/>
        </w:rPr>
        <w:t> </w:t>
      </w:r>
      <w:r>
        <w:rPr/>
        <w:t>of</w:t>
      </w:r>
      <w:r>
        <w:rPr>
          <w:spacing w:val="-7"/>
        </w:rPr>
        <w:t> </w:t>
      </w:r>
      <w:r>
        <w:rPr/>
        <w:t>Human</w:t>
      </w:r>
      <w:r>
        <w:rPr>
          <w:spacing w:val="-6"/>
        </w:rPr>
        <w:t> </w:t>
      </w:r>
      <w:r>
        <w:rPr/>
        <w:t>Rights</w:t>
      </w:r>
      <w:r>
        <w:rPr>
          <w:spacing w:val="-7"/>
        </w:rPr>
        <w:t> </w:t>
      </w:r>
      <w:r>
        <w:rPr/>
        <w:t>have</w:t>
      </w:r>
      <w:r>
        <w:rPr>
          <w:spacing w:val="-7"/>
        </w:rPr>
        <w:t> </w:t>
      </w:r>
      <w:r>
        <w:rPr/>
        <w:t>adopted a similar</w:t>
      </w:r>
      <w:r>
        <w:rPr>
          <w:spacing w:val="-1"/>
        </w:rPr>
        <w:t> </w:t>
      </w:r>
      <w:r>
        <w:rPr/>
        <w:t>position</w:t>
      </w:r>
      <w:hyperlink w:history="true" w:anchor="_bookmark27">
        <w:r>
          <w:rPr>
            <w:position w:val="8"/>
            <w:sz w:val="16"/>
          </w:rPr>
          <w:t>27</w:t>
        </w:r>
      </w:hyperlink>
      <w:r>
        <w:rPr/>
        <w:t>.</w:t>
      </w:r>
    </w:p>
    <w:p>
      <w:pPr>
        <w:pStyle w:val="BodyText"/>
        <w:spacing w:before="11"/>
        <w:rPr>
          <w:sz w:val="23"/>
        </w:rPr>
      </w:pPr>
    </w:p>
    <w:p>
      <w:pPr>
        <w:pStyle w:val="BodyText"/>
        <w:ind w:left="397" w:right="105"/>
        <w:jc w:val="both"/>
      </w:pPr>
      <w:r>
        <w:rPr/>
        <w:t>On the other hand; the Committee on the Elimination of Discrimination against Women</w:t>
      </w:r>
      <w:hyperlink w:history="true" w:anchor="_bookmark28">
        <w:r>
          <w:rPr>
            <w:position w:val="8"/>
            <w:sz w:val="16"/>
          </w:rPr>
          <w:t>28 </w:t>
        </w:r>
      </w:hyperlink>
      <w:r>
        <w:rPr/>
        <w:t>the Committee on Economic, Social and Cultural Rights</w:t>
      </w:r>
      <w:hyperlink w:history="true" w:anchor="_bookmark29">
        <w:r>
          <w:rPr>
            <w:position w:val="8"/>
            <w:sz w:val="16"/>
          </w:rPr>
          <w:t>29</w:t>
        </w:r>
      </w:hyperlink>
      <w:r>
        <w:rPr/>
        <w:t>, the UN Working Group on Arbitrary Detention</w:t>
      </w:r>
      <w:hyperlink w:history="true" w:anchor="_bookmark30">
        <w:r>
          <w:rPr>
            <w:position w:val="8"/>
            <w:sz w:val="16"/>
          </w:rPr>
          <w:t>30 </w:t>
        </w:r>
      </w:hyperlink>
      <w:r>
        <w:rPr/>
        <w:t>and the UN Special Rapporteur on Disability</w:t>
      </w:r>
      <w:hyperlink w:history="true" w:anchor="_bookmark31">
        <w:r>
          <w:rPr>
            <w:position w:val="8"/>
            <w:sz w:val="16"/>
          </w:rPr>
          <w:t>31 </w:t>
        </w:r>
      </w:hyperlink>
      <w:r>
        <w:rPr/>
        <w:t>have</w:t>
      </w:r>
    </w:p>
    <w:p>
      <w:pPr>
        <w:pStyle w:val="BodyText"/>
        <w:rPr>
          <w:sz w:val="28"/>
        </w:rPr>
      </w:pPr>
    </w:p>
    <w:p>
      <w:pPr>
        <w:pStyle w:val="BodyText"/>
        <w:spacing w:before="10"/>
        <w:rPr>
          <w:sz w:val="30"/>
        </w:rPr>
      </w:pPr>
    </w:p>
    <w:p>
      <w:pPr>
        <w:spacing w:line="237" w:lineRule="auto" w:before="0"/>
        <w:ind w:left="449" w:right="107" w:hanging="228"/>
        <w:jc w:val="both"/>
        <w:rPr>
          <w:sz w:val="20"/>
        </w:rPr>
      </w:pPr>
      <w:bookmarkStart w:name="_bookmark26" w:id="28"/>
      <w:bookmarkEnd w:id="28"/>
      <w:r>
        <w:rPr/>
      </w:r>
      <w:r>
        <w:rPr>
          <w:position w:val="7"/>
          <w:sz w:val="13"/>
        </w:rPr>
        <w:t>26</w:t>
      </w:r>
      <w:r>
        <w:rPr>
          <w:spacing w:val="-12"/>
          <w:position w:val="7"/>
          <w:sz w:val="13"/>
        </w:rPr>
        <w:t> </w:t>
      </w:r>
      <w:r>
        <w:rPr>
          <w:sz w:val="20"/>
        </w:rPr>
        <w:t>See</w:t>
      </w:r>
      <w:r>
        <w:rPr>
          <w:spacing w:val="-15"/>
          <w:sz w:val="20"/>
        </w:rPr>
        <w:t> </w:t>
      </w:r>
      <w:r>
        <w:rPr>
          <w:sz w:val="20"/>
        </w:rPr>
        <w:t>––</w:t>
      </w:r>
      <w:r>
        <w:rPr>
          <w:spacing w:val="-17"/>
          <w:sz w:val="20"/>
        </w:rPr>
        <w:t> </w:t>
      </w:r>
      <w:r>
        <w:rPr>
          <w:sz w:val="20"/>
        </w:rPr>
        <w:t>Human</w:t>
      </w:r>
      <w:r>
        <w:rPr>
          <w:spacing w:val="-17"/>
          <w:sz w:val="20"/>
        </w:rPr>
        <w:t> </w:t>
      </w:r>
      <w:r>
        <w:rPr>
          <w:sz w:val="20"/>
        </w:rPr>
        <w:t>Rights</w:t>
      </w:r>
      <w:r>
        <w:rPr>
          <w:spacing w:val="-16"/>
          <w:sz w:val="20"/>
        </w:rPr>
        <w:t> </w:t>
      </w:r>
      <w:r>
        <w:rPr>
          <w:sz w:val="20"/>
        </w:rPr>
        <w:t>Committee,</w:t>
      </w:r>
      <w:r>
        <w:rPr>
          <w:spacing w:val="-15"/>
          <w:sz w:val="20"/>
        </w:rPr>
        <w:t> </w:t>
      </w:r>
      <w:r>
        <w:rPr>
          <w:i/>
          <w:sz w:val="21"/>
        </w:rPr>
        <w:t>General</w:t>
      </w:r>
      <w:r>
        <w:rPr>
          <w:i/>
          <w:spacing w:val="-18"/>
          <w:sz w:val="21"/>
        </w:rPr>
        <w:t> </w:t>
      </w:r>
      <w:r>
        <w:rPr>
          <w:i/>
          <w:sz w:val="21"/>
        </w:rPr>
        <w:t>Comment</w:t>
      </w:r>
      <w:r>
        <w:rPr>
          <w:i/>
          <w:spacing w:val="-18"/>
          <w:sz w:val="21"/>
        </w:rPr>
        <w:t> </w:t>
      </w:r>
      <w:r>
        <w:rPr>
          <w:i/>
          <w:sz w:val="21"/>
        </w:rPr>
        <w:t>No.</w:t>
      </w:r>
      <w:r>
        <w:rPr>
          <w:i/>
          <w:spacing w:val="-19"/>
          <w:sz w:val="21"/>
        </w:rPr>
        <w:t> </w:t>
      </w:r>
      <w:r>
        <w:rPr>
          <w:i/>
          <w:sz w:val="21"/>
        </w:rPr>
        <w:t>35</w:t>
      </w:r>
      <w:r>
        <w:rPr>
          <w:i/>
          <w:spacing w:val="-18"/>
          <w:sz w:val="21"/>
        </w:rPr>
        <w:t> </w:t>
      </w:r>
      <w:r>
        <w:rPr>
          <w:i/>
          <w:sz w:val="21"/>
        </w:rPr>
        <w:t>–</w:t>
      </w:r>
      <w:r>
        <w:rPr>
          <w:i/>
          <w:spacing w:val="-20"/>
          <w:sz w:val="21"/>
        </w:rPr>
        <w:t> </w:t>
      </w:r>
      <w:r>
        <w:rPr>
          <w:i/>
          <w:sz w:val="21"/>
        </w:rPr>
        <w:t>Article</w:t>
      </w:r>
      <w:r>
        <w:rPr>
          <w:i/>
          <w:spacing w:val="-18"/>
          <w:sz w:val="21"/>
        </w:rPr>
        <w:t> </w:t>
      </w:r>
      <w:r>
        <w:rPr>
          <w:i/>
          <w:sz w:val="21"/>
        </w:rPr>
        <w:t>9:</w:t>
      </w:r>
      <w:r>
        <w:rPr>
          <w:i/>
          <w:spacing w:val="-19"/>
          <w:sz w:val="21"/>
        </w:rPr>
        <w:t> </w:t>
      </w:r>
      <w:r>
        <w:rPr>
          <w:i/>
          <w:sz w:val="21"/>
        </w:rPr>
        <w:t>Liberty</w:t>
      </w:r>
      <w:r>
        <w:rPr>
          <w:i/>
          <w:spacing w:val="-20"/>
          <w:sz w:val="21"/>
        </w:rPr>
        <w:t> </w:t>
      </w:r>
      <w:r>
        <w:rPr>
          <w:i/>
          <w:sz w:val="21"/>
        </w:rPr>
        <w:t>and</w:t>
      </w:r>
      <w:r>
        <w:rPr>
          <w:i/>
          <w:spacing w:val="-19"/>
          <w:sz w:val="21"/>
        </w:rPr>
        <w:t> </w:t>
      </w:r>
      <w:r>
        <w:rPr>
          <w:i/>
          <w:sz w:val="21"/>
        </w:rPr>
        <w:t>Security</w:t>
      </w:r>
      <w:r>
        <w:rPr>
          <w:i/>
          <w:spacing w:val="-20"/>
          <w:sz w:val="21"/>
        </w:rPr>
        <w:t> </w:t>
      </w:r>
      <w:r>
        <w:rPr>
          <w:i/>
          <w:sz w:val="21"/>
        </w:rPr>
        <w:t>of</w:t>
      </w:r>
      <w:r>
        <w:rPr>
          <w:i/>
          <w:spacing w:val="-19"/>
          <w:sz w:val="21"/>
        </w:rPr>
        <w:t> </w:t>
      </w:r>
      <w:r>
        <w:rPr>
          <w:i/>
          <w:sz w:val="21"/>
        </w:rPr>
        <w:t>Person</w:t>
      </w:r>
      <w:r>
        <w:rPr>
          <w:sz w:val="20"/>
        </w:rPr>
        <w:t>, CCPR/C/GC/35, December 16, 2014, para</w:t>
      </w:r>
      <w:r>
        <w:rPr>
          <w:spacing w:val="-3"/>
          <w:sz w:val="20"/>
        </w:rPr>
        <w:t> </w:t>
      </w:r>
      <w:r>
        <w:rPr>
          <w:sz w:val="20"/>
        </w:rPr>
        <w:t>(19).</w:t>
      </w:r>
    </w:p>
    <w:p>
      <w:pPr>
        <w:spacing w:line="237" w:lineRule="auto" w:before="4"/>
        <w:ind w:left="448" w:right="109" w:firstLine="22"/>
        <w:jc w:val="left"/>
        <w:rPr>
          <w:sz w:val="20"/>
        </w:rPr>
      </w:pPr>
      <w:r>
        <w:rPr>
          <w:sz w:val="20"/>
        </w:rPr>
        <w:t>UN</w:t>
      </w:r>
      <w:r>
        <w:rPr>
          <w:spacing w:val="-5"/>
          <w:sz w:val="20"/>
        </w:rPr>
        <w:t> </w:t>
      </w:r>
      <w:r>
        <w:rPr>
          <w:sz w:val="20"/>
        </w:rPr>
        <w:t>Committee</w:t>
      </w:r>
      <w:r>
        <w:rPr>
          <w:spacing w:val="-5"/>
          <w:sz w:val="20"/>
        </w:rPr>
        <w:t> </w:t>
      </w:r>
      <w:r>
        <w:rPr>
          <w:sz w:val="20"/>
        </w:rPr>
        <w:t>Against</w:t>
      </w:r>
      <w:r>
        <w:rPr>
          <w:spacing w:val="-6"/>
          <w:sz w:val="20"/>
        </w:rPr>
        <w:t> </w:t>
      </w:r>
      <w:r>
        <w:rPr>
          <w:sz w:val="20"/>
        </w:rPr>
        <w:t>Torture</w:t>
      </w:r>
      <w:r>
        <w:rPr>
          <w:spacing w:val="-5"/>
          <w:sz w:val="20"/>
        </w:rPr>
        <w:t> </w:t>
      </w:r>
      <w:r>
        <w:rPr>
          <w:sz w:val="20"/>
        </w:rPr>
        <w:t>has</w:t>
      </w:r>
      <w:r>
        <w:rPr>
          <w:spacing w:val="-4"/>
          <w:sz w:val="20"/>
        </w:rPr>
        <w:t> </w:t>
      </w:r>
      <w:r>
        <w:rPr>
          <w:sz w:val="20"/>
        </w:rPr>
        <w:t>already</w:t>
      </w:r>
      <w:r>
        <w:rPr>
          <w:spacing w:val="-5"/>
          <w:sz w:val="20"/>
        </w:rPr>
        <w:t> </w:t>
      </w:r>
      <w:r>
        <w:rPr>
          <w:sz w:val="20"/>
        </w:rPr>
        <w:t>accepted</w:t>
      </w:r>
      <w:r>
        <w:rPr>
          <w:spacing w:val="-5"/>
          <w:sz w:val="20"/>
        </w:rPr>
        <w:t> </w:t>
      </w:r>
      <w:r>
        <w:rPr>
          <w:sz w:val="20"/>
        </w:rPr>
        <w:t>the</w:t>
      </w:r>
      <w:r>
        <w:rPr>
          <w:spacing w:val="-5"/>
          <w:sz w:val="20"/>
        </w:rPr>
        <w:t> </w:t>
      </w:r>
      <w:r>
        <w:rPr>
          <w:sz w:val="20"/>
        </w:rPr>
        <w:t>possibility</w:t>
      </w:r>
      <w:r>
        <w:rPr>
          <w:spacing w:val="-5"/>
          <w:sz w:val="20"/>
        </w:rPr>
        <w:t> </w:t>
      </w:r>
      <w:r>
        <w:rPr>
          <w:sz w:val="20"/>
        </w:rPr>
        <w:t>of</w:t>
      </w:r>
      <w:r>
        <w:rPr>
          <w:spacing w:val="-5"/>
          <w:sz w:val="20"/>
        </w:rPr>
        <w:t> </w:t>
      </w:r>
      <w:r>
        <w:rPr>
          <w:sz w:val="20"/>
        </w:rPr>
        <w:t>lawful</w:t>
      </w:r>
      <w:r>
        <w:rPr>
          <w:spacing w:val="-5"/>
          <w:sz w:val="20"/>
        </w:rPr>
        <w:t> </w:t>
      </w:r>
      <w:r>
        <w:rPr>
          <w:sz w:val="20"/>
        </w:rPr>
        <w:t>involuntary</w:t>
      </w:r>
      <w:r>
        <w:rPr>
          <w:spacing w:val="-5"/>
          <w:sz w:val="20"/>
        </w:rPr>
        <w:t> </w:t>
      </w:r>
      <w:r>
        <w:rPr>
          <w:sz w:val="20"/>
        </w:rPr>
        <w:t>committal</w:t>
      </w:r>
      <w:r>
        <w:rPr>
          <w:spacing w:val="-5"/>
          <w:sz w:val="20"/>
        </w:rPr>
        <w:t> </w:t>
      </w:r>
      <w:r>
        <w:rPr>
          <w:sz w:val="20"/>
        </w:rPr>
        <w:t>and involuntary medical treatment and has recommended ensuring effective supervision and monitoring, appropriate legal safeguards, proper training for medical and non-medical staff, and the use of de- institutionalization</w:t>
      </w:r>
      <w:r>
        <w:rPr>
          <w:spacing w:val="-9"/>
          <w:sz w:val="20"/>
        </w:rPr>
        <w:t> </w:t>
      </w:r>
      <w:r>
        <w:rPr>
          <w:sz w:val="20"/>
        </w:rPr>
        <w:t>strategies</w:t>
      </w:r>
      <w:r>
        <w:rPr>
          <w:spacing w:val="-9"/>
          <w:sz w:val="20"/>
        </w:rPr>
        <w:t> </w:t>
      </w:r>
      <w:r>
        <w:rPr>
          <w:sz w:val="20"/>
        </w:rPr>
        <w:t>and</w:t>
      </w:r>
      <w:r>
        <w:rPr>
          <w:spacing w:val="-8"/>
          <w:sz w:val="20"/>
        </w:rPr>
        <w:t> </w:t>
      </w:r>
      <w:r>
        <w:rPr>
          <w:sz w:val="20"/>
        </w:rPr>
        <w:t>outpatient/community-based</w:t>
      </w:r>
      <w:r>
        <w:rPr>
          <w:spacing w:val="-10"/>
          <w:sz w:val="20"/>
        </w:rPr>
        <w:t> </w:t>
      </w:r>
      <w:r>
        <w:rPr>
          <w:sz w:val="20"/>
        </w:rPr>
        <w:t>services.</w:t>
      </w:r>
      <w:r>
        <w:rPr>
          <w:spacing w:val="-9"/>
          <w:sz w:val="20"/>
        </w:rPr>
        <w:t> </w:t>
      </w:r>
      <w:r>
        <w:rPr>
          <w:sz w:val="20"/>
        </w:rPr>
        <w:t>See</w:t>
      </w:r>
      <w:r>
        <w:rPr>
          <w:spacing w:val="-9"/>
          <w:sz w:val="20"/>
        </w:rPr>
        <w:t> </w:t>
      </w:r>
      <w:r>
        <w:rPr>
          <w:sz w:val="20"/>
        </w:rPr>
        <w:t>e.g.</w:t>
      </w:r>
      <w:r>
        <w:rPr>
          <w:spacing w:val="-9"/>
          <w:sz w:val="20"/>
        </w:rPr>
        <w:t> </w:t>
      </w:r>
      <w:r>
        <w:rPr>
          <w:sz w:val="20"/>
        </w:rPr>
        <w:t>–</w:t>
      </w:r>
      <w:r>
        <w:rPr>
          <w:spacing w:val="-8"/>
          <w:sz w:val="20"/>
        </w:rPr>
        <w:t> </w:t>
      </w:r>
      <w:r>
        <w:rPr>
          <w:sz w:val="20"/>
        </w:rPr>
        <w:t>CAT/C/NLD/CO/5-6, para,</w:t>
      </w:r>
      <w:r>
        <w:rPr>
          <w:spacing w:val="-13"/>
          <w:sz w:val="20"/>
        </w:rPr>
        <w:t> </w:t>
      </w:r>
      <w:r>
        <w:rPr>
          <w:sz w:val="20"/>
        </w:rPr>
        <w:t>(21);</w:t>
      </w:r>
      <w:r>
        <w:rPr>
          <w:spacing w:val="-13"/>
          <w:sz w:val="20"/>
        </w:rPr>
        <w:t> </w:t>
      </w:r>
      <w:r>
        <w:rPr>
          <w:sz w:val="20"/>
        </w:rPr>
        <w:t>CAT/C/LTU/CO/3,</w:t>
      </w:r>
      <w:r>
        <w:rPr>
          <w:spacing w:val="-13"/>
          <w:sz w:val="20"/>
        </w:rPr>
        <w:t> </w:t>
      </w:r>
      <w:r>
        <w:rPr>
          <w:sz w:val="20"/>
        </w:rPr>
        <w:t>para,</w:t>
      </w:r>
      <w:r>
        <w:rPr>
          <w:spacing w:val="-12"/>
          <w:sz w:val="20"/>
        </w:rPr>
        <w:t> </w:t>
      </w:r>
      <w:r>
        <w:rPr>
          <w:sz w:val="20"/>
        </w:rPr>
        <w:t>(23);</w:t>
      </w:r>
      <w:r>
        <w:rPr>
          <w:spacing w:val="-13"/>
          <w:sz w:val="20"/>
        </w:rPr>
        <w:t> </w:t>
      </w:r>
      <w:r>
        <w:rPr>
          <w:sz w:val="20"/>
        </w:rPr>
        <w:t>CAT/C/SWE/CO/6-7,</w:t>
      </w:r>
      <w:r>
        <w:rPr>
          <w:spacing w:val="-12"/>
          <w:sz w:val="20"/>
        </w:rPr>
        <w:t> </w:t>
      </w:r>
      <w:r>
        <w:rPr>
          <w:sz w:val="20"/>
        </w:rPr>
        <w:t>para,</w:t>
      </w:r>
      <w:r>
        <w:rPr>
          <w:spacing w:val="-13"/>
          <w:sz w:val="20"/>
        </w:rPr>
        <w:t> </w:t>
      </w:r>
      <w:r>
        <w:rPr>
          <w:sz w:val="20"/>
        </w:rPr>
        <w:t>(13);</w:t>
      </w:r>
      <w:r>
        <w:rPr>
          <w:spacing w:val="-13"/>
          <w:sz w:val="20"/>
        </w:rPr>
        <w:t> </w:t>
      </w:r>
      <w:r>
        <w:rPr>
          <w:sz w:val="20"/>
        </w:rPr>
        <w:t>and</w:t>
      </w:r>
      <w:r>
        <w:rPr>
          <w:spacing w:val="-13"/>
          <w:sz w:val="20"/>
        </w:rPr>
        <w:t> </w:t>
      </w:r>
      <w:r>
        <w:rPr>
          <w:sz w:val="20"/>
        </w:rPr>
        <w:t>CAT/C/HRV/CO/4-5,</w:t>
      </w:r>
      <w:r>
        <w:rPr>
          <w:spacing w:val="-12"/>
          <w:sz w:val="20"/>
        </w:rPr>
        <w:t> </w:t>
      </w:r>
      <w:r>
        <w:rPr>
          <w:sz w:val="20"/>
        </w:rPr>
        <w:t>para (17).</w:t>
      </w:r>
      <w:r>
        <w:rPr>
          <w:spacing w:val="-11"/>
          <w:sz w:val="20"/>
        </w:rPr>
        <w:t> </w:t>
      </w:r>
      <w:r>
        <w:rPr>
          <w:sz w:val="20"/>
        </w:rPr>
        <w:t>As</w:t>
      </w:r>
      <w:r>
        <w:rPr>
          <w:spacing w:val="-12"/>
          <w:sz w:val="20"/>
        </w:rPr>
        <w:t> </w:t>
      </w:r>
      <w:r>
        <w:rPr>
          <w:sz w:val="20"/>
        </w:rPr>
        <w:t>explained</w:t>
      </w:r>
      <w:r>
        <w:rPr>
          <w:spacing w:val="-12"/>
          <w:sz w:val="20"/>
        </w:rPr>
        <w:t> </w:t>
      </w:r>
      <w:r>
        <w:rPr>
          <w:sz w:val="20"/>
        </w:rPr>
        <w:t>the</w:t>
      </w:r>
      <w:r>
        <w:rPr>
          <w:spacing w:val="-10"/>
          <w:sz w:val="20"/>
        </w:rPr>
        <w:t> </w:t>
      </w:r>
      <w:r>
        <w:rPr>
          <w:i/>
          <w:sz w:val="21"/>
        </w:rPr>
        <w:t>Background</w:t>
      </w:r>
      <w:r>
        <w:rPr>
          <w:i/>
          <w:spacing w:val="-15"/>
          <w:sz w:val="21"/>
        </w:rPr>
        <w:t> </w:t>
      </w:r>
      <w:r>
        <w:rPr>
          <w:i/>
          <w:sz w:val="21"/>
        </w:rPr>
        <w:t>Note</w:t>
      </w:r>
      <w:r>
        <w:rPr>
          <w:i/>
          <w:spacing w:val="-16"/>
          <w:sz w:val="21"/>
        </w:rPr>
        <w:t> </w:t>
      </w:r>
      <w:r>
        <w:rPr>
          <w:sz w:val="20"/>
        </w:rPr>
        <w:t>of</w:t>
      </w:r>
      <w:r>
        <w:rPr>
          <w:spacing w:val="-11"/>
          <w:sz w:val="20"/>
        </w:rPr>
        <w:t> </w:t>
      </w:r>
      <w:r>
        <w:rPr>
          <w:sz w:val="20"/>
        </w:rPr>
        <w:t>the</w:t>
      </w:r>
      <w:r>
        <w:rPr>
          <w:spacing w:val="-12"/>
          <w:sz w:val="20"/>
        </w:rPr>
        <w:t> </w:t>
      </w:r>
      <w:r>
        <w:rPr>
          <w:sz w:val="20"/>
        </w:rPr>
        <w:t>Office</w:t>
      </w:r>
      <w:r>
        <w:rPr>
          <w:spacing w:val="-12"/>
          <w:sz w:val="20"/>
        </w:rPr>
        <w:t> </w:t>
      </w:r>
      <w:r>
        <w:rPr>
          <w:sz w:val="20"/>
        </w:rPr>
        <w:t>of</w:t>
      </w:r>
      <w:r>
        <w:rPr>
          <w:spacing w:val="-11"/>
          <w:sz w:val="20"/>
        </w:rPr>
        <w:t> </w:t>
      </w:r>
      <w:r>
        <w:rPr>
          <w:sz w:val="20"/>
        </w:rPr>
        <w:t>the</w:t>
      </w:r>
      <w:r>
        <w:rPr>
          <w:spacing w:val="-12"/>
          <w:sz w:val="20"/>
        </w:rPr>
        <w:t> </w:t>
      </w:r>
      <w:r>
        <w:rPr>
          <w:sz w:val="20"/>
        </w:rPr>
        <w:t>High</w:t>
      </w:r>
      <w:r>
        <w:rPr>
          <w:spacing w:val="-11"/>
          <w:sz w:val="20"/>
        </w:rPr>
        <w:t> </w:t>
      </w:r>
      <w:r>
        <w:rPr>
          <w:sz w:val="20"/>
        </w:rPr>
        <w:t>Commissioner</w:t>
      </w:r>
      <w:r>
        <w:rPr>
          <w:spacing w:val="-13"/>
          <w:sz w:val="20"/>
        </w:rPr>
        <w:t> </w:t>
      </w:r>
      <w:r>
        <w:rPr>
          <w:sz w:val="20"/>
        </w:rPr>
        <w:t>for</w:t>
      </w:r>
      <w:r>
        <w:rPr>
          <w:spacing w:val="-11"/>
          <w:sz w:val="20"/>
        </w:rPr>
        <w:t> </w:t>
      </w:r>
      <w:r>
        <w:rPr>
          <w:sz w:val="20"/>
        </w:rPr>
        <w:t>Human</w:t>
      </w:r>
      <w:r>
        <w:rPr>
          <w:spacing w:val="-13"/>
          <w:sz w:val="20"/>
        </w:rPr>
        <w:t> </w:t>
      </w:r>
      <w:r>
        <w:rPr>
          <w:sz w:val="20"/>
        </w:rPr>
        <w:t>Rights,</w:t>
      </w:r>
      <w:r>
        <w:rPr>
          <w:spacing w:val="-12"/>
          <w:sz w:val="20"/>
        </w:rPr>
        <w:t> </w:t>
      </w:r>
      <w:r>
        <w:rPr>
          <w:sz w:val="20"/>
        </w:rPr>
        <w:t>para (28),</w:t>
      </w:r>
      <w:r>
        <w:rPr>
          <w:spacing w:val="-5"/>
          <w:sz w:val="20"/>
        </w:rPr>
        <w:t> </w:t>
      </w:r>
      <w:r>
        <w:rPr>
          <w:sz w:val="20"/>
        </w:rPr>
        <w:t>the</w:t>
      </w:r>
      <w:r>
        <w:rPr>
          <w:spacing w:val="-6"/>
          <w:sz w:val="20"/>
        </w:rPr>
        <w:t> </w:t>
      </w:r>
      <w:r>
        <w:rPr>
          <w:sz w:val="20"/>
        </w:rPr>
        <w:t>Subcommittee</w:t>
      </w:r>
      <w:r>
        <w:rPr>
          <w:spacing w:val="-6"/>
          <w:sz w:val="20"/>
        </w:rPr>
        <w:t> </w:t>
      </w:r>
      <w:r>
        <w:rPr>
          <w:sz w:val="20"/>
        </w:rPr>
        <w:t>on</w:t>
      </w:r>
      <w:r>
        <w:rPr>
          <w:spacing w:val="-7"/>
          <w:sz w:val="20"/>
        </w:rPr>
        <w:t> </w:t>
      </w:r>
      <w:r>
        <w:rPr>
          <w:sz w:val="20"/>
        </w:rPr>
        <w:t>Prevention</w:t>
      </w:r>
      <w:r>
        <w:rPr>
          <w:spacing w:val="-7"/>
          <w:sz w:val="20"/>
        </w:rPr>
        <w:t> </w:t>
      </w:r>
      <w:r>
        <w:rPr>
          <w:sz w:val="20"/>
        </w:rPr>
        <w:t>of</w:t>
      </w:r>
      <w:r>
        <w:rPr>
          <w:spacing w:val="-6"/>
          <w:sz w:val="20"/>
        </w:rPr>
        <w:t> </w:t>
      </w:r>
      <w:r>
        <w:rPr>
          <w:sz w:val="20"/>
        </w:rPr>
        <w:t>Torture</w:t>
      </w:r>
      <w:r>
        <w:rPr>
          <w:spacing w:val="-7"/>
          <w:sz w:val="20"/>
        </w:rPr>
        <w:t> </w:t>
      </w:r>
      <w:r>
        <w:rPr>
          <w:sz w:val="20"/>
        </w:rPr>
        <w:t>and</w:t>
      </w:r>
      <w:r>
        <w:rPr>
          <w:spacing w:val="-6"/>
          <w:sz w:val="20"/>
        </w:rPr>
        <w:t> </w:t>
      </w:r>
      <w:r>
        <w:rPr>
          <w:sz w:val="20"/>
        </w:rPr>
        <w:t>other</w:t>
      </w:r>
      <w:r>
        <w:rPr>
          <w:spacing w:val="-6"/>
          <w:sz w:val="20"/>
        </w:rPr>
        <w:t> </w:t>
      </w:r>
      <w:r>
        <w:rPr>
          <w:sz w:val="20"/>
        </w:rPr>
        <w:t>Cruel,</w:t>
      </w:r>
      <w:r>
        <w:rPr>
          <w:spacing w:val="-5"/>
          <w:sz w:val="20"/>
        </w:rPr>
        <w:t> </w:t>
      </w:r>
      <w:r>
        <w:rPr>
          <w:sz w:val="20"/>
        </w:rPr>
        <w:t>Inhuman</w:t>
      </w:r>
      <w:r>
        <w:rPr>
          <w:spacing w:val="-6"/>
          <w:sz w:val="20"/>
        </w:rPr>
        <w:t> </w:t>
      </w:r>
      <w:r>
        <w:rPr>
          <w:sz w:val="20"/>
        </w:rPr>
        <w:t>or</w:t>
      </w:r>
      <w:r>
        <w:rPr>
          <w:spacing w:val="-6"/>
          <w:sz w:val="20"/>
        </w:rPr>
        <w:t> </w:t>
      </w:r>
      <w:r>
        <w:rPr>
          <w:sz w:val="20"/>
        </w:rPr>
        <w:t>Degrading</w:t>
      </w:r>
      <w:r>
        <w:rPr>
          <w:spacing w:val="-6"/>
          <w:sz w:val="20"/>
        </w:rPr>
        <w:t> </w:t>
      </w:r>
      <w:r>
        <w:rPr>
          <w:sz w:val="20"/>
        </w:rPr>
        <w:t>Treatment</w:t>
      </w:r>
      <w:r>
        <w:rPr>
          <w:spacing w:val="-7"/>
          <w:sz w:val="20"/>
        </w:rPr>
        <w:t> </w:t>
      </w:r>
      <w:r>
        <w:rPr>
          <w:sz w:val="20"/>
        </w:rPr>
        <w:t>or Punishment has questioned only forced hospitalization or solitary confinement when not based on medical grounds. See e.g. – CAT/OP/PRY/1, paras (219-224); CAT/OP/ARG/1, paras (94-102); CAT/OP/KGZ/1, paras (111-120); CAT/OP/MLI/1, paras (68-69). While the former Special Rapporteur on Torture, Manfred Novak, supported the absolute ban on deprivation of liberty on the basis of impairments, including in combination with other factors - </w:t>
      </w:r>
      <w:r>
        <w:rPr>
          <w:i/>
          <w:sz w:val="21"/>
        </w:rPr>
        <w:t>Interim Report </w:t>
      </w:r>
      <w:r>
        <w:rPr>
          <w:sz w:val="20"/>
        </w:rPr>
        <w:t>of July 28, 2008, A/63/175, para (64) (available at </w:t>
      </w:r>
      <w:hyperlink r:id="rId9">
        <w:r>
          <w:rPr>
            <w:sz w:val="20"/>
            <w:u w:val="single"/>
          </w:rPr>
          <w:t>http://www.un.org/disabilities/images/A.63.175.doc</w:t>
        </w:r>
      </w:hyperlink>
      <w:r>
        <w:rPr>
          <w:sz w:val="20"/>
        </w:rPr>
        <w:t> (last consulted June 3, 2017), - the current Special Rapporteur, Juan Méndez, has accepted involuntary commitment as an exceptional</w:t>
      </w:r>
      <w:r>
        <w:rPr>
          <w:spacing w:val="-8"/>
          <w:sz w:val="20"/>
        </w:rPr>
        <w:t> </w:t>
      </w:r>
      <w:r>
        <w:rPr>
          <w:sz w:val="20"/>
        </w:rPr>
        <w:t>measure</w:t>
      </w:r>
      <w:r>
        <w:rPr>
          <w:spacing w:val="-8"/>
          <w:sz w:val="20"/>
        </w:rPr>
        <w:t> </w:t>
      </w:r>
      <w:r>
        <w:rPr>
          <w:sz w:val="20"/>
        </w:rPr>
        <w:t>in</w:t>
      </w:r>
      <w:r>
        <w:rPr>
          <w:spacing w:val="-8"/>
          <w:sz w:val="20"/>
        </w:rPr>
        <w:t> </w:t>
      </w:r>
      <w:r>
        <w:rPr>
          <w:sz w:val="20"/>
        </w:rPr>
        <w:t>“emergency</w:t>
      </w:r>
      <w:r>
        <w:rPr>
          <w:spacing w:val="-8"/>
          <w:sz w:val="20"/>
        </w:rPr>
        <w:t> </w:t>
      </w:r>
      <w:r>
        <w:rPr>
          <w:sz w:val="20"/>
        </w:rPr>
        <w:t>cases”</w:t>
      </w:r>
      <w:r>
        <w:rPr>
          <w:spacing w:val="-8"/>
          <w:sz w:val="20"/>
        </w:rPr>
        <w:t> </w:t>
      </w:r>
      <w:r>
        <w:rPr>
          <w:sz w:val="20"/>
        </w:rPr>
        <w:t>or</w:t>
      </w:r>
      <w:r>
        <w:rPr>
          <w:spacing w:val="-10"/>
          <w:sz w:val="20"/>
        </w:rPr>
        <w:t> </w:t>
      </w:r>
      <w:r>
        <w:rPr>
          <w:sz w:val="20"/>
        </w:rPr>
        <w:t>“to</w:t>
      </w:r>
      <w:r>
        <w:rPr>
          <w:spacing w:val="-8"/>
          <w:sz w:val="20"/>
        </w:rPr>
        <w:t> </w:t>
      </w:r>
      <w:r>
        <w:rPr>
          <w:sz w:val="20"/>
        </w:rPr>
        <w:t>protect</w:t>
      </w:r>
      <w:r>
        <w:rPr>
          <w:spacing w:val="-8"/>
          <w:sz w:val="20"/>
        </w:rPr>
        <w:t> </w:t>
      </w:r>
      <w:r>
        <w:rPr>
          <w:sz w:val="20"/>
        </w:rPr>
        <w:t>the</w:t>
      </w:r>
      <w:r>
        <w:rPr>
          <w:spacing w:val="-9"/>
          <w:sz w:val="20"/>
        </w:rPr>
        <w:t> </w:t>
      </w:r>
      <w:r>
        <w:rPr>
          <w:sz w:val="20"/>
        </w:rPr>
        <w:t>safety</w:t>
      </w:r>
      <w:r>
        <w:rPr>
          <w:spacing w:val="-10"/>
          <w:sz w:val="20"/>
        </w:rPr>
        <w:t> </w:t>
      </w:r>
      <w:r>
        <w:rPr>
          <w:sz w:val="20"/>
        </w:rPr>
        <w:t>of</w:t>
      </w:r>
      <w:r>
        <w:rPr>
          <w:spacing w:val="-8"/>
          <w:sz w:val="20"/>
        </w:rPr>
        <w:t> </w:t>
      </w:r>
      <w:r>
        <w:rPr>
          <w:sz w:val="20"/>
        </w:rPr>
        <w:t>the</w:t>
      </w:r>
      <w:r>
        <w:rPr>
          <w:spacing w:val="-8"/>
          <w:sz w:val="20"/>
        </w:rPr>
        <w:t> </w:t>
      </w:r>
      <w:r>
        <w:rPr>
          <w:sz w:val="20"/>
        </w:rPr>
        <w:t>person</w:t>
      </w:r>
      <w:r>
        <w:rPr>
          <w:spacing w:val="-8"/>
          <w:sz w:val="20"/>
        </w:rPr>
        <w:t> </w:t>
      </w:r>
      <w:r>
        <w:rPr>
          <w:sz w:val="20"/>
        </w:rPr>
        <w:t>or</w:t>
      </w:r>
      <w:r>
        <w:rPr>
          <w:spacing w:val="-10"/>
          <w:sz w:val="20"/>
        </w:rPr>
        <w:t> </w:t>
      </w:r>
      <w:r>
        <w:rPr>
          <w:sz w:val="20"/>
        </w:rPr>
        <w:t>of</w:t>
      </w:r>
      <w:r>
        <w:rPr>
          <w:spacing w:val="-8"/>
          <w:sz w:val="20"/>
        </w:rPr>
        <w:t> </w:t>
      </w:r>
      <w:r>
        <w:rPr>
          <w:sz w:val="20"/>
        </w:rPr>
        <w:t>others”</w:t>
      </w:r>
      <w:r>
        <w:rPr>
          <w:spacing w:val="-8"/>
          <w:sz w:val="20"/>
        </w:rPr>
        <w:t> </w:t>
      </w:r>
      <w:r>
        <w:rPr>
          <w:sz w:val="20"/>
        </w:rPr>
        <w:t>-</w:t>
      </w:r>
      <w:r>
        <w:rPr>
          <w:spacing w:val="-8"/>
          <w:sz w:val="20"/>
        </w:rPr>
        <w:t> </w:t>
      </w:r>
      <w:r>
        <w:rPr>
          <w:i/>
          <w:sz w:val="21"/>
        </w:rPr>
        <w:t>Report </w:t>
      </w:r>
      <w:r>
        <w:rPr>
          <w:sz w:val="20"/>
        </w:rPr>
        <w:t>of February 1, 2013, A/HRC/22/53, paras (67–70). Available at: </w:t>
      </w:r>
      <w:hyperlink r:id="rId10">
        <w:r>
          <w:rPr>
            <w:spacing w:val="-1"/>
            <w:sz w:val="20"/>
            <w:u w:val="single"/>
          </w:rPr>
          <w:t>http://www.ohchr.org/Documents/HRBodies/HRCouncil/RegularSession/Session22/A.HRC.22.53_Englis</w:t>
        </w:r>
      </w:hyperlink>
    </w:p>
    <w:p>
      <w:pPr>
        <w:spacing w:before="2"/>
        <w:ind w:left="618" w:right="0" w:firstLine="0"/>
        <w:jc w:val="left"/>
        <w:rPr>
          <w:sz w:val="20"/>
        </w:rPr>
      </w:pPr>
      <w:r>
        <w:rPr>
          <w:sz w:val="20"/>
          <w:u w:val="single"/>
        </w:rPr>
        <w:t>h.pdf</w:t>
      </w:r>
      <w:r>
        <w:rPr>
          <w:sz w:val="20"/>
        </w:rPr>
        <w:t> (last accessed August 23, 2017).</w:t>
      </w:r>
    </w:p>
    <w:p>
      <w:pPr>
        <w:spacing w:line="232" w:lineRule="auto" w:before="7"/>
        <w:ind w:left="449" w:right="106" w:hanging="228"/>
        <w:jc w:val="both"/>
        <w:rPr>
          <w:sz w:val="20"/>
        </w:rPr>
      </w:pPr>
      <w:bookmarkStart w:name="_bookmark27" w:id="29"/>
      <w:bookmarkEnd w:id="29"/>
      <w:r>
        <w:rPr/>
      </w:r>
      <w:r>
        <w:rPr>
          <w:position w:val="7"/>
          <w:sz w:val="13"/>
        </w:rPr>
        <w:t>27 </w:t>
      </w:r>
      <w:r>
        <w:rPr>
          <w:sz w:val="20"/>
        </w:rPr>
        <w:t>See –– Cuenca Gómez, P. “Revisando el tratamiento de la capacidad jurídica de las personas con discapacidad</w:t>
      </w:r>
      <w:r>
        <w:rPr>
          <w:spacing w:val="-5"/>
          <w:sz w:val="20"/>
        </w:rPr>
        <w:t> </w:t>
      </w:r>
      <w:r>
        <w:rPr>
          <w:sz w:val="20"/>
        </w:rPr>
        <w:t>a</w:t>
      </w:r>
      <w:r>
        <w:rPr>
          <w:spacing w:val="-4"/>
          <w:sz w:val="20"/>
        </w:rPr>
        <w:t> </w:t>
      </w:r>
      <w:r>
        <w:rPr>
          <w:sz w:val="20"/>
        </w:rPr>
        <w:t>la</w:t>
      </w:r>
      <w:r>
        <w:rPr>
          <w:spacing w:val="-4"/>
          <w:sz w:val="20"/>
        </w:rPr>
        <w:t> </w:t>
      </w:r>
      <w:r>
        <w:rPr>
          <w:sz w:val="20"/>
        </w:rPr>
        <w:t>luz</w:t>
      </w:r>
      <w:r>
        <w:rPr>
          <w:spacing w:val="-5"/>
          <w:sz w:val="20"/>
        </w:rPr>
        <w:t> </w:t>
      </w:r>
      <w:r>
        <w:rPr>
          <w:sz w:val="20"/>
        </w:rPr>
        <w:t>de</w:t>
      </w:r>
      <w:r>
        <w:rPr>
          <w:spacing w:val="-4"/>
          <w:sz w:val="20"/>
        </w:rPr>
        <w:t> </w:t>
      </w:r>
      <w:r>
        <w:rPr>
          <w:sz w:val="20"/>
        </w:rPr>
        <w:t>la</w:t>
      </w:r>
      <w:r>
        <w:rPr>
          <w:spacing w:val="-5"/>
          <w:sz w:val="20"/>
        </w:rPr>
        <w:t> </w:t>
      </w:r>
      <w:r>
        <w:rPr>
          <w:sz w:val="20"/>
        </w:rPr>
        <w:t>Convención</w:t>
      </w:r>
      <w:r>
        <w:rPr>
          <w:spacing w:val="-5"/>
          <w:sz w:val="20"/>
        </w:rPr>
        <w:t> </w:t>
      </w:r>
      <w:r>
        <w:rPr>
          <w:sz w:val="20"/>
        </w:rPr>
        <w:t>de</w:t>
      </w:r>
      <w:r>
        <w:rPr>
          <w:spacing w:val="-4"/>
          <w:sz w:val="20"/>
        </w:rPr>
        <w:t> </w:t>
      </w:r>
      <w:r>
        <w:rPr>
          <w:sz w:val="20"/>
        </w:rPr>
        <w:t>la</w:t>
      </w:r>
      <w:r>
        <w:rPr>
          <w:spacing w:val="-4"/>
          <w:sz w:val="20"/>
        </w:rPr>
        <w:t> </w:t>
      </w:r>
      <w:r>
        <w:rPr>
          <w:sz w:val="20"/>
        </w:rPr>
        <w:t>ONU”,</w:t>
      </w:r>
      <w:r>
        <w:rPr>
          <w:spacing w:val="-5"/>
          <w:sz w:val="20"/>
        </w:rPr>
        <w:t> </w:t>
      </w:r>
      <w:r>
        <w:rPr>
          <w:i/>
          <w:sz w:val="21"/>
        </w:rPr>
        <w:t>Revista</w:t>
      </w:r>
      <w:r>
        <w:rPr>
          <w:i/>
          <w:spacing w:val="-8"/>
          <w:sz w:val="21"/>
        </w:rPr>
        <w:t> </w:t>
      </w:r>
      <w:r>
        <w:rPr>
          <w:i/>
          <w:sz w:val="21"/>
        </w:rPr>
        <w:t>Europea</w:t>
      </w:r>
      <w:r>
        <w:rPr>
          <w:i/>
          <w:spacing w:val="-7"/>
          <w:sz w:val="21"/>
        </w:rPr>
        <w:t> </w:t>
      </w:r>
      <w:r>
        <w:rPr>
          <w:i/>
          <w:sz w:val="21"/>
        </w:rPr>
        <w:t>de</w:t>
      </w:r>
      <w:r>
        <w:rPr>
          <w:i/>
          <w:spacing w:val="-7"/>
          <w:sz w:val="21"/>
        </w:rPr>
        <w:t> </w:t>
      </w:r>
      <w:r>
        <w:rPr>
          <w:i/>
          <w:sz w:val="21"/>
        </w:rPr>
        <w:t>Derechos</w:t>
      </w:r>
      <w:r>
        <w:rPr>
          <w:i/>
          <w:spacing w:val="-7"/>
          <w:sz w:val="21"/>
        </w:rPr>
        <w:t> </w:t>
      </w:r>
      <w:r>
        <w:rPr>
          <w:i/>
          <w:sz w:val="21"/>
        </w:rPr>
        <w:t>Fundamenatle</w:t>
      </w:r>
      <w:r>
        <w:rPr>
          <w:sz w:val="20"/>
        </w:rPr>
        <w:t>s,</w:t>
      </w:r>
      <w:r>
        <w:rPr>
          <w:spacing w:val="-4"/>
          <w:sz w:val="20"/>
        </w:rPr>
        <w:t> </w:t>
      </w:r>
      <w:r>
        <w:rPr>
          <w:sz w:val="20"/>
        </w:rPr>
        <w:t>20, 2012, 213–246 and Flynn, E., “Disability, Deprivation of Liberty and Human Rights Norms”,</w:t>
      </w:r>
      <w:r>
        <w:rPr>
          <w:spacing w:val="20"/>
          <w:sz w:val="20"/>
        </w:rPr>
        <w:t> </w:t>
      </w:r>
      <w:r>
        <w:rPr>
          <w:sz w:val="20"/>
        </w:rPr>
        <w:t>[76–79].</w:t>
      </w:r>
    </w:p>
    <w:p>
      <w:pPr>
        <w:spacing w:line="241" w:lineRule="exact" w:before="3"/>
        <w:ind w:left="221" w:right="0" w:firstLine="0"/>
        <w:jc w:val="left"/>
        <w:rPr>
          <w:sz w:val="20"/>
        </w:rPr>
      </w:pPr>
      <w:bookmarkStart w:name="_bookmark28" w:id="30"/>
      <w:bookmarkEnd w:id="30"/>
      <w:r>
        <w:rPr/>
      </w:r>
      <w:r>
        <w:rPr>
          <w:position w:val="7"/>
          <w:sz w:val="13"/>
        </w:rPr>
        <w:t>28 </w:t>
      </w:r>
      <w:r>
        <w:rPr>
          <w:sz w:val="20"/>
        </w:rPr>
        <w:t>See –– CEDAW/C/IND/CO/4-5, para (37), and CEDAW/C/MDA/CO/4-5, para (38)(d)).</w:t>
      </w:r>
    </w:p>
    <w:p>
      <w:pPr>
        <w:spacing w:before="0"/>
        <w:ind w:left="449" w:right="106" w:hanging="228"/>
        <w:jc w:val="both"/>
        <w:rPr>
          <w:sz w:val="20"/>
        </w:rPr>
      </w:pPr>
      <w:bookmarkStart w:name="_bookmark29" w:id="31"/>
      <w:bookmarkEnd w:id="31"/>
      <w:r>
        <w:rPr/>
      </w:r>
      <w:r>
        <w:rPr>
          <w:position w:val="7"/>
          <w:sz w:val="13"/>
        </w:rPr>
        <w:t>29 </w:t>
      </w:r>
      <w:r>
        <w:rPr>
          <w:sz w:val="20"/>
        </w:rPr>
        <w:t>The Committee on Economic, Social and Cultural Rights has recommended the incorporation into the law “the abolition of violent and discriminatory practices against children and adults with disabilities in the</w:t>
      </w:r>
      <w:r>
        <w:rPr>
          <w:spacing w:val="-8"/>
          <w:sz w:val="20"/>
        </w:rPr>
        <w:t> </w:t>
      </w:r>
      <w:r>
        <w:rPr>
          <w:sz w:val="20"/>
        </w:rPr>
        <w:t>medical</w:t>
      </w:r>
      <w:r>
        <w:rPr>
          <w:spacing w:val="-9"/>
          <w:sz w:val="20"/>
        </w:rPr>
        <w:t> </w:t>
      </w:r>
      <w:r>
        <w:rPr>
          <w:sz w:val="20"/>
        </w:rPr>
        <w:t>setting,</w:t>
      </w:r>
      <w:r>
        <w:rPr>
          <w:spacing w:val="-9"/>
          <w:sz w:val="20"/>
        </w:rPr>
        <w:t> </w:t>
      </w:r>
      <w:r>
        <w:rPr>
          <w:sz w:val="20"/>
        </w:rPr>
        <w:t>including</w:t>
      </w:r>
      <w:r>
        <w:rPr>
          <w:spacing w:val="-9"/>
          <w:sz w:val="20"/>
        </w:rPr>
        <w:t> </w:t>
      </w:r>
      <w:r>
        <w:rPr>
          <w:sz w:val="20"/>
        </w:rPr>
        <w:t>deprivation</w:t>
      </w:r>
      <w:r>
        <w:rPr>
          <w:spacing w:val="-9"/>
          <w:sz w:val="20"/>
        </w:rPr>
        <w:t> </w:t>
      </w:r>
      <w:r>
        <w:rPr>
          <w:sz w:val="20"/>
        </w:rPr>
        <w:t>of</w:t>
      </w:r>
      <w:r>
        <w:rPr>
          <w:spacing w:val="-9"/>
          <w:sz w:val="20"/>
        </w:rPr>
        <w:t> </w:t>
      </w:r>
      <w:r>
        <w:rPr>
          <w:sz w:val="20"/>
        </w:rPr>
        <w:t>liberty,</w:t>
      </w:r>
      <w:r>
        <w:rPr>
          <w:spacing w:val="-8"/>
          <w:sz w:val="20"/>
        </w:rPr>
        <w:t> </w:t>
      </w:r>
      <w:r>
        <w:rPr>
          <w:sz w:val="20"/>
        </w:rPr>
        <w:t>the</w:t>
      </w:r>
      <w:r>
        <w:rPr>
          <w:spacing w:val="-8"/>
          <w:sz w:val="20"/>
        </w:rPr>
        <w:t> </w:t>
      </w:r>
      <w:r>
        <w:rPr>
          <w:sz w:val="20"/>
        </w:rPr>
        <w:t>use</w:t>
      </w:r>
      <w:r>
        <w:rPr>
          <w:spacing w:val="-8"/>
          <w:sz w:val="20"/>
        </w:rPr>
        <w:t> </w:t>
      </w:r>
      <w:r>
        <w:rPr>
          <w:sz w:val="20"/>
        </w:rPr>
        <w:t>of</w:t>
      </w:r>
      <w:r>
        <w:rPr>
          <w:spacing w:val="-10"/>
          <w:sz w:val="20"/>
        </w:rPr>
        <w:t> </w:t>
      </w:r>
      <w:r>
        <w:rPr>
          <w:sz w:val="20"/>
        </w:rPr>
        <w:t>restraint</w:t>
      </w:r>
      <w:r>
        <w:rPr>
          <w:spacing w:val="-9"/>
          <w:sz w:val="20"/>
        </w:rPr>
        <w:t> </w:t>
      </w:r>
      <w:r>
        <w:rPr>
          <w:sz w:val="20"/>
        </w:rPr>
        <w:t>and</w:t>
      </w:r>
      <w:r>
        <w:rPr>
          <w:spacing w:val="-9"/>
          <w:sz w:val="20"/>
        </w:rPr>
        <w:t> </w:t>
      </w:r>
      <w:r>
        <w:rPr>
          <w:sz w:val="20"/>
        </w:rPr>
        <w:t>the</w:t>
      </w:r>
      <w:r>
        <w:rPr>
          <w:spacing w:val="-11"/>
          <w:sz w:val="20"/>
        </w:rPr>
        <w:t> </w:t>
      </w:r>
      <w:r>
        <w:rPr>
          <w:sz w:val="20"/>
        </w:rPr>
        <w:t>enforced</w:t>
      </w:r>
      <w:r>
        <w:rPr>
          <w:spacing w:val="-10"/>
          <w:sz w:val="20"/>
        </w:rPr>
        <w:t> </w:t>
      </w:r>
      <w:r>
        <w:rPr>
          <w:sz w:val="20"/>
        </w:rPr>
        <w:t>administration of intrusive and irreversible treatments such as neuroleptic drugs and electroconvulsive therapy”.</w:t>
      </w:r>
      <w:r>
        <w:rPr>
          <w:spacing w:val="-41"/>
          <w:sz w:val="20"/>
        </w:rPr>
        <w:t> </w:t>
      </w:r>
      <w:r>
        <w:rPr>
          <w:sz w:val="20"/>
        </w:rPr>
        <w:t>See</w:t>
      </w:r>
    </w:p>
    <w:p>
      <w:pPr>
        <w:spacing w:line="241" w:lineRule="exact" w:before="1"/>
        <w:ind w:left="471" w:right="0" w:firstLine="0"/>
        <w:jc w:val="left"/>
        <w:rPr>
          <w:sz w:val="20"/>
        </w:rPr>
      </w:pPr>
      <w:r>
        <w:rPr>
          <w:sz w:val="20"/>
        </w:rPr>
        <w:t>–– E/C.12/MDA/CO/2, para (24).</w:t>
      </w:r>
    </w:p>
    <w:p>
      <w:pPr>
        <w:spacing w:before="0"/>
        <w:ind w:left="449" w:right="106" w:hanging="228"/>
        <w:jc w:val="both"/>
        <w:rPr>
          <w:sz w:val="20"/>
        </w:rPr>
      </w:pPr>
      <w:bookmarkStart w:name="_bookmark30" w:id="32"/>
      <w:bookmarkEnd w:id="32"/>
      <w:r>
        <w:rPr/>
      </w:r>
      <w:r>
        <w:rPr>
          <w:position w:val="7"/>
          <w:sz w:val="13"/>
        </w:rPr>
        <w:t>30 </w:t>
      </w:r>
      <w:r>
        <w:rPr>
          <w:sz w:val="20"/>
        </w:rPr>
        <w:t>UN Working Group on Arbitrary Detention, United Nations Basic Principles and Guidelines on the Right of Anyone Deprived of their Liberty to Bring Proceedings before a Court, May 4, 2015, WGAD/CRP.1/2015, para (56).</w:t>
      </w:r>
    </w:p>
    <w:p>
      <w:pPr>
        <w:spacing w:line="235" w:lineRule="auto" w:before="3"/>
        <w:ind w:left="449" w:right="0" w:hanging="228"/>
        <w:jc w:val="left"/>
        <w:rPr>
          <w:sz w:val="20"/>
        </w:rPr>
      </w:pPr>
      <w:bookmarkStart w:name="_bookmark31" w:id="33"/>
      <w:bookmarkEnd w:id="33"/>
      <w:r>
        <w:rPr/>
      </w:r>
      <w:r>
        <w:rPr>
          <w:position w:val="7"/>
          <w:sz w:val="13"/>
        </w:rPr>
        <w:t>31 </w:t>
      </w:r>
      <w:r>
        <w:rPr>
          <w:sz w:val="20"/>
        </w:rPr>
        <w:t>See </w:t>
      </w:r>
      <w:r>
        <w:rPr>
          <w:rFonts w:ascii="Calibri" w:hAnsi="Calibri"/>
          <w:sz w:val="22"/>
        </w:rPr>
        <w:t>–– </w:t>
      </w:r>
      <w:r>
        <w:rPr>
          <w:sz w:val="20"/>
        </w:rPr>
        <w:t>the opinion of the former UN Special Rapporteur on Disability, Shuaib Chalklen in the </w:t>
      </w:r>
      <w:r>
        <w:rPr>
          <w:i/>
          <w:sz w:val="21"/>
        </w:rPr>
        <w:t>Urgent Request to Amend the Human Rights Committee’s Draft Version of General Comment No. 35 (CCPR/C/107/R.3)</w:t>
      </w:r>
      <w:r>
        <w:rPr>
          <w:i/>
          <w:spacing w:val="-24"/>
          <w:sz w:val="21"/>
        </w:rPr>
        <w:t> </w:t>
      </w:r>
      <w:r>
        <w:rPr>
          <w:i/>
          <w:sz w:val="21"/>
        </w:rPr>
        <w:t>on</w:t>
      </w:r>
      <w:r>
        <w:rPr>
          <w:i/>
          <w:spacing w:val="-24"/>
          <w:sz w:val="21"/>
        </w:rPr>
        <w:t> </w:t>
      </w:r>
      <w:r>
        <w:rPr>
          <w:i/>
          <w:sz w:val="21"/>
        </w:rPr>
        <w:t>Article</w:t>
      </w:r>
      <w:r>
        <w:rPr>
          <w:i/>
          <w:spacing w:val="-24"/>
          <w:sz w:val="21"/>
        </w:rPr>
        <w:t> </w:t>
      </w:r>
      <w:r>
        <w:rPr>
          <w:i/>
          <w:sz w:val="21"/>
        </w:rPr>
        <w:t>9</w:t>
      </w:r>
      <w:r>
        <w:rPr>
          <w:i/>
          <w:spacing w:val="-24"/>
          <w:sz w:val="21"/>
        </w:rPr>
        <w:t> </w:t>
      </w:r>
      <w:r>
        <w:rPr>
          <w:i/>
          <w:sz w:val="21"/>
        </w:rPr>
        <w:t>(Right</w:t>
      </w:r>
      <w:r>
        <w:rPr>
          <w:i/>
          <w:spacing w:val="-24"/>
          <w:sz w:val="21"/>
        </w:rPr>
        <w:t> </w:t>
      </w:r>
      <w:r>
        <w:rPr>
          <w:i/>
          <w:sz w:val="21"/>
        </w:rPr>
        <w:t>to</w:t>
      </w:r>
      <w:r>
        <w:rPr>
          <w:i/>
          <w:spacing w:val="-24"/>
          <w:sz w:val="21"/>
        </w:rPr>
        <w:t> </w:t>
      </w:r>
      <w:r>
        <w:rPr>
          <w:i/>
          <w:sz w:val="21"/>
        </w:rPr>
        <w:t>Liberty</w:t>
      </w:r>
      <w:r>
        <w:rPr>
          <w:i/>
          <w:spacing w:val="-24"/>
          <w:sz w:val="21"/>
        </w:rPr>
        <w:t> </w:t>
      </w:r>
      <w:r>
        <w:rPr>
          <w:i/>
          <w:sz w:val="21"/>
        </w:rPr>
        <w:t>and</w:t>
      </w:r>
      <w:r>
        <w:rPr>
          <w:i/>
          <w:spacing w:val="-24"/>
          <w:sz w:val="21"/>
        </w:rPr>
        <w:t> </w:t>
      </w:r>
      <w:r>
        <w:rPr>
          <w:i/>
          <w:sz w:val="21"/>
        </w:rPr>
        <w:t>Security</w:t>
      </w:r>
      <w:r>
        <w:rPr>
          <w:i/>
          <w:spacing w:val="-24"/>
          <w:sz w:val="21"/>
        </w:rPr>
        <w:t> </w:t>
      </w:r>
      <w:r>
        <w:rPr>
          <w:i/>
          <w:sz w:val="21"/>
        </w:rPr>
        <w:t>of</w:t>
      </w:r>
      <w:r>
        <w:rPr>
          <w:i/>
          <w:spacing w:val="-24"/>
          <w:sz w:val="21"/>
        </w:rPr>
        <w:t> </w:t>
      </w:r>
      <w:r>
        <w:rPr>
          <w:i/>
          <w:sz w:val="21"/>
        </w:rPr>
        <w:t>Person)</w:t>
      </w:r>
      <w:r>
        <w:rPr>
          <w:i/>
          <w:spacing w:val="-24"/>
          <w:sz w:val="21"/>
        </w:rPr>
        <w:t> </w:t>
      </w:r>
      <w:r>
        <w:rPr>
          <w:i/>
          <w:sz w:val="21"/>
        </w:rPr>
        <w:t>Bringing</w:t>
      </w:r>
      <w:r>
        <w:rPr>
          <w:i/>
          <w:spacing w:val="-24"/>
          <w:sz w:val="21"/>
        </w:rPr>
        <w:t> </w:t>
      </w:r>
      <w:r>
        <w:rPr>
          <w:i/>
          <w:sz w:val="21"/>
        </w:rPr>
        <w:t>it</w:t>
      </w:r>
      <w:r>
        <w:rPr>
          <w:i/>
          <w:spacing w:val="-24"/>
          <w:sz w:val="21"/>
        </w:rPr>
        <w:t> </w:t>
      </w:r>
      <w:r>
        <w:rPr>
          <w:i/>
          <w:sz w:val="21"/>
        </w:rPr>
        <w:t>in</w:t>
      </w:r>
      <w:r>
        <w:rPr>
          <w:i/>
          <w:spacing w:val="-24"/>
          <w:sz w:val="21"/>
        </w:rPr>
        <w:t> </w:t>
      </w:r>
      <w:r>
        <w:rPr>
          <w:i/>
          <w:sz w:val="21"/>
        </w:rPr>
        <w:t>Line</w:t>
      </w:r>
      <w:r>
        <w:rPr>
          <w:i/>
          <w:spacing w:val="-24"/>
          <w:sz w:val="21"/>
        </w:rPr>
        <w:t> </w:t>
      </w:r>
      <w:r>
        <w:rPr>
          <w:i/>
          <w:sz w:val="21"/>
        </w:rPr>
        <w:t>with</w:t>
      </w:r>
      <w:r>
        <w:rPr>
          <w:i/>
          <w:spacing w:val="-24"/>
          <w:sz w:val="21"/>
        </w:rPr>
        <w:t> </w:t>
      </w:r>
      <w:r>
        <w:rPr>
          <w:i/>
          <w:sz w:val="21"/>
        </w:rPr>
        <w:t>the</w:t>
      </w:r>
      <w:r>
        <w:rPr>
          <w:i/>
          <w:spacing w:val="-24"/>
          <w:sz w:val="21"/>
        </w:rPr>
        <w:t> </w:t>
      </w:r>
      <w:r>
        <w:rPr>
          <w:i/>
          <w:sz w:val="21"/>
        </w:rPr>
        <w:t>UN Convention on the Rights of Persons with Disabilities</w:t>
      </w:r>
      <w:r>
        <w:rPr>
          <w:sz w:val="20"/>
        </w:rPr>
        <w:t>,” May 27, 2014. Available at: </w:t>
      </w:r>
      <w:hyperlink r:id="rId11">
        <w:r>
          <w:rPr>
            <w:sz w:val="20"/>
            <w:u w:val="single"/>
          </w:rPr>
          <w:t>http://www.ohchr.org/Documents/HRBodies/CCPR/GConArticle9/Submissions/SRDisability.doc</w:t>
        </w:r>
        <w:r>
          <w:rPr>
            <w:spacing w:val="-27"/>
            <w:sz w:val="20"/>
          </w:rPr>
          <w:t> </w:t>
        </w:r>
      </w:hyperlink>
      <w:r>
        <w:rPr>
          <w:sz w:val="20"/>
        </w:rPr>
        <w:t>-</w:t>
      </w:r>
      <w:r>
        <w:rPr>
          <w:spacing w:val="-27"/>
          <w:sz w:val="20"/>
        </w:rPr>
        <w:t> </w:t>
      </w:r>
      <w:r>
        <w:rPr>
          <w:sz w:val="20"/>
        </w:rPr>
        <w:t>For</w:t>
      </w:r>
      <w:r>
        <w:rPr>
          <w:spacing w:val="-27"/>
          <w:sz w:val="20"/>
        </w:rPr>
        <w:t> </w:t>
      </w:r>
      <w:r>
        <w:rPr>
          <w:sz w:val="20"/>
        </w:rPr>
        <w:t>her report to the Human Rights Council, 40</w:t>
      </w:r>
      <w:r>
        <w:rPr>
          <w:position w:val="7"/>
          <w:sz w:val="13"/>
        </w:rPr>
        <w:t>th </w:t>
      </w:r>
      <w:r>
        <w:rPr>
          <w:sz w:val="20"/>
        </w:rPr>
        <w:t>session, the current UN Special Rapporteur on Disability, Catalina Devandas, intends to focus on the right to liberty and security for persons with</w:t>
      </w:r>
      <w:r>
        <w:rPr>
          <w:spacing w:val="-35"/>
          <w:sz w:val="20"/>
        </w:rPr>
        <w:t> </w:t>
      </w:r>
      <w:r>
        <w:rPr>
          <w:sz w:val="20"/>
        </w:rPr>
        <w:t>disabilities</w:t>
      </w:r>
    </w:p>
    <w:p>
      <w:pPr>
        <w:spacing w:after="0" w:line="235" w:lineRule="auto"/>
        <w:jc w:val="left"/>
        <w:rPr>
          <w:sz w:val="20"/>
        </w:rPr>
        <w:sectPr>
          <w:pgSz w:w="11910" w:h="16840"/>
          <w:pgMar w:header="0" w:footer="523" w:top="1320" w:bottom="720" w:left="940" w:right="1320"/>
        </w:sectPr>
      </w:pPr>
    </w:p>
    <w:p>
      <w:pPr>
        <w:pStyle w:val="BodyText"/>
        <w:spacing w:before="82"/>
        <w:ind w:left="398" w:right="107"/>
        <w:jc w:val="both"/>
      </w:pPr>
      <w:r>
        <w:rPr/>
        <w:t>endorsed the absolute ban on the deprivation of liberty on the basis of disabilities in line with the interpretation of the CRPD Committee.</w:t>
      </w:r>
    </w:p>
    <w:p>
      <w:pPr>
        <w:pStyle w:val="BodyText"/>
      </w:pPr>
    </w:p>
    <w:p>
      <w:pPr>
        <w:pStyle w:val="BodyText"/>
        <w:ind w:left="397" w:right="104"/>
        <w:jc w:val="both"/>
      </w:pPr>
      <w:r>
        <w:rPr/>
        <w:t>Equally, scholars do not have a unified approach about the interpretation of the prohibition</w:t>
      </w:r>
      <w:r>
        <w:rPr>
          <w:spacing w:val="-9"/>
        </w:rPr>
        <w:t> </w:t>
      </w:r>
      <w:r>
        <w:rPr/>
        <w:t>on</w:t>
      </w:r>
      <w:r>
        <w:rPr>
          <w:spacing w:val="-7"/>
        </w:rPr>
        <w:t> </w:t>
      </w:r>
      <w:r>
        <w:rPr/>
        <w:t>detention</w:t>
      </w:r>
      <w:r>
        <w:rPr>
          <w:spacing w:val="-7"/>
        </w:rPr>
        <w:t> </w:t>
      </w:r>
      <w:r>
        <w:rPr/>
        <w:t>on</w:t>
      </w:r>
      <w:r>
        <w:rPr>
          <w:spacing w:val="-7"/>
        </w:rPr>
        <w:t> </w:t>
      </w:r>
      <w:r>
        <w:rPr/>
        <w:t>the</w:t>
      </w:r>
      <w:r>
        <w:rPr>
          <w:spacing w:val="-8"/>
        </w:rPr>
        <w:t> </w:t>
      </w:r>
      <w:r>
        <w:rPr/>
        <w:t>basis</w:t>
      </w:r>
      <w:r>
        <w:rPr>
          <w:spacing w:val="-8"/>
        </w:rPr>
        <w:t> </w:t>
      </w:r>
      <w:r>
        <w:rPr/>
        <w:t>of</w:t>
      </w:r>
      <w:r>
        <w:rPr>
          <w:spacing w:val="-7"/>
        </w:rPr>
        <w:t> </w:t>
      </w:r>
      <w:r>
        <w:rPr/>
        <w:t>disability</w:t>
      </w:r>
      <w:r>
        <w:rPr>
          <w:spacing w:val="-9"/>
        </w:rPr>
        <w:t> </w:t>
      </w:r>
      <w:r>
        <w:rPr/>
        <w:t>under</w:t>
      </w:r>
      <w:r>
        <w:rPr>
          <w:spacing w:val="-7"/>
        </w:rPr>
        <w:t> </w:t>
      </w:r>
      <w:r>
        <w:rPr/>
        <w:t>Art</w:t>
      </w:r>
      <w:r>
        <w:rPr>
          <w:spacing w:val="-8"/>
        </w:rPr>
        <w:t> </w:t>
      </w:r>
      <w:r>
        <w:rPr/>
        <w:t>14</w:t>
      </w:r>
      <w:r>
        <w:rPr>
          <w:spacing w:val="-8"/>
        </w:rPr>
        <w:t> </w:t>
      </w:r>
      <w:r>
        <w:rPr/>
        <w:t>CRPD.</w:t>
      </w:r>
      <w:r>
        <w:rPr>
          <w:spacing w:val="-7"/>
        </w:rPr>
        <w:t> </w:t>
      </w:r>
      <w:r>
        <w:rPr/>
        <w:t>As</w:t>
      </w:r>
      <w:r>
        <w:rPr>
          <w:spacing w:val="-8"/>
        </w:rPr>
        <w:t> </w:t>
      </w:r>
      <w:r>
        <w:rPr/>
        <w:t>Elionoor</w:t>
      </w:r>
      <w:r>
        <w:rPr>
          <w:spacing w:val="-8"/>
        </w:rPr>
        <w:t> </w:t>
      </w:r>
      <w:r>
        <w:rPr/>
        <w:t>Flynn explains </w:t>
      </w:r>
      <w:hyperlink w:history="true" w:anchor="_bookmark32">
        <w:r>
          <w:rPr>
            <w:spacing w:val="2"/>
            <w:position w:val="8"/>
            <w:sz w:val="16"/>
          </w:rPr>
          <w:t>32</w:t>
        </w:r>
      </w:hyperlink>
      <w:r>
        <w:rPr>
          <w:spacing w:val="2"/>
        </w:rPr>
        <w:t>, </w:t>
      </w:r>
      <w:r>
        <w:rPr/>
        <w:t>while some scholars consider that Art 14 must be read to prohibit all deprivations of liberty where the existence of disability is a factor used to justify detention</w:t>
      </w:r>
      <w:hyperlink w:history="true" w:anchor="_bookmark33">
        <w:r>
          <w:rPr>
            <w:position w:val="8"/>
            <w:sz w:val="16"/>
          </w:rPr>
          <w:t>33</w:t>
        </w:r>
      </w:hyperlink>
      <w:r>
        <w:rPr/>
        <w:t>, other scholars disagree with this interpretation and some of them argue that an assessment of decision-making capacity can serve as the basis for detention if it is undertaken in a disability-neutral</w:t>
      </w:r>
      <w:r>
        <w:rPr>
          <w:spacing w:val="-1"/>
        </w:rPr>
        <w:t> </w:t>
      </w:r>
      <w:r>
        <w:rPr/>
        <w:t>manner</w:t>
      </w:r>
      <w:hyperlink w:history="true" w:anchor="_bookmark34">
        <w:r>
          <w:rPr>
            <w:position w:val="8"/>
            <w:sz w:val="16"/>
          </w:rPr>
          <w:t>34</w:t>
        </w:r>
      </w:hyperlink>
      <w:r>
        <w:rPr/>
        <w:t>.</w:t>
      </w:r>
    </w:p>
    <w:p>
      <w:pPr>
        <w:pStyle w:val="BodyText"/>
        <w:spacing w:before="11"/>
        <w:rPr>
          <w:sz w:val="23"/>
        </w:rPr>
      </w:pPr>
    </w:p>
    <w:p>
      <w:pPr>
        <w:pStyle w:val="BodyText"/>
        <w:ind w:left="397" w:right="105"/>
        <w:jc w:val="both"/>
      </w:pPr>
      <w:r>
        <w:rPr/>
        <w:t>Regarding this debate, we consider, in unity with the CRPD Committee’s position, that article 14 prohibits any disability-specific form of deprivation of liberty, even when it is purported to be justified by reference to the need to protect the safety of the person with disability and or that of others. In our opinion is not coherent to reject the “dangerousness criteria” for the person or third parties in case of general population</w:t>
      </w:r>
      <w:hyperlink w:history="true" w:anchor="_bookmark35">
        <w:r>
          <w:rPr>
            <w:position w:val="8"/>
            <w:sz w:val="16"/>
          </w:rPr>
          <w:t>35</w:t>
        </w:r>
      </w:hyperlink>
      <w:r>
        <w:rPr>
          <w:position w:val="8"/>
          <w:sz w:val="16"/>
        </w:rPr>
        <w:t> </w:t>
      </w:r>
      <w:r>
        <w:rPr/>
        <w:t>and</w:t>
      </w:r>
      <w:r>
        <w:rPr>
          <w:spacing w:val="-11"/>
        </w:rPr>
        <w:t> </w:t>
      </w:r>
      <w:r>
        <w:rPr/>
        <w:t>instead</w:t>
      </w:r>
      <w:r>
        <w:rPr>
          <w:spacing w:val="-11"/>
        </w:rPr>
        <w:t> </w:t>
      </w:r>
      <w:r>
        <w:rPr/>
        <w:t>accepting</w:t>
      </w:r>
      <w:r>
        <w:rPr>
          <w:spacing w:val="-11"/>
        </w:rPr>
        <w:t> </w:t>
      </w:r>
      <w:r>
        <w:rPr/>
        <w:t>these</w:t>
      </w:r>
      <w:r>
        <w:rPr>
          <w:spacing w:val="-10"/>
        </w:rPr>
        <w:t> </w:t>
      </w:r>
      <w:r>
        <w:rPr/>
        <w:t>criteria</w:t>
      </w:r>
      <w:r>
        <w:rPr>
          <w:spacing w:val="-10"/>
        </w:rPr>
        <w:t> </w:t>
      </w:r>
      <w:r>
        <w:rPr/>
        <w:t>in</w:t>
      </w:r>
      <w:r>
        <w:rPr>
          <w:spacing w:val="-11"/>
        </w:rPr>
        <w:t> </w:t>
      </w:r>
      <w:r>
        <w:rPr/>
        <w:t>case</w:t>
      </w:r>
      <w:r>
        <w:rPr>
          <w:spacing w:val="-10"/>
        </w:rPr>
        <w:t> </w:t>
      </w:r>
      <w:r>
        <w:rPr/>
        <w:t>of</w:t>
      </w:r>
      <w:r>
        <w:rPr>
          <w:spacing w:val="-10"/>
        </w:rPr>
        <w:t> </w:t>
      </w:r>
      <w:r>
        <w:rPr/>
        <w:t>people</w:t>
      </w:r>
      <w:r>
        <w:rPr>
          <w:spacing w:val="-10"/>
        </w:rPr>
        <w:t> </w:t>
      </w:r>
      <w:r>
        <w:rPr/>
        <w:t>with</w:t>
      </w:r>
      <w:r>
        <w:rPr>
          <w:spacing w:val="-10"/>
        </w:rPr>
        <w:t> </w:t>
      </w:r>
      <w:r>
        <w:rPr/>
        <w:t>intellectual</w:t>
      </w:r>
      <w:r>
        <w:rPr>
          <w:spacing w:val="-10"/>
        </w:rPr>
        <w:t> </w:t>
      </w:r>
      <w:r>
        <w:rPr/>
        <w:t>and</w:t>
      </w:r>
      <w:r>
        <w:rPr>
          <w:spacing w:val="-11"/>
        </w:rPr>
        <w:t> </w:t>
      </w:r>
      <w:r>
        <w:rPr/>
        <w:t>psychosocial disabilities. Indeed the difference between people with and without disabilities regarding the application of these criteria does not have an objective and reasonable justification</w:t>
      </w:r>
      <w:hyperlink w:history="true" w:anchor="_bookmark36">
        <w:r>
          <w:rPr>
            <w:position w:val="8"/>
            <w:sz w:val="16"/>
          </w:rPr>
          <w:t>36</w:t>
        </w:r>
        <w:r>
          <w:rPr>
            <w:spacing w:val="-2"/>
            <w:position w:val="8"/>
            <w:sz w:val="16"/>
          </w:rPr>
          <w:t> </w:t>
        </w:r>
      </w:hyperlink>
      <w:r>
        <w:rPr/>
        <w:t>and</w:t>
      </w:r>
      <w:r>
        <w:rPr>
          <w:spacing w:val="-11"/>
        </w:rPr>
        <w:t> </w:t>
      </w:r>
      <w:r>
        <w:rPr/>
        <w:t>reflects</w:t>
      </w:r>
      <w:r>
        <w:rPr>
          <w:spacing w:val="-11"/>
        </w:rPr>
        <w:t> </w:t>
      </w:r>
      <w:r>
        <w:rPr/>
        <w:t>prejudices</w:t>
      </w:r>
      <w:r>
        <w:rPr>
          <w:spacing w:val="-11"/>
        </w:rPr>
        <w:t> </w:t>
      </w:r>
      <w:r>
        <w:rPr/>
        <w:t>and</w:t>
      </w:r>
      <w:r>
        <w:rPr>
          <w:spacing w:val="-11"/>
        </w:rPr>
        <w:t> </w:t>
      </w:r>
      <w:r>
        <w:rPr/>
        <w:t>stereotypes</w:t>
      </w:r>
      <w:r>
        <w:rPr>
          <w:spacing w:val="-11"/>
        </w:rPr>
        <w:t> </w:t>
      </w:r>
      <w:r>
        <w:rPr/>
        <w:t>attached</w:t>
      </w:r>
      <w:r>
        <w:rPr>
          <w:spacing w:val="-10"/>
        </w:rPr>
        <w:t> </w:t>
      </w:r>
      <w:r>
        <w:rPr/>
        <w:t>to</w:t>
      </w:r>
      <w:r>
        <w:rPr>
          <w:spacing w:val="-11"/>
        </w:rPr>
        <w:t> </w:t>
      </w:r>
      <w:r>
        <w:rPr/>
        <w:t>the</w:t>
      </w:r>
      <w:r>
        <w:rPr>
          <w:spacing w:val="-12"/>
        </w:rPr>
        <w:t> </w:t>
      </w:r>
      <w:r>
        <w:rPr/>
        <w:t>normative</w:t>
      </w:r>
      <w:r>
        <w:rPr>
          <w:spacing w:val="-12"/>
        </w:rPr>
        <w:t> </w:t>
      </w:r>
      <w:r>
        <w:rPr/>
        <w:t>design of</w:t>
      </w:r>
      <w:r>
        <w:rPr>
          <w:spacing w:val="-10"/>
        </w:rPr>
        <w:t> </w:t>
      </w:r>
      <w:r>
        <w:rPr/>
        <w:t>the</w:t>
      </w:r>
      <w:r>
        <w:rPr>
          <w:spacing w:val="-10"/>
        </w:rPr>
        <w:t> </w:t>
      </w:r>
      <w:r>
        <w:rPr/>
        <w:t>law,</w:t>
      </w:r>
      <w:r>
        <w:rPr>
          <w:spacing w:val="-11"/>
        </w:rPr>
        <w:t> </w:t>
      </w:r>
      <w:r>
        <w:rPr/>
        <w:t>which</w:t>
      </w:r>
      <w:r>
        <w:rPr>
          <w:spacing w:val="-10"/>
        </w:rPr>
        <w:t> </w:t>
      </w:r>
      <w:r>
        <w:rPr/>
        <w:t>in</w:t>
      </w:r>
      <w:r>
        <w:rPr>
          <w:spacing w:val="-10"/>
        </w:rPr>
        <w:t> </w:t>
      </w:r>
      <w:r>
        <w:rPr/>
        <w:t>the</w:t>
      </w:r>
      <w:r>
        <w:rPr>
          <w:spacing w:val="-10"/>
        </w:rPr>
        <w:t> </w:t>
      </w:r>
      <w:r>
        <w:rPr/>
        <w:t>context</w:t>
      </w:r>
      <w:r>
        <w:rPr>
          <w:spacing w:val="-10"/>
        </w:rPr>
        <w:t> </w:t>
      </w:r>
      <w:r>
        <w:rPr/>
        <w:t>of</w:t>
      </w:r>
      <w:r>
        <w:rPr>
          <w:spacing w:val="-9"/>
        </w:rPr>
        <w:t> </w:t>
      </w:r>
      <w:r>
        <w:rPr/>
        <w:t>disability</w:t>
      </w:r>
      <w:r>
        <w:rPr>
          <w:spacing w:val="-10"/>
        </w:rPr>
        <w:t> </w:t>
      </w:r>
      <w:r>
        <w:rPr/>
        <w:t>(actual</w:t>
      </w:r>
      <w:r>
        <w:rPr>
          <w:spacing w:val="-10"/>
        </w:rPr>
        <w:t> </w:t>
      </w:r>
      <w:r>
        <w:rPr/>
        <w:t>or</w:t>
      </w:r>
      <w:r>
        <w:rPr>
          <w:spacing w:val="-11"/>
        </w:rPr>
        <w:t> </w:t>
      </w:r>
      <w:r>
        <w:rPr/>
        <w:t>perceived)</w:t>
      </w:r>
      <w:r>
        <w:rPr>
          <w:spacing w:val="-10"/>
        </w:rPr>
        <w:t> </w:t>
      </w:r>
      <w:r>
        <w:rPr/>
        <w:t>the</w:t>
      </w:r>
      <w:r>
        <w:rPr>
          <w:spacing w:val="-10"/>
        </w:rPr>
        <w:t> </w:t>
      </w:r>
      <w:r>
        <w:rPr/>
        <w:t>Convention</w:t>
      </w:r>
      <w:r>
        <w:rPr>
          <w:spacing w:val="-10"/>
        </w:rPr>
        <w:t> </w:t>
      </w:r>
      <w:r>
        <w:rPr/>
        <w:t>seeks to</w:t>
      </w:r>
      <w:r>
        <w:rPr>
          <w:spacing w:val="-15"/>
        </w:rPr>
        <w:t> </w:t>
      </w:r>
      <w:r>
        <w:rPr/>
        <w:t>remedy.</w:t>
      </w:r>
      <w:r>
        <w:rPr>
          <w:spacing w:val="-16"/>
        </w:rPr>
        <w:t> </w:t>
      </w:r>
      <w:r>
        <w:rPr/>
        <w:t>Moreover,</w:t>
      </w:r>
      <w:r>
        <w:rPr>
          <w:spacing w:val="-15"/>
        </w:rPr>
        <w:t> </w:t>
      </w:r>
      <w:r>
        <w:rPr/>
        <w:t>the</w:t>
      </w:r>
      <w:r>
        <w:rPr>
          <w:spacing w:val="-15"/>
        </w:rPr>
        <w:t> </w:t>
      </w:r>
      <w:r>
        <w:rPr/>
        <w:t>specific</w:t>
      </w:r>
      <w:r>
        <w:rPr>
          <w:spacing w:val="-17"/>
        </w:rPr>
        <w:t> </w:t>
      </w:r>
      <w:r>
        <w:rPr/>
        <w:t>arguments</w:t>
      </w:r>
      <w:r>
        <w:rPr>
          <w:spacing w:val="-16"/>
        </w:rPr>
        <w:t> </w:t>
      </w:r>
      <w:r>
        <w:rPr/>
        <w:t>–</w:t>
      </w:r>
      <w:r>
        <w:rPr>
          <w:spacing w:val="-15"/>
        </w:rPr>
        <w:t> </w:t>
      </w:r>
      <w:r>
        <w:rPr/>
        <w:t>within</w:t>
      </w:r>
      <w:r>
        <w:rPr>
          <w:spacing w:val="-15"/>
        </w:rPr>
        <w:t> </w:t>
      </w:r>
      <w:r>
        <w:rPr/>
        <w:t>the</w:t>
      </w:r>
      <w:r>
        <w:rPr>
          <w:spacing w:val="-15"/>
        </w:rPr>
        <w:t> </w:t>
      </w:r>
      <w:r>
        <w:rPr/>
        <w:t>general</w:t>
      </w:r>
      <w:r>
        <w:rPr>
          <w:spacing w:val="-15"/>
        </w:rPr>
        <w:t> </w:t>
      </w:r>
      <w:r>
        <w:rPr/>
        <w:t>idea</w:t>
      </w:r>
      <w:r>
        <w:rPr>
          <w:spacing w:val="-15"/>
        </w:rPr>
        <w:t> </w:t>
      </w:r>
      <w:r>
        <w:rPr/>
        <w:t>of</w:t>
      </w:r>
      <w:r>
        <w:rPr>
          <w:spacing w:val="-15"/>
        </w:rPr>
        <w:t> </w:t>
      </w:r>
      <w:r>
        <w:rPr/>
        <w:t>the</w:t>
      </w:r>
      <w:r>
        <w:rPr>
          <w:spacing w:val="-15"/>
        </w:rPr>
        <w:t> </w:t>
      </w:r>
      <w:r>
        <w:rPr/>
        <w:t>protection of</w:t>
      </w:r>
      <w:r>
        <w:rPr>
          <w:spacing w:val="-7"/>
        </w:rPr>
        <w:t> </w:t>
      </w:r>
      <w:r>
        <w:rPr/>
        <w:t>the</w:t>
      </w:r>
      <w:r>
        <w:rPr>
          <w:spacing w:val="-8"/>
        </w:rPr>
        <w:t> </w:t>
      </w:r>
      <w:r>
        <w:rPr/>
        <w:t>person</w:t>
      </w:r>
      <w:r>
        <w:rPr>
          <w:spacing w:val="-7"/>
        </w:rPr>
        <w:t> </w:t>
      </w:r>
      <w:r>
        <w:rPr/>
        <w:t>–</w:t>
      </w:r>
      <w:r>
        <w:rPr>
          <w:spacing w:val="-7"/>
        </w:rPr>
        <w:t> </w:t>
      </w:r>
      <w:r>
        <w:rPr/>
        <w:t>that</w:t>
      </w:r>
      <w:r>
        <w:rPr>
          <w:spacing w:val="-8"/>
        </w:rPr>
        <w:t> </w:t>
      </w:r>
      <w:r>
        <w:rPr/>
        <w:t>support</w:t>
      </w:r>
      <w:r>
        <w:rPr>
          <w:spacing w:val="-8"/>
        </w:rPr>
        <w:t> </w:t>
      </w:r>
      <w:r>
        <w:rPr/>
        <w:t>the</w:t>
      </w:r>
      <w:r>
        <w:rPr>
          <w:spacing w:val="-9"/>
        </w:rPr>
        <w:t> </w:t>
      </w:r>
      <w:r>
        <w:rPr/>
        <w:t>deprivation</w:t>
      </w:r>
      <w:r>
        <w:rPr>
          <w:spacing w:val="-7"/>
        </w:rPr>
        <w:t> </w:t>
      </w:r>
      <w:r>
        <w:rPr/>
        <w:t>of</w:t>
      </w:r>
      <w:r>
        <w:rPr>
          <w:spacing w:val="-7"/>
        </w:rPr>
        <w:t> </w:t>
      </w:r>
      <w:r>
        <w:rPr/>
        <w:t>liberty</w:t>
      </w:r>
      <w:r>
        <w:rPr>
          <w:spacing w:val="-7"/>
        </w:rPr>
        <w:t> </w:t>
      </w:r>
      <w:r>
        <w:rPr/>
        <w:t>of</w:t>
      </w:r>
      <w:r>
        <w:rPr>
          <w:spacing w:val="-7"/>
        </w:rPr>
        <w:t> </w:t>
      </w:r>
      <w:r>
        <w:rPr/>
        <w:t>persons</w:t>
      </w:r>
      <w:r>
        <w:rPr>
          <w:spacing w:val="-7"/>
        </w:rPr>
        <w:t> </w:t>
      </w:r>
      <w:r>
        <w:rPr/>
        <w:t>with</w:t>
      </w:r>
      <w:r>
        <w:rPr>
          <w:spacing w:val="-7"/>
        </w:rPr>
        <w:t> </w:t>
      </w:r>
      <w:r>
        <w:rPr/>
        <w:t>disabilities</w:t>
      </w:r>
      <w:r>
        <w:rPr>
          <w:spacing w:val="-7"/>
        </w:rPr>
        <w:t> </w:t>
      </w:r>
      <w:r>
        <w:rPr/>
        <w:t>in</w:t>
      </w:r>
      <w:r>
        <w:rPr>
          <w:spacing w:val="-7"/>
        </w:rPr>
        <w:t> </w:t>
      </w:r>
      <w:r>
        <w:rPr/>
        <w:t>the need of care or medical treatment contradicts other rights recognised in the CRPD which are closely linked, as we analyse below, with the right to</w:t>
      </w:r>
      <w:r>
        <w:rPr>
          <w:spacing w:val="-11"/>
        </w:rPr>
        <w:t> </w:t>
      </w:r>
      <w:r>
        <w:rPr/>
        <w:t>liberty.</w:t>
      </w:r>
    </w:p>
    <w:p>
      <w:pPr>
        <w:pStyle w:val="BodyText"/>
      </w:pPr>
    </w:p>
    <w:p>
      <w:pPr>
        <w:pStyle w:val="BodyText"/>
        <w:ind w:left="398" w:right="106"/>
        <w:jc w:val="both"/>
      </w:pPr>
      <w:r>
        <w:rPr/>
        <w:t>In our view, legislation authorising the civil commitment of persons with intellectual and psychosocial disabilities should be replaced by new comprehensive enactments within the health-care system governing all non-consensual treatment.</w:t>
      </w:r>
      <w:hyperlink w:history="true" w:anchor="_bookmark37">
        <w:r>
          <w:rPr>
            <w:position w:val="8"/>
            <w:sz w:val="16"/>
          </w:rPr>
          <w:t>37 </w:t>
        </w:r>
      </w:hyperlink>
      <w:r>
        <w:rPr/>
        <w:t>According to the CRPD model, this legislation could not be based on a functional test that relies on the assessment of decision-making capacity because, among other reasons, this assessment is not objective and disability neutral.</w:t>
      </w:r>
      <w:hyperlink w:history="true" w:anchor="_bookmark38">
        <w:r>
          <w:rPr>
            <w:position w:val="8"/>
            <w:sz w:val="16"/>
          </w:rPr>
          <w:t>38 </w:t>
        </w:r>
      </w:hyperlink>
      <w:r>
        <w:rPr/>
        <w:t>In any case – and depending on</w:t>
      </w:r>
    </w:p>
    <w:p>
      <w:pPr>
        <w:pStyle w:val="BodyText"/>
        <w:spacing w:before="1"/>
        <w:rPr>
          <w:sz w:val="41"/>
        </w:rPr>
      </w:pPr>
    </w:p>
    <w:p>
      <w:pPr>
        <w:spacing w:line="236" w:lineRule="exact" w:before="0"/>
        <w:ind w:left="221" w:right="0" w:firstLine="0"/>
        <w:jc w:val="left"/>
        <w:rPr>
          <w:sz w:val="20"/>
        </w:rPr>
      </w:pPr>
      <w:bookmarkStart w:name="_bookmark32" w:id="34"/>
      <w:bookmarkEnd w:id="34"/>
      <w:r>
        <w:rPr/>
      </w:r>
      <w:r>
        <w:rPr>
          <w:position w:val="7"/>
          <w:sz w:val="13"/>
        </w:rPr>
        <w:t>32 </w:t>
      </w:r>
      <w:r>
        <w:rPr>
          <w:sz w:val="20"/>
        </w:rPr>
        <w:t>Flynn, E., “Disability, Deprivation of Liberty and Human Rights Norms”, [82].</w:t>
      </w:r>
    </w:p>
    <w:p>
      <w:pPr>
        <w:spacing w:line="228" w:lineRule="auto" w:before="5"/>
        <w:ind w:left="391" w:right="105" w:hanging="171"/>
        <w:jc w:val="both"/>
        <w:rPr>
          <w:sz w:val="20"/>
        </w:rPr>
      </w:pPr>
      <w:bookmarkStart w:name="_bookmark33" w:id="35"/>
      <w:bookmarkEnd w:id="35"/>
      <w:r>
        <w:rPr/>
      </w:r>
      <w:r>
        <w:rPr>
          <w:position w:val="7"/>
          <w:sz w:val="13"/>
        </w:rPr>
        <w:t>33 </w:t>
      </w:r>
      <w:r>
        <w:rPr>
          <w:sz w:val="20"/>
        </w:rPr>
        <w:t>Particularly some of the scholars who were actively involved in the negotiations as Minkowitz, T., </w:t>
      </w:r>
      <w:r>
        <w:rPr>
          <w:i/>
          <w:sz w:val="21"/>
        </w:rPr>
        <w:t>Why Mental Health Laws Contravene the CRPD – An Application of Article 14 with Implications for the Obligations of States Parties </w:t>
      </w:r>
      <w:r>
        <w:rPr>
          <w:sz w:val="20"/>
        </w:rPr>
        <w:t>- already cited above, n 5.</w:t>
      </w:r>
    </w:p>
    <w:p>
      <w:pPr>
        <w:spacing w:line="232" w:lineRule="auto" w:before="7"/>
        <w:ind w:left="391" w:right="106" w:hanging="171"/>
        <w:jc w:val="both"/>
        <w:rPr>
          <w:sz w:val="20"/>
        </w:rPr>
      </w:pPr>
      <w:bookmarkStart w:name="_bookmark34" w:id="36"/>
      <w:bookmarkEnd w:id="36"/>
      <w:r>
        <w:rPr/>
      </w:r>
      <w:r>
        <w:rPr>
          <w:position w:val="7"/>
          <w:sz w:val="13"/>
        </w:rPr>
        <w:t>34 </w:t>
      </w:r>
      <w:r>
        <w:rPr>
          <w:sz w:val="20"/>
        </w:rPr>
        <w:t>See </w:t>
      </w:r>
      <w:r>
        <w:rPr>
          <w:rFonts w:ascii="Times New Roman" w:hAnsi="Times New Roman"/>
          <w:b/>
          <w:sz w:val="21"/>
        </w:rPr>
        <w:t>–– </w:t>
      </w:r>
      <w:r>
        <w:rPr>
          <w:sz w:val="20"/>
        </w:rPr>
        <w:t>Szmukler, G. Daw, R. and Callard, F., “Mental health law and the UN Convention on the Rights of Persons with Disabilities”, </w:t>
      </w:r>
      <w:r>
        <w:rPr>
          <w:i/>
          <w:sz w:val="21"/>
        </w:rPr>
        <w:t>International Journal of Law and Psychiatry</w:t>
      </w:r>
      <w:r>
        <w:rPr>
          <w:sz w:val="20"/>
        </w:rPr>
        <w:t>, 37 (3), 2014, 245–252; and Dawson, J., “A realistic approach to assessing mental health laws' compliance with the UNCRPD”, </w:t>
      </w:r>
      <w:r>
        <w:rPr>
          <w:i/>
          <w:sz w:val="21"/>
        </w:rPr>
        <w:t>International Journal of Law and Psychiatry</w:t>
      </w:r>
      <w:r>
        <w:rPr>
          <w:sz w:val="20"/>
        </w:rPr>
        <w:t>, 40, 2015, [70–79].</w:t>
      </w:r>
    </w:p>
    <w:p>
      <w:pPr>
        <w:spacing w:line="235" w:lineRule="auto" w:before="0"/>
        <w:ind w:left="449" w:right="106" w:hanging="229"/>
        <w:jc w:val="both"/>
        <w:rPr>
          <w:sz w:val="20"/>
        </w:rPr>
      </w:pPr>
      <w:bookmarkStart w:name="_bookmark35" w:id="37"/>
      <w:bookmarkEnd w:id="37"/>
      <w:r>
        <w:rPr/>
      </w:r>
      <w:r>
        <w:rPr>
          <w:rFonts w:ascii="Times New Roman" w:hAnsi="Times New Roman"/>
          <w:position w:val="8"/>
          <w:sz w:val="14"/>
        </w:rPr>
        <w:t>35 </w:t>
      </w:r>
      <w:r>
        <w:rPr>
          <w:sz w:val="20"/>
        </w:rPr>
        <w:t>Bartlett,</w:t>
      </w:r>
      <w:r>
        <w:rPr>
          <w:spacing w:val="-8"/>
          <w:sz w:val="20"/>
        </w:rPr>
        <w:t> </w:t>
      </w:r>
      <w:r>
        <w:rPr>
          <w:sz w:val="20"/>
        </w:rPr>
        <w:t>P.,</w:t>
      </w:r>
      <w:r>
        <w:rPr>
          <w:spacing w:val="-8"/>
          <w:sz w:val="20"/>
        </w:rPr>
        <w:t> </w:t>
      </w:r>
      <w:r>
        <w:rPr>
          <w:sz w:val="20"/>
        </w:rPr>
        <w:t>“The</w:t>
      </w:r>
      <w:r>
        <w:rPr>
          <w:spacing w:val="-8"/>
          <w:sz w:val="20"/>
        </w:rPr>
        <w:t> </w:t>
      </w:r>
      <w:r>
        <w:rPr>
          <w:sz w:val="20"/>
        </w:rPr>
        <w:t>United</w:t>
      </w:r>
      <w:r>
        <w:rPr>
          <w:spacing w:val="-9"/>
          <w:sz w:val="20"/>
        </w:rPr>
        <w:t> </w:t>
      </w:r>
      <w:r>
        <w:rPr>
          <w:sz w:val="20"/>
        </w:rPr>
        <w:t>Nations</w:t>
      </w:r>
      <w:r>
        <w:rPr>
          <w:spacing w:val="-8"/>
          <w:sz w:val="20"/>
        </w:rPr>
        <w:t> </w:t>
      </w:r>
      <w:r>
        <w:rPr>
          <w:sz w:val="20"/>
        </w:rPr>
        <w:t>Convention</w:t>
      </w:r>
      <w:r>
        <w:rPr>
          <w:spacing w:val="-9"/>
          <w:sz w:val="20"/>
        </w:rPr>
        <w:t> </w:t>
      </w:r>
      <w:r>
        <w:rPr>
          <w:sz w:val="20"/>
        </w:rPr>
        <w:t>on</w:t>
      </w:r>
      <w:r>
        <w:rPr>
          <w:spacing w:val="-9"/>
          <w:sz w:val="20"/>
        </w:rPr>
        <w:t> </w:t>
      </w:r>
      <w:r>
        <w:rPr>
          <w:sz w:val="20"/>
        </w:rPr>
        <w:t>the</w:t>
      </w:r>
      <w:r>
        <w:rPr>
          <w:spacing w:val="-10"/>
          <w:sz w:val="20"/>
        </w:rPr>
        <w:t> </w:t>
      </w:r>
      <w:r>
        <w:rPr>
          <w:sz w:val="20"/>
        </w:rPr>
        <w:t>Rights</w:t>
      </w:r>
      <w:r>
        <w:rPr>
          <w:spacing w:val="-9"/>
          <w:sz w:val="20"/>
        </w:rPr>
        <w:t> </w:t>
      </w:r>
      <w:r>
        <w:rPr>
          <w:sz w:val="20"/>
        </w:rPr>
        <w:t>of</w:t>
      </w:r>
      <w:r>
        <w:rPr>
          <w:spacing w:val="-9"/>
          <w:sz w:val="20"/>
        </w:rPr>
        <w:t> </w:t>
      </w:r>
      <w:r>
        <w:rPr>
          <w:sz w:val="20"/>
        </w:rPr>
        <w:t>Persons</w:t>
      </w:r>
      <w:r>
        <w:rPr>
          <w:spacing w:val="-8"/>
          <w:sz w:val="20"/>
        </w:rPr>
        <w:t> </w:t>
      </w:r>
      <w:r>
        <w:rPr>
          <w:sz w:val="20"/>
        </w:rPr>
        <w:t>with</w:t>
      </w:r>
      <w:r>
        <w:rPr>
          <w:spacing w:val="-9"/>
          <w:sz w:val="20"/>
        </w:rPr>
        <w:t> </w:t>
      </w:r>
      <w:r>
        <w:rPr>
          <w:sz w:val="20"/>
        </w:rPr>
        <w:t>Disabilities</w:t>
      </w:r>
      <w:r>
        <w:rPr>
          <w:spacing w:val="-8"/>
          <w:sz w:val="20"/>
        </w:rPr>
        <w:t> </w:t>
      </w:r>
      <w:r>
        <w:rPr>
          <w:sz w:val="20"/>
        </w:rPr>
        <w:t>and</w:t>
      </w:r>
      <w:r>
        <w:rPr>
          <w:spacing w:val="-9"/>
          <w:sz w:val="20"/>
        </w:rPr>
        <w:t> </w:t>
      </w:r>
      <w:r>
        <w:rPr>
          <w:sz w:val="20"/>
        </w:rPr>
        <w:t>Mental</w:t>
      </w:r>
      <w:r>
        <w:rPr>
          <w:spacing w:val="-9"/>
          <w:sz w:val="20"/>
        </w:rPr>
        <w:t> </w:t>
      </w:r>
      <w:r>
        <w:rPr>
          <w:sz w:val="20"/>
        </w:rPr>
        <w:t>Health Law2, </w:t>
      </w:r>
      <w:r>
        <w:rPr>
          <w:i/>
          <w:sz w:val="21"/>
        </w:rPr>
        <w:t>Modern Law Review</w:t>
      </w:r>
      <w:r>
        <w:rPr>
          <w:sz w:val="20"/>
        </w:rPr>
        <w:t>, 75 (5), 2012,</w:t>
      </w:r>
      <w:r>
        <w:rPr>
          <w:spacing w:val="-19"/>
          <w:sz w:val="20"/>
        </w:rPr>
        <w:t> </w:t>
      </w:r>
      <w:r>
        <w:rPr>
          <w:sz w:val="20"/>
        </w:rPr>
        <w:t>[752-778].</w:t>
      </w:r>
    </w:p>
    <w:p>
      <w:pPr>
        <w:spacing w:line="230" w:lineRule="auto" w:before="0"/>
        <w:ind w:left="449" w:right="108" w:hanging="228"/>
        <w:jc w:val="both"/>
        <w:rPr>
          <w:sz w:val="20"/>
        </w:rPr>
      </w:pPr>
      <w:bookmarkStart w:name="_bookmark36" w:id="38"/>
      <w:bookmarkEnd w:id="38"/>
      <w:r>
        <w:rPr/>
      </w:r>
      <w:r>
        <w:rPr>
          <w:position w:val="7"/>
          <w:sz w:val="13"/>
        </w:rPr>
        <w:t>36 </w:t>
      </w:r>
      <w:r>
        <w:rPr>
          <w:sz w:val="20"/>
        </w:rPr>
        <w:t>Nilsson, A., “Objective and Reasonable? Scrutinising Compulsory Mental Health Interventions from a Non-discrimination Perspective”, </w:t>
      </w:r>
      <w:r>
        <w:rPr>
          <w:i/>
          <w:sz w:val="21"/>
        </w:rPr>
        <w:t>Human Rights Law Review</w:t>
      </w:r>
      <w:r>
        <w:rPr>
          <w:sz w:val="20"/>
        </w:rPr>
        <w:t>, 14(3), 2014, [459-485].</w:t>
      </w:r>
    </w:p>
    <w:p>
      <w:pPr>
        <w:spacing w:before="0"/>
        <w:ind w:left="449" w:right="109" w:hanging="228"/>
        <w:jc w:val="both"/>
        <w:rPr>
          <w:sz w:val="20"/>
        </w:rPr>
      </w:pPr>
      <w:bookmarkStart w:name="_bookmark37" w:id="39"/>
      <w:bookmarkEnd w:id="39"/>
      <w:r>
        <w:rPr/>
      </w:r>
      <w:r>
        <w:rPr>
          <w:position w:val="7"/>
          <w:sz w:val="13"/>
        </w:rPr>
        <w:t>37 </w:t>
      </w:r>
      <w:r>
        <w:rPr>
          <w:sz w:val="20"/>
        </w:rPr>
        <w:t>This view is also maintained by Szmukler, Daw, and Callard and by Dawson in the works previously cited, n 34.</w:t>
      </w:r>
    </w:p>
    <w:p>
      <w:pPr>
        <w:spacing w:line="242" w:lineRule="exact" w:before="6"/>
        <w:ind w:left="444" w:right="0" w:hanging="224"/>
        <w:jc w:val="left"/>
        <w:rPr>
          <w:sz w:val="20"/>
        </w:rPr>
      </w:pPr>
      <w:bookmarkStart w:name="_bookmark38" w:id="40"/>
      <w:bookmarkEnd w:id="40"/>
      <w:r>
        <w:rPr/>
      </w:r>
      <w:r>
        <w:rPr>
          <w:position w:val="7"/>
          <w:sz w:val="13"/>
        </w:rPr>
        <w:t>38</w:t>
      </w:r>
      <w:r>
        <w:rPr>
          <w:spacing w:val="-13"/>
          <w:position w:val="7"/>
          <w:sz w:val="13"/>
        </w:rPr>
        <w:t> </w:t>
      </w:r>
      <w:r>
        <w:rPr>
          <w:i/>
          <w:sz w:val="21"/>
        </w:rPr>
        <w:t>Comment</w:t>
      </w:r>
      <w:r>
        <w:rPr>
          <w:i/>
          <w:spacing w:val="-21"/>
          <w:sz w:val="21"/>
        </w:rPr>
        <w:t> </w:t>
      </w:r>
      <w:r>
        <w:rPr>
          <w:i/>
          <w:sz w:val="21"/>
        </w:rPr>
        <w:t>No.</w:t>
      </w:r>
      <w:r>
        <w:rPr>
          <w:i/>
          <w:spacing w:val="-21"/>
          <w:sz w:val="21"/>
        </w:rPr>
        <w:t> </w:t>
      </w:r>
      <w:r>
        <w:rPr>
          <w:i/>
          <w:sz w:val="21"/>
        </w:rPr>
        <w:t>1:</w:t>
      </w:r>
      <w:r>
        <w:rPr>
          <w:i/>
          <w:spacing w:val="-22"/>
          <w:sz w:val="21"/>
        </w:rPr>
        <w:t> </w:t>
      </w:r>
      <w:r>
        <w:rPr>
          <w:i/>
          <w:sz w:val="21"/>
        </w:rPr>
        <w:t>Article</w:t>
      </w:r>
      <w:r>
        <w:rPr>
          <w:i/>
          <w:spacing w:val="-21"/>
          <w:sz w:val="21"/>
        </w:rPr>
        <w:t> </w:t>
      </w:r>
      <w:r>
        <w:rPr>
          <w:i/>
          <w:sz w:val="21"/>
        </w:rPr>
        <w:t>12,</w:t>
      </w:r>
      <w:r>
        <w:rPr>
          <w:i/>
          <w:spacing w:val="-21"/>
          <w:sz w:val="21"/>
        </w:rPr>
        <w:t> </w:t>
      </w:r>
      <w:r>
        <w:rPr>
          <w:i/>
          <w:sz w:val="21"/>
        </w:rPr>
        <w:t>Equal</w:t>
      </w:r>
      <w:r>
        <w:rPr>
          <w:i/>
          <w:spacing w:val="-23"/>
          <w:sz w:val="21"/>
        </w:rPr>
        <w:t> </w:t>
      </w:r>
      <w:r>
        <w:rPr>
          <w:i/>
          <w:sz w:val="21"/>
        </w:rPr>
        <w:t>Recognition</w:t>
      </w:r>
      <w:r>
        <w:rPr>
          <w:i/>
          <w:spacing w:val="-22"/>
          <w:sz w:val="21"/>
        </w:rPr>
        <w:t> </w:t>
      </w:r>
      <w:r>
        <w:rPr>
          <w:i/>
          <w:sz w:val="21"/>
        </w:rPr>
        <w:t>before</w:t>
      </w:r>
      <w:r>
        <w:rPr>
          <w:i/>
          <w:spacing w:val="-23"/>
          <w:sz w:val="21"/>
        </w:rPr>
        <w:t> </w:t>
      </w:r>
      <w:r>
        <w:rPr>
          <w:i/>
          <w:sz w:val="21"/>
        </w:rPr>
        <w:t>the</w:t>
      </w:r>
      <w:r>
        <w:rPr>
          <w:i/>
          <w:spacing w:val="-21"/>
          <w:sz w:val="21"/>
        </w:rPr>
        <w:t> </w:t>
      </w:r>
      <w:r>
        <w:rPr>
          <w:i/>
          <w:sz w:val="21"/>
        </w:rPr>
        <w:t>Law</w:t>
      </w:r>
      <w:r>
        <w:rPr>
          <w:sz w:val="20"/>
        </w:rPr>
        <w:t>,</w:t>
      </w:r>
      <w:r>
        <w:rPr>
          <w:spacing w:val="-18"/>
          <w:sz w:val="20"/>
        </w:rPr>
        <w:t> </w:t>
      </w:r>
      <w:r>
        <w:rPr>
          <w:sz w:val="20"/>
        </w:rPr>
        <w:t>CRPD/C/GC/1,</w:t>
      </w:r>
      <w:r>
        <w:rPr>
          <w:spacing w:val="-18"/>
          <w:sz w:val="20"/>
        </w:rPr>
        <w:t> </w:t>
      </w:r>
      <w:r>
        <w:rPr>
          <w:sz w:val="20"/>
        </w:rPr>
        <w:t>April</w:t>
      </w:r>
      <w:r>
        <w:rPr>
          <w:spacing w:val="-19"/>
          <w:sz w:val="20"/>
        </w:rPr>
        <w:t> </w:t>
      </w:r>
      <w:r>
        <w:rPr>
          <w:sz w:val="20"/>
        </w:rPr>
        <w:t>2014,</w:t>
      </w:r>
      <w:r>
        <w:rPr>
          <w:spacing w:val="-18"/>
          <w:sz w:val="20"/>
        </w:rPr>
        <w:t> </w:t>
      </w:r>
      <w:r>
        <w:rPr>
          <w:sz w:val="20"/>
        </w:rPr>
        <w:t>para</w:t>
      </w:r>
      <w:r>
        <w:rPr>
          <w:spacing w:val="-19"/>
          <w:sz w:val="20"/>
        </w:rPr>
        <w:t> </w:t>
      </w:r>
      <w:r>
        <w:rPr>
          <w:sz w:val="20"/>
        </w:rPr>
        <w:t>(15). </w:t>
      </w:r>
      <w:hyperlink r:id="rId12">
        <w:r>
          <w:rPr>
            <w:color w:val="0563C1"/>
            <w:sz w:val="20"/>
            <w:u w:val="single" w:color="0563C1"/>
          </w:rPr>
          <w:t>www.ohchr.org/EN/HRBodies/CRPD/Pages/GC.aspx</w:t>
        </w:r>
      </w:hyperlink>
    </w:p>
    <w:p>
      <w:pPr>
        <w:spacing w:after="0" w:line="242" w:lineRule="exact"/>
        <w:jc w:val="left"/>
        <w:rPr>
          <w:sz w:val="20"/>
        </w:rPr>
        <w:sectPr>
          <w:pgSz w:w="11910" w:h="16840"/>
          <w:pgMar w:header="0" w:footer="523" w:top="1320" w:bottom="720" w:left="940" w:right="1320"/>
        </w:sectPr>
      </w:pPr>
    </w:p>
    <w:p>
      <w:pPr>
        <w:pStyle w:val="BodyText"/>
        <w:spacing w:before="82"/>
        <w:ind w:left="397" w:right="105"/>
        <w:jc w:val="both"/>
        <w:rPr>
          <w:sz w:val="16"/>
        </w:rPr>
      </w:pPr>
      <w:r>
        <w:rPr/>
        <w:t>the way in which national legislation solves the conflicts between liberty and other rights – some non-consensual interventions could be permissible – ie. in cases of life- threatening emergency – but with true parity between persons with and without disabilities. Cases of harm to others should be addressed through the criminal justice system, which should involve the application of robust safeguards and the adoption of procedural accommodations to ensure the effective participation of persons with psychosocial disabilities in the judicial proceedings.</w:t>
      </w:r>
      <w:hyperlink w:history="true" w:anchor="_bookmark39">
        <w:r>
          <w:rPr>
            <w:position w:val="8"/>
            <w:sz w:val="16"/>
          </w:rPr>
          <w:t>39</w:t>
        </w:r>
      </w:hyperlink>
    </w:p>
    <w:p>
      <w:pPr>
        <w:pStyle w:val="BodyText"/>
        <w:spacing w:before="12"/>
        <w:rPr>
          <w:sz w:val="23"/>
        </w:rPr>
      </w:pPr>
    </w:p>
    <w:p>
      <w:pPr>
        <w:pStyle w:val="BodyText"/>
        <w:ind w:left="397" w:right="106"/>
        <w:jc w:val="both"/>
      </w:pPr>
      <w:r>
        <w:rPr/>
        <w:t>In the criminal context, the prohibition of deprivation of liberty on the grounds of disability also challenges the detention of persons with disabilities (mainly against persons with intellectual or psychosocial disabilities) who are considered unfit to plead or who are not imputable by domestic legislation. As maintained by the CRPD Committee:</w:t>
      </w:r>
    </w:p>
    <w:p>
      <w:pPr>
        <w:spacing w:before="201"/>
        <w:ind w:left="965" w:right="162" w:firstLine="0"/>
        <w:jc w:val="both"/>
        <w:rPr>
          <w:sz w:val="13"/>
        </w:rPr>
      </w:pPr>
      <w:r>
        <w:rPr>
          <w:sz w:val="20"/>
        </w:rPr>
        <w:t>[d]eclarations</w:t>
      </w:r>
      <w:r>
        <w:rPr>
          <w:spacing w:val="-15"/>
          <w:sz w:val="20"/>
        </w:rPr>
        <w:t> </w:t>
      </w:r>
      <w:r>
        <w:rPr>
          <w:sz w:val="20"/>
        </w:rPr>
        <w:t>of</w:t>
      </w:r>
      <w:r>
        <w:rPr>
          <w:spacing w:val="-15"/>
          <w:sz w:val="20"/>
        </w:rPr>
        <w:t> </w:t>
      </w:r>
      <w:r>
        <w:rPr>
          <w:sz w:val="20"/>
        </w:rPr>
        <w:t>unfitness</w:t>
      </w:r>
      <w:r>
        <w:rPr>
          <w:spacing w:val="-14"/>
          <w:sz w:val="20"/>
        </w:rPr>
        <w:t> </w:t>
      </w:r>
      <w:r>
        <w:rPr>
          <w:sz w:val="20"/>
        </w:rPr>
        <w:t>to</w:t>
      </w:r>
      <w:r>
        <w:rPr>
          <w:spacing w:val="-14"/>
          <w:sz w:val="20"/>
        </w:rPr>
        <w:t> </w:t>
      </w:r>
      <w:r>
        <w:rPr>
          <w:sz w:val="20"/>
        </w:rPr>
        <w:t>stand</w:t>
      </w:r>
      <w:r>
        <w:rPr>
          <w:spacing w:val="-15"/>
          <w:sz w:val="20"/>
        </w:rPr>
        <w:t> </w:t>
      </w:r>
      <w:r>
        <w:rPr>
          <w:sz w:val="20"/>
        </w:rPr>
        <w:t>trial</w:t>
      </w:r>
      <w:r>
        <w:rPr>
          <w:spacing w:val="-16"/>
          <w:sz w:val="20"/>
        </w:rPr>
        <w:t> </w:t>
      </w:r>
      <w:r>
        <w:rPr>
          <w:sz w:val="20"/>
        </w:rPr>
        <w:t>or</w:t>
      </w:r>
      <w:r>
        <w:rPr>
          <w:spacing w:val="-15"/>
          <w:sz w:val="20"/>
        </w:rPr>
        <w:t> </w:t>
      </w:r>
      <w:r>
        <w:rPr>
          <w:sz w:val="20"/>
        </w:rPr>
        <w:t>incapacity</w:t>
      </w:r>
      <w:r>
        <w:rPr>
          <w:spacing w:val="-15"/>
          <w:sz w:val="20"/>
        </w:rPr>
        <w:t> </w:t>
      </w:r>
      <w:r>
        <w:rPr>
          <w:sz w:val="20"/>
        </w:rPr>
        <w:t>to</w:t>
      </w:r>
      <w:r>
        <w:rPr>
          <w:spacing w:val="-15"/>
          <w:sz w:val="20"/>
        </w:rPr>
        <w:t> </w:t>
      </w:r>
      <w:r>
        <w:rPr>
          <w:sz w:val="20"/>
        </w:rPr>
        <w:t>be</w:t>
      </w:r>
      <w:r>
        <w:rPr>
          <w:spacing w:val="-14"/>
          <w:sz w:val="20"/>
        </w:rPr>
        <w:t> </w:t>
      </w:r>
      <w:r>
        <w:rPr>
          <w:sz w:val="20"/>
        </w:rPr>
        <w:t>found</w:t>
      </w:r>
      <w:r>
        <w:rPr>
          <w:spacing w:val="-15"/>
          <w:sz w:val="20"/>
        </w:rPr>
        <w:t> </w:t>
      </w:r>
      <w:r>
        <w:rPr>
          <w:sz w:val="20"/>
        </w:rPr>
        <w:t>criminally</w:t>
      </w:r>
      <w:r>
        <w:rPr>
          <w:spacing w:val="-14"/>
          <w:sz w:val="20"/>
        </w:rPr>
        <w:t> </w:t>
      </w:r>
      <w:r>
        <w:rPr>
          <w:sz w:val="20"/>
        </w:rPr>
        <w:t>responsible</w:t>
      </w:r>
      <w:r>
        <w:rPr>
          <w:spacing w:val="-14"/>
          <w:sz w:val="20"/>
        </w:rPr>
        <w:t> </w:t>
      </w:r>
      <w:r>
        <w:rPr>
          <w:sz w:val="20"/>
        </w:rPr>
        <w:t>in</w:t>
      </w:r>
      <w:r>
        <w:rPr>
          <w:spacing w:val="-15"/>
          <w:sz w:val="20"/>
        </w:rPr>
        <w:t> </w:t>
      </w:r>
      <w:r>
        <w:rPr>
          <w:sz w:val="20"/>
        </w:rPr>
        <w:t>criminal justice systems and the detention of persons based on those declarations, are contrary to article 14 of the</w:t>
      </w:r>
      <w:r>
        <w:rPr>
          <w:spacing w:val="-2"/>
          <w:sz w:val="20"/>
        </w:rPr>
        <w:t> </w:t>
      </w:r>
      <w:r>
        <w:rPr>
          <w:sz w:val="20"/>
        </w:rPr>
        <w:t>Convention.</w:t>
      </w:r>
      <w:hyperlink w:history="true" w:anchor="_bookmark40">
        <w:r>
          <w:rPr>
            <w:position w:val="7"/>
            <w:sz w:val="13"/>
          </w:rPr>
          <w:t>40</w:t>
        </w:r>
      </w:hyperlink>
    </w:p>
    <w:p>
      <w:pPr>
        <w:pStyle w:val="BodyText"/>
        <w:spacing w:before="199"/>
        <w:ind w:left="398"/>
        <w:jc w:val="both"/>
      </w:pPr>
      <w:r>
        <w:rPr/>
        <w:t>Equally, they also violate Article 13 since:</w:t>
      </w:r>
    </w:p>
    <w:p>
      <w:pPr>
        <w:spacing w:before="200"/>
        <w:ind w:left="965" w:right="164" w:firstLine="0"/>
        <w:jc w:val="both"/>
        <w:rPr>
          <w:sz w:val="13"/>
        </w:rPr>
      </w:pPr>
      <w:r>
        <w:rPr>
          <w:sz w:val="20"/>
        </w:rPr>
        <w:t>[i]t deprives the person of his or her right to due process and safeguards that are applicable to every defendant.</w:t>
      </w:r>
      <w:hyperlink w:history="true" w:anchor="_bookmark41">
        <w:r>
          <w:rPr>
            <w:position w:val="7"/>
            <w:sz w:val="13"/>
          </w:rPr>
          <w:t>41</w:t>
        </w:r>
      </w:hyperlink>
    </w:p>
    <w:p>
      <w:pPr>
        <w:pStyle w:val="BodyText"/>
        <w:spacing w:line="237" w:lineRule="auto" w:before="202"/>
        <w:ind w:left="397" w:right="106"/>
        <w:jc w:val="both"/>
        <w:rPr>
          <w:sz w:val="16"/>
        </w:rPr>
      </w:pPr>
      <w:r>
        <w:rPr/>
        <w:t>In</w:t>
      </w:r>
      <w:r>
        <w:rPr>
          <w:spacing w:val="-12"/>
        </w:rPr>
        <w:t> </w:t>
      </w:r>
      <w:r>
        <w:rPr/>
        <w:t>line</w:t>
      </w:r>
      <w:r>
        <w:rPr>
          <w:spacing w:val="-13"/>
        </w:rPr>
        <w:t> </w:t>
      </w:r>
      <w:r>
        <w:rPr/>
        <w:t>with</w:t>
      </w:r>
      <w:r>
        <w:rPr>
          <w:spacing w:val="-13"/>
        </w:rPr>
        <w:t> </w:t>
      </w:r>
      <w:r>
        <w:rPr/>
        <w:t>this</w:t>
      </w:r>
      <w:r>
        <w:rPr>
          <w:spacing w:val="-13"/>
        </w:rPr>
        <w:t> </w:t>
      </w:r>
      <w:r>
        <w:rPr/>
        <w:t>approach,</w:t>
      </w:r>
      <w:r>
        <w:rPr>
          <w:spacing w:val="-12"/>
        </w:rPr>
        <w:t> </w:t>
      </w:r>
      <w:r>
        <w:rPr/>
        <w:t>the</w:t>
      </w:r>
      <w:r>
        <w:rPr>
          <w:spacing w:val="-13"/>
        </w:rPr>
        <w:t> </w:t>
      </w:r>
      <w:r>
        <w:rPr/>
        <w:t>Committee</w:t>
      </w:r>
      <w:r>
        <w:rPr>
          <w:spacing w:val="-13"/>
        </w:rPr>
        <w:t> </w:t>
      </w:r>
      <w:r>
        <w:rPr/>
        <w:t>has</w:t>
      </w:r>
      <w:r>
        <w:rPr>
          <w:spacing w:val="-13"/>
        </w:rPr>
        <w:t> </w:t>
      </w:r>
      <w:r>
        <w:rPr/>
        <w:t>recommended</w:t>
      </w:r>
      <w:r>
        <w:rPr>
          <w:spacing w:val="-12"/>
        </w:rPr>
        <w:t> </w:t>
      </w:r>
      <w:r>
        <w:rPr/>
        <w:t>the</w:t>
      </w:r>
      <w:r>
        <w:rPr>
          <w:spacing w:val="-13"/>
        </w:rPr>
        <w:t> </w:t>
      </w:r>
      <w:r>
        <w:rPr/>
        <w:t>elimination</w:t>
      </w:r>
      <w:r>
        <w:rPr>
          <w:spacing w:val="-13"/>
        </w:rPr>
        <w:t> </w:t>
      </w:r>
      <w:r>
        <w:rPr/>
        <w:t>of</w:t>
      </w:r>
      <w:r>
        <w:rPr>
          <w:spacing w:val="-12"/>
        </w:rPr>
        <w:t> </w:t>
      </w:r>
      <w:r>
        <w:rPr/>
        <w:t>security measures imposed upon persons with disabilities considered </w:t>
      </w:r>
      <w:r>
        <w:rPr>
          <w:i/>
          <w:sz w:val="25"/>
        </w:rPr>
        <w:t>exempt </w:t>
      </w:r>
      <w:r>
        <w:rPr/>
        <w:t>from </w:t>
      </w:r>
      <w:r>
        <w:rPr>
          <w:i/>
          <w:sz w:val="25"/>
        </w:rPr>
        <w:t>criminal liability</w:t>
      </w:r>
      <w:r>
        <w:rPr/>
        <w:t>, including those subject to coercive medical and psychiatric treatment in institutions.</w:t>
      </w:r>
      <w:r>
        <w:rPr>
          <w:spacing w:val="-12"/>
        </w:rPr>
        <w:t> </w:t>
      </w:r>
      <w:r>
        <w:rPr/>
        <w:t>A</w:t>
      </w:r>
      <w:r>
        <w:rPr>
          <w:spacing w:val="-12"/>
        </w:rPr>
        <w:t> </w:t>
      </w:r>
      <w:r>
        <w:rPr/>
        <w:t>special</w:t>
      </w:r>
      <w:r>
        <w:rPr>
          <w:spacing w:val="-12"/>
        </w:rPr>
        <w:t> </w:t>
      </w:r>
      <w:r>
        <w:rPr/>
        <w:t>concern</w:t>
      </w:r>
      <w:r>
        <w:rPr>
          <w:spacing w:val="-12"/>
        </w:rPr>
        <w:t> </w:t>
      </w:r>
      <w:r>
        <w:rPr/>
        <w:t>about</w:t>
      </w:r>
      <w:r>
        <w:rPr>
          <w:spacing w:val="-12"/>
        </w:rPr>
        <w:t> </w:t>
      </w:r>
      <w:r>
        <w:rPr/>
        <w:t>measures</w:t>
      </w:r>
      <w:r>
        <w:rPr>
          <w:spacing w:val="-12"/>
        </w:rPr>
        <w:t> </w:t>
      </w:r>
      <w:r>
        <w:rPr/>
        <w:t>involving</w:t>
      </w:r>
      <w:r>
        <w:rPr>
          <w:spacing w:val="-13"/>
        </w:rPr>
        <w:t> </w:t>
      </w:r>
      <w:r>
        <w:rPr/>
        <w:t>indefinite</w:t>
      </w:r>
      <w:r>
        <w:rPr>
          <w:spacing w:val="-14"/>
        </w:rPr>
        <w:t> </w:t>
      </w:r>
      <w:r>
        <w:rPr/>
        <w:t>deprivation</w:t>
      </w:r>
      <w:r>
        <w:rPr>
          <w:spacing w:val="-13"/>
        </w:rPr>
        <w:t> </w:t>
      </w:r>
      <w:r>
        <w:rPr/>
        <w:t>of</w:t>
      </w:r>
      <w:r>
        <w:rPr>
          <w:spacing w:val="-12"/>
        </w:rPr>
        <w:t> </w:t>
      </w:r>
      <w:r>
        <w:rPr/>
        <w:t>liberty has been also expressed by the CRPD Committee.</w:t>
      </w:r>
      <w:hyperlink w:history="true" w:anchor="_bookmark42">
        <w:r>
          <w:rPr>
            <w:position w:val="8"/>
            <w:sz w:val="16"/>
          </w:rPr>
          <w:t>42 </w:t>
        </w:r>
      </w:hyperlink>
      <w:r>
        <w:rPr/>
        <w:t>These kinds of provisions deprive individuals of a clear determination of their responsibility and relegate persons with psychosocial disabilities to further segregation and marginalization; “as well as to indefinite detention in psychiatric institutions under the harshest conditions and often for extremely long</w:t>
      </w:r>
      <w:r>
        <w:rPr>
          <w:spacing w:val="-1"/>
        </w:rPr>
        <w:t> </w:t>
      </w:r>
      <w:r>
        <w:rPr/>
        <w:t>duration.”</w:t>
      </w:r>
      <w:hyperlink w:history="true" w:anchor="_bookmark43">
        <w:r>
          <w:rPr>
            <w:position w:val="8"/>
            <w:sz w:val="16"/>
          </w:rPr>
          <w:t>43</w:t>
        </w:r>
      </w:hyperlink>
    </w:p>
    <w:p>
      <w:pPr>
        <w:pStyle w:val="BodyText"/>
      </w:pPr>
    </w:p>
    <w:p>
      <w:pPr>
        <w:pStyle w:val="BodyText"/>
        <w:ind w:left="397" w:right="105"/>
        <w:jc w:val="both"/>
      </w:pPr>
      <w:r>
        <w:rPr/>
        <w:t>It is important to clarify that Art 14.1 of the CRPD does not exempt persons with disabilities, including persons with psychosocial disabilities, from general legislation regarding detention or arrest for violations of criminal law or other reasons not linked, directly or indirectly, to the existence of a disability. Paragraph 2 of article 14 requires non-discrimination</w:t>
      </w:r>
      <w:r>
        <w:rPr>
          <w:spacing w:val="-10"/>
        </w:rPr>
        <w:t> </w:t>
      </w:r>
      <w:r>
        <w:rPr/>
        <w:t>when</w:t>
      </w:r>
      <w:r>
        <w:rPr>
          <w:spacing w:val="-10"/>
        </w:rPr>
        <w:t> </w:t>
      </w:r>
      <w:r>
        <w:rPr/>
        <w:t>persons</w:t>
      </w:r>
      <w:r>
        <w:rPr>
          <w:spacing w:val="-9"/>
        </w:rPr>
        <w:t> </w:t>
      </w:r>
      <w:r>
        <w:rPr/>
        <w:t>with</w:t>
      </w:r>
      <w:r>
        <w:rPr>
          <w:spacing w:val="-10"/>
        </w:rPr>
        <w:t> </w:t>
      </w:r>
      <w:r>
        <w:rPr/>
        <w:t>disabilities</w:t>
      </w:r>
      <w:r>
        <w:rPr>
          <w:spacing w:val="-9"/>
        </w:rPr>
        <w:t> </w:t>
      </w:r>
      <w:r>
        <w:rPr/>
        <w:t>are</w:t>
      </w:r>
      <w:r>
        <w:rPr>
          <w:spacing w:val="-10"/>
        </w:rPr>
        <w:t> </w:t>
      </w:r>
      <w:r>
        <w:rPr/>
        <w:t>subjected</w:t>
      </w:r>
      <w:r>
        <w:rPr>
          <w:spacing w:val="-8"/>
        </w:rPr>
        <w:t> </w:t>
      </w:r>
      <w:r>
        <w:rPr/>
        <w:t>to</w:t>
      </w:r>
      <w:r>
        <w:rPr>
          <w:spacing w:val="-8"/>
        </w:rPr>
        <w:t> </w:t>
      </w:r>
      <w:r>
        <w:rPr/>
        <w:t>lawful</w:t>
      </w:r>
      <w:r>
        <w:rPr>
          <w:spacing w:val="-10"/>
        </w:rPr>
        <w:t> </w:t>
      </w:r>
      <w:r>
        <w:rPr/>
        <w:t>deprivation</w:t>
      </w:r>
      <w:r>
        <w:rPr>
          <w:spacing w:val="-11"/>
        </w:rPr>
        <w:t> </w:t>
      </w:r>
      <w:r>
        <w:rPr/>
        <w:t>of liberty, setting out the obligation to ensure that they</w:t>
      </w:r>
      <w:r>
        <w:rPr>
          <w:spacing w:val="-5"/>
        </w:rPr>
        <w:t> </w:t>
      </w:r>
      <w:r>
        <w:rPr/>
        <w:t>are:</w:t>
      </w:r>
    </w:p>
    <w:p>
      <w:pPr>
        <w:spacing w:before="200"/>
        <w:ind w:left="965" w:right="163" w:firstLine="0"/>
        <w:jc w:val="both"/>
        <w:rPr>
          <w:sz w:val="20"/>
        </w:rPr>
      </w:pPr>
      <w:r>
        <w:rPr>
          <w:sz w:val="20"/>
        </w:rPr>
        <w:t>[o]n an equal basis with others, entitled to guarantees in accordance with international human rights</w:t>
      </w:r>
      <w:r>
        <w:rPr>
          <w:spacing w:val="-13"/>
          <w:sz w:val="20"/>
        </w:rPr>
        <w:t> </w:t>
      </w:r>
      <w:r>
        <w:rPr>
          <w:sz w:val="20"/>
        </w:rPr>
        <w:t>law</w:t>
      </w:r>
      <w:r>
        <w:rPr>
          <w:spacing w:val="-13"/>
          <w:sz w:val="20"/>
        </w:rPr>
        <w:t> </w:t>
      </w:r>
      <w:r>
        <w:rPr>
          <w:sz w:val="20"/>
        </w:rPr>
        <w:t>and</w:t>
      </w:r>
      <w:r>
        <w:rPr>
          <w:spacing w:val="-15"/>
          <w:sz w:val="20"/>
        </w:rPr>
        <w:t> </w:t>
      </w:r>
      <w:r>
        <w:rPr>
          <w:sz w:val="20"/>
        </w:rPr>
        <w:t>shall</w:t>
      </w:r>
      <w:r>
        <w:rPr>
          <w:spacing w:val="-13"/>
          <w:sz w:val="20"/>
        </w:rPr>
        <w:t> </w:t>
      </w:r>
      <w:r>
        <w:rPr>
          <w:sz w:val="20"/>
        </w:rPr>
        <w:t>be</w:t>
      </w:r>
      <w:r>
        <w:rPr>
          <w:spacing w:val="-13"/>
          <w:sz w:val="20"/>
        </w:rPr>
        <w:t> </w:t>
      </w:r>
      <w:r>
        <w:rPr>
          <w:sz w:val="20"/>
        </w:rPr>
        <w:t>treated</w:t>
      </w:r>
      <w:r>
        <w:rPr>
          <w:spacing w:val="-14"/>
          <w:sz w:val="20"/>
        </w:rPr>
        <w:t> </w:t>
      </w:r>
      <w:r>
        <w:rPr>
          <w:sz w:val="20"/>
        </w:rPr>
        <w:t>in</w:t>
      </w:r>
      <w:r>
        <w:rPr>
          <w:spacing w:val="-14"/>
          <w:sz w:val="20"/>
        </w:rPr>
        <w:t> </w:t>
      </w:r>
      <w:r>
        <w:rPr>
          <w:sz w:val="20"/>
        </w:rPr>
        <w:t>compliance</w:t>
      </w:r>
      <w:r>
        <w:rPr>
          <w:spacing w:val="-13"/>
          <w:sz w:val="20"/>
        </w:rPr>
        <w:t> </w:t>
      </w:r>
      <w:r>
        <w:rPr>
          <w:sz w:val="20"/>
        </w:rPr>
        <w:t>with</w:t>
      </w:r>
      <w:r>
        <w:rPr>
          <w:spacing w:val="-14"/>
          <w:sz w:val="20"/>
        </w:rPr>
        <w:t> </w:t>
      </w:r>
      <w:r>
        <w:rPr>
          <w:sz w:val="20"/>
        </w:rPr>
        <w:t>the</w:t>
      </w:r>
      <w:r>
        <w:rPr>
          <w:spacing w:val="-14"/>
          <w:sz w:val="20"/>
        </w:rPr>
        <w:t> </w:t>
      </w:r>
      <w:r>
        <w:rPr>
          <w:sz w:val="20"/>
        </w:rPr>
        <w:t>objectives</w:t>
      </w:r>
      <w:r>
        <w:rPr>
          <w:spacing w:val="-13"/>
          <w:sz w:val="20"/>
        </w:rPr>
        <w:t> </w:t>
      </w:r>
      <w:r>
        <w:rPr>
          <w:sz w:val="20"/>
        </w:rPr>
        <w:t>and</w:t>
      </w:r>
      <w:r>
        <w:rPr>
          <w:spacing w:val="-14"/>
          <w:sz w:val="20"/>
        </w:rPr>
        <w:t> </w:t>
      </w:r>
      <w:r>
        <w:rPr>
          <w:sz w:val="20"/>
        </w:rPr>
        <w:t>principles</w:t>
      </w:r>
      <w:r>
        <w:rPr>
          <w:spacing w:val="-13"/>
          <w:sz w:val="20"/>
        </w:rPr>
        <w:t> </w:t>
      </w:r>
      <w:r>
        <w:rPr>
          <w:sz w:val="20"/>
        </w:rPr>
        <w:t>of</w:t>
      </w:r>
      <w:r>
        <w:rPr>
          <w:spacing w:val="-14"/>
          <w:sz w:val="20"/>
        </w:rPr>
        <w:t> </w:t>
      </w:r>
      <w:r>
        <w:rPr>
          <w:sz w:val="20"/>
        </w:rPr>
        <w:t>this</w:t>
      </w:r>
      <w:r>
        <w:rPr>
          <w:spacing w:val="-13"/>
          <w:sz w:val="20"/>
        </w:rPr>
        <w:t> </w:t>
      </w:r>
      <w:r>
        <w:rPr>
          <w:sz w:val="20"/>
        </w:rPr>
        <w:t>Convention, including by provision of reasonable</w:t>
      </w:r>
      <w:r>
        <w:rPr>
          <w:spacing w:val="-7"/>
          <w:sz w:val="20"/>
        </w:rPr>
        <w:t> </w:t>
      </w:r>
      <w:r>
        <w:rPr>
          <w:sz w:val="20"/>
        </w:rPr>
        <w:t>accommodation.</w:t>
      </w:r>
    </w:p>
    <w:p>
      <w:pPr>
        <w:pStyle w:val="BodyText"/>
      </w:pPr>
    </w:p>
    <w:p>
      <w:pPr>
        <w:pStyle w:val="BodyText"/>
        <w:spacing w:before="9"/>
        <w:rPr>
          <w:sz w:val="19"/>
        </w:rPr>
      </w:pPr>
    </w:p>
    <w:p>
      <w:pPr>
        <w:spacing w:before="0"/>
        <w:ind w:left="449" w:right="0" w:hanging="229"/>
        <w:jc w:val="left"/>
        <w:rPr>
          <w:sz w:val="20"/>
        </w:rPr>
      </w:pPr>
      <w:bookmarkStart w:name="_bookmark39" w:id="41"/>
      <w:bookmarkEnd w:id="41"/>
      <w:r>
        <w:rPr/>
      </w:r>
      <w:r>
        <w:rPr>
          <w:position w:val="7"/>
          <w:sz w:val="13"/>
        </w:rPr>
        <w:t>39</w:t>
      </w:r>
      <w:r>
        <w:rPr>
          <w:spacing w:val="-8"/>
          <w:position w:val="7"/>
          <w:sz w:val="13"/>
        </w:rPr>
        <w:t> </w:t>
      </w:r>
      <w:r>
        <w:rPr>
          <w:sz w:val="20"/>
        </w:rPr>
        <w:t>Cuenca</w:t>
      </w:r>
      <w:r>
        <w:rPr>
          <w:spacing w:val="-18"/>
          <w:sz w:val="20"/>
        </w:rPr>
        <w:t> </w:t>
      </w:r>
      <w:r>
        <w:rPr>
          <w:sz w:val="20"/>
        </w:rPr>
        <w:t>Gómez,</w:t>
      </w:r>
      <w:r>
        <w:rPr>
          <w:spacing w:val="-18"/>
          <w:sz w:val="20"/>
        </w:rPr>
        <w:t> </w:t>
      </w:r>
      <w:r>
        <w:rPr>
          <w:sz w:val="20"/>
        </w:rPr>
        <w:t>P.,</w:t>
      </w:r>
      <w:r>
        <w:rPr>
          <w:spacing w:val="-19"/>
          <w:sz w:val="20"/>
        </w:rPr>
        <w:t> </w:t>
      </w:r>
      <w:r>
        <w:rPr>
          <w:sz w:val="20"/>
        </w:rPr>
        <w:t>“Discapacidad</w:t>
      </w:r>
      <w:r>
        <w:rPr>
          <w:spacing w:val="-18"/>
          <w:sz w:val="20"/>
        </w:rPr>
        <w:t> </w:t>
      </w:r>
      <w:r>
        <w:rPr>
          <w:sz w:val="20"/>
        </w:rPr>
        <w:t>y</w:t>
      </w:r>
      <w:r>
        <w:rPr>
          <w:spacing w:val="-18"/>
          <w:sz w:val="20"/>
        </w:rPr>
        <w:t> </w:t>
      </w:r>
      <w:r>
        <w:rPr>
          <w:sz w:val="20"/>
        </w:rPr>
        <w:t>privación</w:t>
      </w:r>
      <w:r>
        <w:rPr>
          <w:spacing w:val="-18"/>
          <w:sz w:val="20"/>
        </w:rPr>
        <w:t> </w:t>
      </w:r>
      <w:r>
        <w:rPr>
          <w:sz w:val="20"/>
        </w:rPr>
        <w:t>de</w:t>
      </w:r>
      <w:r>
        <w:rPr>
          <w:spacing w:val="-18"/>
          <w:sz w:val="20"/>
        </w:rPr>
        <w:t> </w:t>
      </w:r>
      <w:r>
        <w:rPr>
          <w:sz w:val="20"/>
        </w:rPr>
        <w:t>la</w:t>
      </w:r>
      <w:r>
        <w:rPr>
          <w:spacing w:val="-19"/>
          <w:sz w:val="20"/>
        </w:rPr>
        <w:t> </w:t>
      </w:r>
      <w:r>
        <w:rPr>
          <w:sz w:val="20"/>
        </w:rPr>
        <w:t>libertad”,</w:t>
      </w:r>
      <w:r>
        <w:rPr>
          <w:spacing w:val="-17"/>
          <w:sz w:val="20"/>
        </w:rPr>
        <w:t> </w:t>
      </w:r>
      <w:r>
        <w:rPr>
          <w:i/>
          <w:sz w:val="21"/>
        </w:rPr>
        <w:t>Derechos</w:t>
      </w:r>
      <w:r>
        <w:rPr>
          <w:i/>
          <w:spacing w:val="-21"/>
          <w:sz w:val="21"/>
        </w:rPr>
        <w:t> </w:t>
      </w:r>
      <w:r>
        <w:rPr>
          <w:i/>
          <w:sz w:val="21"/>
        </w:rPr>
        <w:t>y</w:t>
      </w:r>
      <w:r>
        <w:rPr>
          <w:i/>
          <w:spacing w:val="-22"/>
          <w:sz w:val="21"/>
        </w:rPr>
        <w:t> </w:t>
      </w:r>
      <w:r>
        <w:rPr>
          <w:i/>
          <w:sz w:val="21"/>
        </w:rPr>
        <w:t>libertades</w:t>
      </w:r>
      <w:r>
        <w:rPr>
          <w:sz w:val="20"/>
        </w:rPr>
        <w:t>,</w:t>
      </w:r>
      <w:r>
        <w:rPr>
          <w:spacing w:val="-19"/>
          <w:sz w:val="20"/>
        </w:rPr>
        <w:t> </w:t>
      </w:r>
      <w:r>
        <w:rPr>
          <w:sz w:val="20"/>
        </w:rPr>
        <w:t>32,</w:t>
      </w:r>
      <w:r>
        <w:rPr>
          <w:spacing w:val="-19"/>
          <w:sz w:val="20"/>
        </w:rPr>
        <w:t> </w:t>
      </w:r>
      <w:r>
        <w:rPr>
          <w:sz w:val="20"/>
        </w:rPr>
        <w:t>2015,</w:t>
      </w:r>
      <w:r>
        <w:rPr>
          <w:spacing w:val="-19"/>
          <w:sz w:val="20"/>
        </w:rPr>
        <w:t> </w:t>
      </w:r>
      <w:r>
        <w:rPr>
          <w:sz w:val="20"/>
        </w:rPr>
        <w:t>[163–203] see </w:t>
      </w:r>
      <w:r>
        <w:rPr>
          <w:rFonts w:ascii="Calibri" w:hAnsi="Calibri"/>
          <w:sz w:val="22"/>
        </w:rPr>
        <w:t>– </w:t>
      </w:r>
      <w:r>
        <w:rPr>
          <w:sz w:val="20"/>
        </w:rPr>
        <w:t>[192]; and Flynn, E., “Disability, Deprivation of</w:t>
      </w:r>
      <w:r>
        <w:rPr>
          <w:spacing w:val="-45"/>
          <w:sz w:val="20"/>
        </w:rPr>
        <w:t> </w:t>
      </w:r>
      <w:r>
        <w:rPr>
          <w:sz w:val="20"/>
        </w:rPr>
        <w:t>Liberty and Human Rights Norms”, [85], [100].</w:t>
      </w:r>
    </w:p>
    <w:p>
      <w:pPr>
        <w:spacing w:line="240" w:lineRule="exact" w:before="0"/>
        <w:ind w:left="221" w:right="0" w:firstLine="0"/>
        <w:jc w:val="left"/>
        <w:rPr>
          <w:sz w:val="20"/>
        </w:rPr>
      </w:pPr>
      <w:bookmarkStart w:name="_bookmark40" w:id="42"/>
      <w:bookmarkEnd w:id="42"/>
      <w:r>
        <w:rPr/>
      </w:r>
      <w:r>
        <w:rPr>
          <w:position w:val="7"/>
          <w:sz w:val="13"/>
        </w:rPr>
        <w:t>40 </w:t>
      </w:r>
      <w:r>
        <w:rPr>
          <w:sz w:val="20"/>
        </w:rPr>
        <w:t>CRPD Committee, </w:t>
      </w:r>
      <w:r>
        <w:rPr>
          <w:i/>
          <w:sz w:val="21"/>
        </w:rPr>
        <w:t>Guidelines on Article 14</w:t>
      </w:r>
      <w:r>
        <w:rPr>
          <w:sz w:val="20"/>
        </w:rPr>
        <w:t>, para (16).</w:t>
      </w:r>
    </w:p>
    <w:p>
      <w:pPr>
        <w:spacing w:line="240" w:lineRule="exact" w:before="0"/>
        <w:ind w:left="221" w:right="0" w:firstLine="0"/>
        <w:jc w:val="left"/>
        <w:rPr>
          <w:sz w:val="20"/>
        </w:rPr>
      </w:pPr>
      <w:bookmarkStart w:name="_bookmark41" w:id="43"/>
      <w:bookmarkEnd w:id="43"/>
      <w:r>
        <w:rPr/>
      </w:r>
      <w:r>
        <w:rPr>
          <w:position w:val="7"/>
          <w:sz w:val="13"/>
        </w:rPr>
        <w:t>41 </w:t>
      </w:r>
      <w:r>
        <w:rPr>
          <w:sz w:val="20"/>
        </w:rPr>
        <w:t>Ibid.</w:t>
      </w:r>
    </w:p>
    <w:p>
      <w:pPr>
        <w:spacing w:line="230" w:lineRule="auto" w:before="8"/>
        <w:ind w:left="392" w:right="0" w:hanging="165"/>
        <w:jc w:val="left"/>
        <w:rPr>
          <w:sz w:val="20"/>
        </w:rPr>
      </w:pPr>
      <w:bookmarkStart w:name="_bookmark42" w:id="44"/>
      <w:bookmarkEnd w:id="44"/>
      <w:r>
        <w:rPr/>
      </w:r>
      <w:r>
        <w:rPr>
          <w:position w:val="7"/>
          <w:sz w:val="13"/>
        </w:rPr>
        <w:t>42</w:t>
      </w:r>
      <w:r>
        <w:rPr>
          <w:spacing w:val="-8"/>
          <w:position w:val="7"/>
          <w:sz w:val="13"/>
        </w:rPr>
        <w:t> </w:t>
      </w:r>
      <w:r>
        <w:rPr>
          <w:sz w:val="20"/>
        </w:rPr>
        <w:t>Ibid,</w:t>
      </w:r>
      <w:r>
        <w:rPr>
          <w:spacing w:val="-8"/>
          <w:sz w:val="20"/>
        </w:rPr>
        <w:t> </w:t>
      </w:r>
      <w:r>
        <w:rPr>
          <w:sz w:val="20"/>
        </w:rPr>
        <w:t>para</w:t>
      </w:r>
      <w:r>
        <w:rPr>
          <w:spacing w:val="-9"/>
          <w:sz w:val="20"/>
        </w:rPr>
        <w:t> </w:t>
      </w:r>
      <w:r>
        <w:rPr>
          <w:sz w:val="20"/>
        </w:rPr>
        <w:t>(20).</w:t>
      </w:r>
      <w:r>
        <w:rPr>
          <w:spacing w:val="-7"/>
          <w:sz w:val="20"/>
        </w:rPr>
        <w:t> </w:t>
      </w:r>
      <w:r>
        <w:rPr>
          <w:sz w:val="20"/>
        </w:rPr>
        <w:t>See</w:t>
      </w:r>
      <w:r>
        <w:rPr>
          <w:spacing w:val="-9"/>
          <w:sz w:val="20"/>
        </w:rPr>
        <w:t> </w:t>
      </w:r>
      <w:r>
        <w:rPr>
          <w:sz w:val="20"/>
        </w:rPr>
        <w:t>also</w:t>
      </w:r>
      <w:r>
        <w:rPr>
          <w:spacing w:val="-13"/>
          <w:sz w:val="20"/>
        </w:rPr>
        <w:t> </w:t>
      </w:r>
      <w:r>
        <w:rPr>
          <w:rFonts w:ascii="Calibri" w:hAnsi="Calibri"/>
          <w:sz w:val="22"/>
        </w:rPr>
        <w:t>––</w:t>
      </w:r>
      <w:r>
        <w:rPr>
          <w:rFonts w:ascii="Calibri" w:hAnsi="Calibri"/>
          <w:spacing w:val="-8"/>
          <w:sz w:val="22"/>
        </w:rPr>
        <w:t> </w:t>
      </w:r>
      <w:r>
        <w:rPr>
          <w:sz w:val="20"/>
        </w:rPr>
        <w:t>UN</w:t>
      </w:r>
      <w:r>
        <w:rPr>
          <w:spacing w:val="-8"/>
          <w:sz w:val="20"/>
        </w:rPr>
        <w:t> </w:t>
      </w:r>
      <w:r>
        <w:rPr>
          <w:sz w:val="20"/>
        </w:rPr>
        <w:t>Special</w:t>
      </w:r>
      <w:r>
        <w:rPr>
          <w:spacing w:val="-9"/>
          <w:sz w:val="20"/>
        </w:rPr>
        <w:t> </w:t>
      </w:r>
      <w:r>
        <w:rPr>
          <w:sz w:val="20"/>
        </w:rPr>
        <w:t>Rapporteur</w:t>
      </w:r>
      <w:r>
        <w:rPr>
          <w:spacing w:val="-9"/>
          <w:sz w:val="20"/>
        </w:rPr>
        <w:t> </w:t>
      </w:r>
      <w:r>
        <w:rPr>
          <w:sz w:val="20"/>
        </w:rPr>
        <w:t>on</w:t>
      </w:r>
      <w:r>
        <w:rPr>
          <w:spacing w:val="-8"/>
          <w:sz w:val="20"/>
        </w:rPr>
        <w:t> </w:t>
      </w:r>
      <w:r>
        <w:rPr>
          <w:sz w:val="20"/>
        </w:rPr>
        <w:t>Disability,</w:t>
      </w:r>
      <w:r>
        <w:rPr>
          <w:spacing w:val="-8"/>
          <w:sz w:val="20"/>
        </w:rPr>
        <w:t> </w:t>
      </w:r>
      <w:r>
        <w:rPr>
          <w:i/>
          <w:sz w:val="21"/>
        </w:rPr>
        <w:t>Urgent</w:t>
      </w:r>
      <w:r>
        <w:rPr>
          <w:i/>
          <w:spacing w:val="-11"/>
          <w:sz w:val="21"/>
        </w:rPr>
        <w:t> </w:t>
      </w:r>
      <w:r>
        <w:rPr>
          <w:i/>
          <w:sz w:val="21"/>
        </w:rPr>
        <w:t>Request</w:t>
      </w:r>
      <w:r>
        <w:rPr>
          <w:i/>
          <w:spacing w:val="-11"/>
          <w:sz w:val="21"/>
        </w:rPr>
        <w:t> </w:t>
      </w:r>
      <w:r>
        <w:rPr>
          <w:i/>
          <w:sz w:val="21"/>
        </w:rPr>
        <w:t>to</w:t>
      </w:r>
      <w:r>
        <w:rPr>
          <w:i/>
          <w:spacing w:val="-12"/>
          <w:sz w:val="21"/>
        </w:rPr>
        <w:t> </w:t>
      </w:r>
      <w:r>
        <w:rPr>
          <w:i/>
          <w:sz w:val="21"/>
        </w:rPr>
        <w:t>Amend</w:t>
      </w:r>
      <w:r>
        <w:rPr>
          <w:i/>
          <w:spacing w:val="-13"/>
          <w:sz w:val="21"/>
        </w:rPr>
        <w:t> </w:t>
      </w:r>
      <w:r>
        <w:rPr>
          <w:i/>
          <w:sz w:val="21"/>
        </w:rPr>
        <w:t>the</w:t>
      </w:r>
      <w:r>
        <w:rPr>
          <w:i/>
          <w:spacing w:val="-11"/>
          <w:sz w:val="21"/>
        </w:rPr>
        <w:t> </w:t>
      </w:r>
      <w:r>
        <w:rPr>
          <w:i/>
          <w:sz w:val="21"/>
        </w:rPr>
        <w:t>Human Rights</w:t>
      </w:r>
      <w:r>
        <w:rPr>
          <w:i/>
          <w:spacing w:val="-8"/>
          <w:sz w:val="21"/>
        </w:rPr>
        <w:t> </w:t>
      </w:r>
      <w:r>
        <w:rPr>
          <w:i/>
          <w:sz w:val="21"/>
        </w:rPr>
        <w:t>Committee’s</w:t>
      </w:r>
      <w:r>
        <w:rPr>
          <w:i/>
          <w:spacing w:val="-8"/>
          <w:sz w:val="21"/>
        </w:rPr>
        <w:t> </w:t>
      </w:r>
      <w:r>
        <w:rPr>
          <w:i/>
          <w:sz w:val="21"/>
        </w:rPr>
        <w:t>Draft</w:t>
      </w:r>
      <w:r>
        <w:rPr>
          <w:i/>
          <w:spacing w:val="-9"/>
          <w:sz w:val="21"/>
        </w:rPr>
        <w:t> </w:t>
      </w:r>
      <w:r>
        <w:rPr>
          <w:i/>
          <w:sz w:val="21"/>
        </w:rPr>
        <w:t>Version</w:t>
      </w:r>
      <w:r>
        <w:rPr>
          <w:i/>
          <w:spacing w:val="-9"/>
          <w:sz w:val="21"/>
        </w:rPr>
        <w:t> </w:t>
      </w:r>
      <w:r>
        <w:rPr>
          <w:i/>
          <w:sz w:val="21"/>
        </w:rPr>
        <w:t>of</w:t>
      </w:r>
      <w:r>
        <w:rPr>
          <w:i/>
          <w:spacing w:val="-8"/>
          <w:sz w:val="21"/>
        </w:rPr>
        <w:t> </w:t>
      </w:r>
      <w:r>
        <w:rPr>
          <w:i/>
          <w:sz w:val="21"/>
        </w:rPr>
        <w:t>General</w:t>
      </w:r>
      <w:r>
        <w:rPr>
          <w:i/>
          <w:spacing w:val="-8"/>
          <w:sz w:val="21"/>
        </w:rPr>
        <w:t> </w:t>
      </w:r>
      <w:r>
        <w:rPr>
          <w:i/>
          <w:sz w:val="21"/>
        </w:rPr>
        <w:t>Comment</w:t>
      </w:r>
      <w:r>
        <w:rPr>
          <w:i/>
          <w:spacing w:val="-8"/>
          <w:sz w:val="21"/>
        </w:rPr>
        <w:t> </w:t>
      </w:r>
      <w:r>
        <w:rPr>
          <w:i/>
          <w:sz w:val="21"/>
        </w:rPr>
        <w:t>No.</w:t>
      </w:r>
      <w:r>
        <w:rPr>
          <w:i/>
          <w:spacing w:val="-8"/>
          <w:sz w:val="21"/>
        </w:rPr>
        <w:t> </w:t>
      </w:r>
      <w:r>
        <w:rPr>
          <w:i/>
          <w:sz w:val="21"/>
        </w:rPr>
        <w:t>35</w:t>
      </w:r>
      <w:r>
        <w:rPr>
          <w:sz w:val="20"/>
        </w:rPr>
        <w:t>.</w:t>
      </w:r>
    </w:p>
    <w:p>
      <w:pPr>
        <w:spacing w:line="244" w:lineRule="exact" w:before="0"/>
        <w:ind w:left="221" w:right="0" w:firstLine="0"/>
        <w:jc w:val="left"/>
        <w:rPr>
          <w:sz w:val="20"/>
        </w:rPr>
      </w:pPr>
      <w:bookmarkStart w:name="_bookmark43" w:id="45"/>
      <w:bookmarkEnd w:id="45"/>
      <w:r>
        <w:rPr/>
      </w:r>
      <w:r>
        <w:rPr>
          <w:position w:val="7"/>
          <w:sz w:val="13"/>
        </w:rPr>
        <w:t>43 </w:t>
      </w:r>
      <w:r>
        <w:rPr>
          <w:sz w:val="20"/>
        </w:rPr>
        <w:t>Minkowitz, T., </w:t>
      </w:r>
      <w:r>
        <w:rPr>
          <w:i/>
          <w:sz w:val="21"/>
        </w:rPr>
        <w:t>Why Mental Health Laws Contravene the CRPD</w:t>
      </w:r>
      <w:r>
        <w:rPr>
          <w:sz w:val="20"/>
        </w:rPr>
        <w:t>, cited at above, n 5.</w:t>
      </w:r>
    </w:p>
    <w:p>
      <w:pPr>
        <w:spacing w:after="0" w:line="244" w:lineRule="exact"/>
        <w:jc w:val="left"/>
        <w:rPr>
          <w:sz w:val="20"/>
        </w:rPr>
        <w:sectPr>
          <w:pgSz w:w="11910" w:h="16840"/>
          <w:pgMar w:header="0" w:footer="523" w:top="1320" w:bottom="720" w:left="940" w:right="1320"/>
        </w:sectPr>
      </w:pPr>
    </w:p>
    <w:p>
      <w:pPr>
        <w:pStyle w:val="BodyText"/>
        <w:spacing w:before="82"/>
        <w:ind w:left="397" w:right="105"/>
        <w:jc w:val="both"/>
      </w:pPr>
      <w:r>
        <w:rPr/>
        <w:t>Regarding</w:t>
      </w:r>
      <w:r>
        <w:rPr>
          <w:spacing w:val="-13"/>
        </w:rPr>
        <w:t> </w:t>
      </w:r>
      <w:r>
        <w:rPr/>
        <w:t>guarantees</w:t>
      </w:r>
      <w:r>
        <w:rPr>
          <w:spacing w:val="-12"/>
        </w:rPr>
        <w:t> </w:t>
      </w:r>
      <w:r>
        <w:rPr/>
        <w:t>of</w:t>
      </w:r>
      <w:r>
        <w:rPr>
          <w:spacing w:val="-12"/>
        </w:rPr>
        <w:t> </w:t>
      </w:r>
      <w:r>
        <w:rPr/>
        <w:t>international</w:t>
      </w:r>
      <w:r>
        <w:rPr>
          <w:spacing w:val="-12"/>
        </w:rPr>
        <w:t> </w:t>
      </w:r>
      <w:r>
        <w:rPr/>
        <w:t>human</w:t>
      </w:r>
      <w:r>
        <w:rPr>
          <w:spacing w:val="-11"/>
        </w:rPr>
        <w:t> </w:t>
      </w:r>
      <w:r>
        <w:rPr/>
        <w:t>rights</w:t>
      </w:r>
      <w:r>
        <w:rPr>
          <w:spacing w:val="-12"/>
        </w:rPr>
        <w:t> </w:t>
      </w:r>
      <w:r>
        <w:rPr/>
        <w:t>law,</w:t>
      </w:r>
      <w:r>
        <w:rPr>
          <w:spacing w:val="-12"/>
        </w:rPr>
        <w:t> </w:t>
      </w:r>
      <w:r>
        <w:rPr/>
        <w:t>it</w:t>
      </w:r>
      <w:r>
        <w:rPr>
          <w:spacing w:val="-12"/>
        </w:rPr>
        <w:t> </w:t>
      </w:r>
      <w:r>
        <w:rPr/>
        <w:t>is</w:t>
      </w:r>
      <w:r>
        <w:rPr>
          <w:spacing w:val="-13"/>
        </w:rPr>
        <w:t> </w:t>
      </w:r>
      <w:r>
        <w:rPr/>
        <w:t>important</w:t>
      </w:r>
      <w:r>
        <w:rPr>
          <w:spacing w:val="-12"/>
        </w:rPr>
        <w:t> </w:t>
      </w:r>
      <w:r>
        <w:rPr/>
        <w:t>to</w:t>
      </w:r>
      <w:r>
        <w:rPr>
          <w:spacing w:val="-12"/>
        </w:rPr>
        <w:t> </w:t>
      </w:r>
      <w:r>
        <w:rPr/>
        <w:t>note</w:t>
      </w:r>
      <w:r>
        <w:rPr>
          <w:spacing w:val="-12"/>
        </w:rPr>
        <w:t> </w:t>
      </w:r>
      <w:r>
        <w:rPr/>
        <w:t>the</w:t>
      </w:r>
      <w:r>
        <w:rPr>
          <w:spacing w:val="-12"/>
        </w:rPr>
        <w:t> </w:t>
      </w:r>
      <w:r>
        <w:rPr/>
        <w:t>lack of specific attention paid by the general international instruments to the rights of persons deprived of liberty who have psychosocial disabilities. Moreover, disability is not</w:t>
      </w:r>
      <w:r>
        <w:rPr>
          <w:spacing w:val="-9"/>
        </w:rPr>
        <w:t> </w:t>
      </w:r>
      <w:r>
        <w:rPr/>
        <w:t>explicitly</w:t>
      </w:r>
      <w:r>
        <w:rPr>
          <w:spacing w:val="-7"/>
        </w:rPr>
        <w:t> </w:t>
      </w:r>
      <w:r>
        <w:rPr/>
        <w:t>considered</w:t>
      </w:r>
      <w:r>
        <w:rPr>
          <w:spacing w:val="-7"/>
        </w:rPr>
        <w:t> </w:t>
      </w:r>
      <w:r>
        <w:rPr/>
        <w:t>a</w:t>
      </w:r>
      <w:r>
        <w:rPr>
          <w:spacing w:val="-9"/>
        </w:rPr>
        <w:t> </w:t>
      </w:r>
      <w:r>
        <w:rPr/>
        <w:t>prohibited</w:t>
      </w:r>
      <w:r>
        <w:rPr>
          <w:spacing w:val="-7"/>
        </w:rPr>
        <w:t> </w:t>
      </w:r>
      <w:r>
        <w:rPr/>
        <w:t>ground</w:t>
      </w:r>
      <w:r>
        <w:rPr>
          <w:spacing w:val="-8"/>
        </w:rPr>
        <w:t> </w:t>
      </w:r>
      <w:r>
        <w:rPr/>
        <w:t>for</w:t>
      </w:r>
      <w:r>
        <w:rPr>
          <w:spacing w:val="-8"/>
        </w:rPr>
        <w:t> </w:t>
      </w:r>
      <w:r>
        <w:rPr/>
        <w:t>discrimination</w:t>
      </w:r>
      <w:r>
        <w:rPr>
          <w:spacing w:val="-8"/>
        </w:rPr>
        <w:t> </w:t>
      </w:r>
      <w:r>
        <w:rPr/>
        <w:t>in</w:t>
      </w:r>
      <w:r>
        <w:rPr>
          <w:spacing w:val="-7"/>
        </w:rPr>
        <w:t> </w:t>
      </w:r>
      <w:r>
        <w:rPr/>
        <w:t>these</w:t>
      </w:r>
      <w:r>
        <w:rPr>
          <w:spacing w:val="-8"/>
        </w:rPr>
        <w:t> </w:t>
      </w:r>
      <w:r>
        <w:rPr/>
        <w:t>general</w:t>
      </w:r>
      <w:r>
        <w:rPr>
          <w:spacing w:val="-9"/>
        </w:rPr>
        <w:t> </w:t>
      </w:r>
      <w:r>
        <w:rPr/>
        <w:t>human rights</w:t>
      </w:r>
      <w:r>
        <w:rPr>
          <w:spacing w:val="-2"/>
        </w:rPr>
        <w:t> </w:t>
      </w:r>
      <w:r>
        <w:rPr/>
        <w:t>instruments.</w:t>
      </w:r>
    </w:p>
    <w:p>
      <w:pPr>
        <w:pStyle w:val="BodyText"/>
        <w:spacing w:before="11"/>
        <w:rPr>
          <w:sz w:val="23"/>
        </w:rPr>
      </w:pPr>
    </w:p>
    <w:p>
      <w:pPr>
        <w:pStyle w:val="BodyText"/>
        <w:spacing w:before="1"/>
        <w:ind w:left="397" w:right="107"/>
        <w:jc w:val="both"/>
        <w:rPr>
          <w:sz w:val="16"/>
        </w:rPr>
      </w:pPr>
      <w:r>
        <w:rPr/>
        <w:t>The revised Standard Minimum Rules on the Treatment of Prisoners</w:t>
      </w:r>
      <w:hyperlink w:history="true" w:anchor="_bookmark44">
        <w:r>
          <w:rPr>
            <w:position w:val="8"/>
            <w:sz w:val="16"/>
          </w:rPr>
          <w:t>44 </w:t>
        </w:r>
      </w:hyperlink>
      <w:r>
        <w:rPr/>
        <w:t>(adopted by the UN</w:t>
      </w:r>
      <w:r>
        <w:rPr>
          <w:spacing w:val="-13"/>
        </w:rPr>
        <w:t> </w:t>
      </w:r>
      <w:r>
        <w:rPr/>
        <w:t>General</w:t>
      </w:r>
      <w:r>
        <w:rPr>
          <w:spacing w:val="-12"/>
        </w:rPr>
        <w:t> </w:t>
      </w:r>
      <w:r>
        <w:rPr/>
        <w:t>Assembly</w:t>
      </w:r>
      <w:r>
        <w:rPr>
          <w:spacing w:val="-13"/>
        </w:rPr>
        <w:t> </w:t>
      </w:r>
      <w:r>
        <w:rPr/>
        <w:t>in</w:t>
      </w:r>
      <w:r>
        <w:rPr>
          <w:spacing w:val="-12"/>
        </w:rPr>
        <w:t> </w:t>
      </w:r>
      <w:r>
        <w:rPr/>
        <w:t>2015</w:t>
      </w:r>
      <w:hyperlink w:history="true" w:anchor="_bookmark45">
        <w:r>
          <w:rPr>
            <w:position w:val="8"/>
            <w:sz w:val="16"/>
          </w:rPr>
          <w:t>45</w:t>
        </w:r>
      </w:hyperlink>
      <w:r>
        <w:rPr/>
        <w:t>)</w:t>
      </w:r>
      <w:r>
        <w:rPr>
          <w:spacing w:val="-13"/>
        </w:rPr>
        <w:t> </w:t>
      </w:r>
      <w:r>
        <w:rPr/>
        <w:t>have</w:t>
      </w:r>
      <w:r>
        <w:rPr>
          <w:spacing w:val="-13"/>
        </w:rPr>
        <w:t> </w:t>
      </w:r>
      <w:r>
        <w:rPr/>
        <w:t>recently</w:t>
      </w:r>
      <w:r>
        <w:rPr>
          <w:spacing w:val="-15"/>
        </w:rPr>
        <w:t> </w:t>
      </w:r>
      <w:r>
        <w:rPr/>
        <w:t>incorporated</w:t>
      </w:r>
      <w:r>
        <w:rPr>
          <w:spacing w:val="-12"/>
        </w:rPr>
        <w:t> </w:t>
      </w:r>
      <w:r>
        <w:rPr/>
        <w:t>the</w:t>
      </w:r>
      <w:r>
        <w:rPr>
          <w:spacing w:val="-14"/>
        </w:rPr>
        <w:t> </w:t>
      </w:r>
      <w:r>
        <w:rPr/>
        <w:t>provision</w:t>
      </w:r>
      <w:r>
        <w:rPr>
          <w:spacing w:val="-13"/>
        </w:rPr>
        <w:t> </w:t>
      </w:r>
      <w:r>
        <w:rPr/>
        <w:t>of</w:t>
      </w:r>
      <w:r>
        <w:rPr>
          <w:spacing w:val="-13"/>
        </w:rPr>
        <w:t> </w:t>
      </w:r>
      <w:r>
        <w:rPr/>
        <w:t>reasonable accommodation</w:t>
      </w:r>
      <w:r>
        <w:rPr>
          <w:spacing w:val="-6"/>
        </w:rPr>
        <w:t> </w:t>
      </w:r>
      <w:r>
        <w:rPr/>
        <w:t>for</w:t>
      </w:r>
      <w:r>
        <w:rPr>
          <w:spacing w:val="-6"/>
        </w:rPr>
        <w:t> </w:t>
      </w:r>
      <w:r>
        <w:rPr/>
        <w:t>persons</w:t>
      </w:r>
      <w:r>
        <w:rPr>
          <w:spacing w:val="-6"/>
        </w:rPr>
        <w:t> </w:t>
      </w:r>
      <w:r>
        <w:rPr/>
        <w:t>with</w:t>
      </w:r>
      <w:r>
        <w:rPr>
          <w:spacing w:val="-6"/>
        </w:rPr>
        <w:t> </w:t>
      </w:r>
      <w:r>
        <w:rPr/>
        <w:t>disabilities</w:t>
      </w:r>
      <w:r>
        <w:rPr>
          <w:spacing w:val="-8"/>
        </w:rPr>
        <w:t> </w:t>
      </w:r>
      <w:r>
        <w:rPr/>
        <w:t>who</w:t>
      </w:r>
      <w:r>
        <w:rPr>
          <w:spacing w:val="-5"/>
        </w:rPr>
        <w:t> </w:t>
      </w:r>
      <w:r>
        <w:rPr/>
        <w:t>are</w:t>
      </w:r>
      <w:r>
        <w:rPr>
          <w:spacing w:val="-7"/>
        </w:rPr>
        <w:t> </w:t>
      </w:r>
      <w:r>
        <w:rPr/>
        <w:t>in</w:t>
      </w:r>
      <w:r>
        <w:rPr>
          <w:spacing w:val="-6"/>
        </w:rPr>
        <w:t> </w:t>
      </w:r>
      <w:r>
        <w:rPr/>
        <w:t>detention</w:t>
      </w:r>
      <w:r>
        <w:rPr>
          <w:spacing w:val="-6"/>
        </w:rPr>
        <w:t> </w:t>
      </w:r>
      <w:r>
        <w:rPr/>
        <w:t>(Rule</w:t>
      </w:r>
      <w:r>
        <w:rPr>
          <w:spacing w:val="-6"/>
        </w:rPr>
        <w:t> </w:t>
      </w:r>
      <w:r>
        <w:rPr/>
        <w:t>5.2).</w:t>
      </w:r>
      <w:r>
        <w:rPr>
          <w:spacing w:val="-7"/>
        </w:rPr>
        <w:t> </w:t>
      </w:r>
      <w:r>
        <w:rPr/>
        <w:t>However, in</w:t>
      </w:r>
      <w:r>
        <w:rPr>
          <w:spacing w:val="-9"/>
        </w:rPr>
        <w:t> </w:t>
      </w:r>
      <w:r>
        <w:rPr/>
        <w:t>contradiction</w:t>
      </w:r>
      <w:r>
        <w:rPr>
          <w:spacing w:val="-9"/>
        </w:rPr>
        <w:t> </w:t>
      </w:r>
      <w:r>
        <w:rPr/>
        <w:t>with</w:t>
      </w:r>
      <w:r>
        <w:rPr>
          <w:spacing w:val="-9"/>
        </w:rPr>
        <w:t> </w:t>
      </w:r>
      <w:r>
        <w:rPr/>
        <w:t>the</w:t>
      </w:r>
      <w:r>
        <w:rPr>
          <w:spacing w:val="-9"/>
        </w:rPr>
        <w:t> </w:t>
      </w:r>
      <w:r>
        <w:rPr/>
        <w:t>inclusive</w:t>
      </w:r>
      <w:r>
        <w:rPr>
          <w:spacing w:val="-9"/>
        </w:rPr>
        <w:t> </w:t>
      </w:r>
      <w:r>
        <w:rPr/>
        <w:t>purpose</w:t>
      </w:r>
      <w:r>
        <w:rPr>
          <w:spacing w:val="-9"/>
        </w:rPr>
        <w:t> </w:t>
      </w:r>
      <w:r>
        <w:rPr/>
        <w:t>of</w:t>
      </w:r>
      <w:r>
        <w:rPr>
          <w:spacing w:val="-10"/>
        </w:rPr>
        <w:t> </w:t>
      </w:r>
      <w:r>
        <w:rPr/>
        <w:t>the</w:t>
      </w:r>
      <w:r>
        <w:rPr>
          <w:spacing w:val="-9"/>
        </w:rPr>
        <w:t> </w:t>
      </w:r>
      <w:r>
        <w:rPr/>
        <w:t>CRPD,</w:t>
      </w:r>
      <w:r>
        <w:rPr>
          <w:spacing w:val="-9"/>
        </w:rPr>
        <w:t> </w:t>
      </w:r>
      <w:r>
        <w:rPr/>
        <w:t>the</w:t>
      </w:r>
      <w:r>
        <w:rPr>
          <w:spacing w:val="-9"/>
        </w:rPr>
        <w:t> </w:t>
      </w:r>
      <w:r>
        <w:rPr/>
        <w:t>Rules</w:t>
      </w:r>
      <w:r>
        <w:rPr>
          <w:spacing w:val="-9"/>
        </w:rPr>
        <w:t> </w:t>
      </w:r>
      <w:r>
        <w:rPr/>
        <w:t>109</w:t>
      </w:r>
      <w:r>
        <w:rPr>
          <w:spacing w:val="-9"/>
        </w:rPr>
        <w:t> </w:t>
      </w:r>
      <w:r>
        <w:rPr/>
        <w:t>and</w:t>
      </w:r>
      <w:r>
        <w:rPr>
          <w:spacing w:val="-9"/>
        </w:rPr>
        <w:t> </w:t>
      </w:r>
      <w:r>
        <w:rPr/>
        <w:t>110</w:t>
      </w:r>
      <w:r>
        <w:rPr>
          <w:spacing w:val="-9"/>
        </w:rPr>
        <w:t> </w:t>
      </w:r>
      <w:r>
        <w:rPr/>
        <w:t>(former rules</w:t>
      </w:r>
      <w:r>
        <w:rPr>
          <w:spacing w:val="-7"/>
        </w:rPr>
        <w:t> </w:t>
      </w:r>
      <w:r>
        <w:rPr/>
        <w:t>82</w:t>
      </w:r>
      <w:r>
        <w:rPr>
          <w:spacing w:val="-7"/>
        </w:rPr>
        <w:t> </w:t>
      </w:r>
      <w:r>
        <w:rPr/>
        <w:t>and</w:t>
      </w:r>
      <w:r>
        <w:rPr>
          <w:spacing w:val="-6"/>
        </w:rPr>
        <w:t> </w:t>
      </w:r>
      <w:r>
        <w:rPr/>
        <w:t>83)</w:t>
      </w:r>
      <w:r>
        <w:rPr>
          <w:spacing w:val="-6"/>
        </w:rPr>
        <w:t> </w:t>
      </w:r>
      <w:r>
        <w:rPr/>
        <w:t>establish</w:t>
      </w:r>
      <w:r>
        <w:rPr>
          <w:spacing w:val="-6"/>
        </w:rPr>
        <w:t> </w:t>
      </w:r>
      <w:r>
        <w:rPr/>
        <w:t>that</w:t>
      </w:r>
      <w:r>
        <w:rPr>
          <w:spacing w:val="-6"/>
        </w:rPr>
        <w:t> </w:t>
      </w:r>
      <w:r>
        <w:rPr/>
        <w:t>persons</w:t>
      </w:r>
      <w:r>
        <w:rPr>
          <w:spacing w:val="-7"/>
        </w:rPr>
        <w:t> </w:t>
      </w:r>
      <w:r>
        <w:rPr/>
        <w:t>who</w:t>
      </w:r>
      <w:r>
        <w:rPr>
          <w:spacing w:val="-7"/>
        </w:rPr>
        <w:t> </w:t>
      </w:r>
      <w:r>
        <w:rPr/>
        <w:t>are</w:t>
      </w:r>
      <w:r>
        <w:rPr>
          <w:spacing w:val="-7"/>
        </w:rPr>
        <w:t> </w:t>
      </w:r>
      <w:r>
        <w:rPr/>
        <w:t>found</w:t>
      </w:r>
      <w:r>
        <w:rPr>
          <w:spacing w:val="-6"/>
        </w:rPr>
        <w:t> </w:t>
      </w:r>
      <w:r>
        <w:rPr/>
        <w:t>to</w:t>
      </w:r>
      <w:r>
        <w:rPr>
          <w:spacing w:val="-6"/>
        </w:rPr>
        <w:t> </w:t>
      </w:r>
      <w:r>
        <w:rPr/>
        <w:t>be</w:t>
      </w:r>
      <w:r>
        <w:rPr>
          <w:spacing w:val="-7"/>
        </w:rPr>
        <w:t> </w:t>
      </w:r>
      <w:r>
        <w:rPr/>
        <w:t>not</w:t>
      </w:r>
      <w:r>
        <w:rPr>
          <w:spacing w:val="-6"/>
        </w:rPr>
        <w:t> </w:t>
      </w:r>
      <w:r>
        <w:rPr/>
        <w:t>criminally</w:t>
      </w:r>
      <w:r>
        <w:rPr>
          <w:spacing w:val="-6"/>
        </w:rPr>
        <w:t> </w:t>
      </w:r>
      <w:r>
        <w:rPr/>
        <w:t>responsible, or who are later diagnosed with severe mental disabilities and/or health conditions, should be transferred to mental health facilities and provided with compulsory psychiatric</w:t>
      </w:r>
      <w:r>
        <w:rPr>
          <w:spacing w:val="-3"/>
        </w:rPr>
        <w:t> </w:t>
      </w:r>
      <w:r>
        <w:rPr/>
        <w:t>treatment.</w:t>
      </w:r>
      <w:hyperlink w:history="true" w:anchor="_bookmark46">
        <w:r>
          <w:rPr>
            <w:position w:val="8"/>
            <w:sz w:val="16"/>
          </w:rPr>
          <w:t>46</w:t>
        </w:r>
      </w:hyperlink>
    </w:p>
    <w:p>
      <w:pPr>
        <w:pStyle w:val="BodyText"/>
        <w:spacing w:before="2"/>
      </w:pPr>
    </w:p>
    <w:p>
      <w:pPr>
        <w:pStyle w:val="BodyText"/>
        <w:spacing w:line="237" w:lineRule="auto"/>
        <w:ind w:left="398" w:right="105"/>
        <w:jc w:val="both"/>
        <w:rPr>
          <w:sz w:val="16"/>
        </w:rPr>
      </w:pPr>
      <w:r>
        <w:rPr/>
        <w:t>The CRPD Committee has insisted on the right of persons with disabilities deprived of their</w:t>
      </w:r>
      <w:r>
        <w:rPr>
          <w:spacing w:val="-17"/>
        </w:rPr>
        <w:t> </w:t>
      </w:r>
      <w:r>
        <w:rPr/>
        <w:t>liberty</w:t>
      </w:r>
      <w:r>
        <w:rPr>
          <w:spacing w:val="-18"/>
        </w:rPr>
        <w:t> </w:t>
      </w:r>
      <w:r>
        <w:rPr/>
        <w:t>to</w:t>
      </w:r>
      <w:r>
        <w:rPr>
          <w:spacing w:val="-18"/>
        </w:rPr>
        <w:t> </w:t>
      </w:r>
      <w:r>
        <w:rPr/>
        <w:t>be</w:t>
      </w:r>
      <w:r>
        <w:rPr>
          <w:spacing w:val="-19"/>
        </w:rPr>
        <w:t> </w:t>
      </w:r>
      <w:r>
        <w:rPr/>
        <w:t>treated</w:t>
      </w:r>
      <w:r>
        <w:rPr>
          <w:spacing w:val="-17"/>
        </w:rPr>
        <w:t> </w:t>
      </w:r>
      <w:r>
        <w:rPr/>
        <w:t>according</w:t>
      </w:r>
      <w:r>
        <w:rPr>
          <w:spacing w:val="-17"/>
        </w:rPr>
        <w:t> </w:t>
      </w:r>
      <w:r>
        <w:rPr/>
        <w:t>to</w:t>
      </w:r>
      <w:r>
        <w:rPr>
          <w:spacing w:val="-17"/>
        </w:rPr>
        <w:t> </w:t>
      </w:r>
      <w:r>
        <w:rPr/>
        <w:t>the</w:t>
      </w:r>
      <w:r>
        <w:rPr>
          <w:spacing w:val="-19"/>
        </w:rPr>
        <w:t> </w:t>
      </w:r>
      <w:r>
        <w:rPr/>
        <w:t>objectives</w:t>
      </w:r>
      <w:r>
        <w:rPr>
          <w:spacing w:val="-18"/>
        </w:rPr>
        <w:t> </w:t>
      </w:r>
      <w:r>
        <w:rPr/>
        <w:t>and</w:t>
      </w:r>
      <w:r>
        <w:rPr>
          <w:spacing w:val="-18"/>
        </w:rPr>
        <w:t> </w:t>
      </w:r>
      <w:r>
        <w:rPr/>
        <w:t>principles</w:t>
      </w:r>
      <w:r>
        <w:rPr>
          <w:spacing w:val="-19"/>
        </w:rPr>
        <w:t> </w:t>
      </w:r>
      <w:r>
        <w:rPr/>
        <w:t>of</w:t>
      </w:r>
      <w:r>
        <w:rPr>
          <w:spacing w:val="-17"/>
        </w:rPr>
        <w:t> </w:t>
      </w:r>
      <w:r>
        <w:rPr/>
        <w:t>the</w:t>
      </w:r>
      <w:r>
        <w:rPr>
          <w:spacing w:val="-18"/>
        </w:rPr>
        <w:t> </w:t>
      </w:r>
      <w:r>
        <w:rPr/>
        <w:t>Convention.</w:t>
      </w:r>
      <w:hyperlink w:history="true" w:anchor="_bookmark47">
        <w:r>
          <w:rPr>
            <w:position w:val="8"/>
            <w:sz w:val="16"/>
          </w:rPr>
          <w:t>47</w:t>
        </w:r>
      </w:hyperlink>
      <w:r>
        <w:rPr>
          <w:position w:val="8"/>
          <w:sz w:val="16"/>
        </w:rPr>
        <w:t> </w:t>
      </w:r>
      <w:r>
        <w:rPr/>
        <w:t>In its jurisprudence under the Optional Protocol to the Convention, the CRPD Committee analysed the scope of the obligation to ensure accessibility and to provide reasonable accommodation in the case of a prisoner with reduced mobility.</w:t>
      </w:r>
      <w:hyperlink w:history="true" w:anchor="_bookmark48">
        <w:r>
          <w:rPr>
            <w:position w:val="8"/>
            <w:sz w:val="16"/>
          </w:rPr>
          <w:t>48 </w:t>
        </w:r>
      </w:hyperlink>
      <w:r>
        <w:rPr/>
        <w:t>In its </w:t>
      </w:r>
      <w:r>
        <w:rPr>
          <w:i/>
          <w:sz w:val="25"/>
        </w:rPr>
        <w:t>Guidelines on Article 14 </w:t>
      </w:r>
      <w:r>
        <w:rPr/>
        <w:t>the Committee also remembered its concerns for the poor living</w:t>
      </w:r>
      <w:r>
        <w:rPr>
          <w:spacing w:val="-12"/>
        </w:rPr>
        <w:t> </w:t>
      </w:r>
      <w:r>
        <w:rPr/>
        <w:t>conditions</w:t>
      </w:r>
      <w:r>
        <w:rPr>
          <w:spacing w:val="-13"/>
        </w:rPr>
        <w:t> </w:t>
      </w:r>
      <w:r>
        <w:rPr/>
        <w:t>in</w:t>
      </w:r>
      <w:r>
        <w:rPr>
          <w:spacing w:val="-12"/>
        </w:rPr>
        <w:t> </w:t>
      </w:r>
      <w:r>
        <w:rPr/>
        <w:t>some</w:t>
      </w:r>
      <w:r>
        <w:rPr>
          <w:spacing w:val="-13"/>
        </w:rPr>
        <w:t> </w:t>
      </w:r>
      <w:r>
        <w:rPr/>
        <w:t>places</w:t>
      </w:r>
      <w:r>
        <w:rPr>
          <w:spacing w:val="-13"/>
        </w:rPr>
        <w:t> </w:t>
      </w:r>
      <w:r>
        <w:rPr/>
        <w:t>of</w:t>
      </w:r>
      <w:r>
        <w:rPr>
          <w:spacing w:val="-12"/>
        </w:rPr>
        <w:t> </w:t>
      </w:r>
      <w:r>
        <w:rPr/>
        <w:t>detention,</w:t>
      </w:r>
      <w:r>
        <w:rPr>
          <w:spacing w:val="-13"/>
        </w:rPr>
        <w:t> </w:t>
      </w:r>
      <w:r>
        <w:rPr/>
        <w:t>particularly</w:t>
      </w:r>
      <w:r>
        <w:rPr>
          <w:spacing w:val="-12"/>
        </w:rPr>
        <w:t> </w:t>
      </w:r>
      <w:r>
        <w:rPr/>
        <w:t>in</w:t>
      </w:r>
      <w:r>
        <w:rPr>
          <w:spacing w:val="-12"/>
        </w:rPr>
        <w:t> </w:t>
      </w:r>
      <w:r>
        <w:rPr/>
        <w:t>prisons,</w:t>
      </w:r>
      <w:r>
        <w:rPr>
          <w:spacing w:val="-12"/>
        </w:rPr>
        <w:t> </w:t>
      </w:r>
      <w:r>
        <w:rPr/>
        <w:t>and</w:t>
      </w:r>
      <w:r>
        <w:rPr>
          <w:spacing w:val="-13"/>
        </w:rPr>
        <w:t> </w:t>
      </w:r>
      <w:r>
        <w:rPr/>
        <w:t>insisted</w:t>
      </w:r>
      <w:r>
        <w:rPr>
          <w:spacing w:val="-12"/>
        </w:rPr>
        <w:t> </w:t>
      </w:r>
      <w:r>
        <w:rPr/>
        <w:t>on</w:t>
      </w:r>
      <w:r>
        <w:rPr>
          <w:spacing w:val="-13"/>
        </w:rPr>
        <w:t> </w:t>
      </w:r>
      <w:r>
        <w:rPr/>
        <w:t>the need</w:t>
      </w:r>
      <w:r>
        <w:rPr>
          <w:spacing w:val="-12"/>
        </w:rPr>
        <w:t> </w:t>
      </w:r>
      <w:r>
        <w:rPr/>
        <w:t>to</w:t>
      </w:r>
      <w:r>
        <w:rPr>
          <w:spacing w:val="-13"/>
        </w:rPr>
        <w:t> </w:t>
      </w:r>
      <w:r>
        <w:rPr/>
        <w:t>promote</w:t>
      </w:r>
      <w:r>
        <w:rPr>
          <w:spacing w:val="-13"/>
        </w:rPr>
        <w:t> </w:t>
      </w:r>
      <w:r>
        <w:rPr/>
        <w:t>training</w:t>
      </w:r>
      <w:r>
        <w:rPr>
          <w:spacing w:val="-13"/>
        </w:rPr>
        <w:t> </w:t>
      </w:r>
      <w:r>
        <w:rPr/>
        <w:t>mechanisms</w:t>
      </w:r>
      <w:r>
        <w:rPr>
          <w:spacing w:val="-13"/>
        </w:rPr>
        <w:t> </w:t>
      </w:r>
      <w:r>
        <w:rPr/>
        <w:t>for</w:t>
      </w:r>
      <w:r>
        <w:rPr>
          <w:spacing w:val="-12"/>
        </w:rPr>
        <w:t> </w:t>
      </w:r>
      <w:r>
        <w:rPr/>
        <w:t>justice</w:t>
      </w:r>
      <w:r>
        <w:rPr>
          <w:spacing w:val="-13"/>
        </w:rPr>
        <w:t> </w:t>
      </w:r>
      <w:r>
        <w:rPr/>
        <w:t>and</w:t>
      </w:r>
      <w:r>
        <w:rPr>
          <w:spacing w:val="-14"/>
        </w:rPr>
        <w:t> </w:t>
      </w:r>
      <w:r>
        <w:rPr/>
        <w:t>prison</w:t>
      </w:r>
      <w:r>
        <w:rPr>
          <w:spacing w:val="-13"/>
        </w:rPr>
        <w:t> </w:t>
      </w:r>
      <w:r>
        <w:rPr/>
        <w:t>officials</w:t>
      </w:r>
      <w:r>
        <w:rPr>
          <w:spacing w:val="-14"/>
        </w:rPr>
        <w:t> </w:t>
      </w:r>
      <w:r>
        <w:rPr/>
        <w:t>in</w:t>
      </w:r>
      <w:r>
        <w:rPr>
          <w:spacing w:val="-13"/>
        </w:rPr>
        <w:t> </w:t>
      </w:r>
      <w:r>
        <w:rPr/>
        <w:t>accordance</w:t>
      </w:r>
      <w:r>
        <w:rPr>
          <w:spacing w:val="-13"/>
        </w:rPr>
        <w:t> </w:t>
      </w:r>
      <w:r>
        <w:rPr/>
        <w:t>with the Convention’s legal</w:t>
      </w:r>
      <w:r>
        <w:rPr>
          <w:spacing w:val="-3"/>
        </w:rPr>
        <w:t> </w:t>
      </w:r>
      <w:r>
        <w:rPr/>
        <w:t>paradigm.</w:t>
      </w:r>
      <w:hyperlink w:history="true" w:anchor="_bookmark49">
        <w:r>
          <w:rPr>
            <w:position w:val="8"/>
            <w:sz w:val="16"/>
          </w:rPr>
          <w:t>49</w:t>
        </w:r>
      </w:hyperlink>
    </w:p>
    <w:p>
      <w:pPr>
        <w:pStyle w:val="BodyText"/>
        <w:rPr>
          <w:sz w:val="25"/>
        </w:rPr>
      </w:pPr>
    </w:p>
    <w:p>
      <w:pPr>
        <w:pStyle w:val="BodyText"/>
        <w:ind w:left="397" w:right="106"/>
        <w:jc w:val="both"/>
      </w:pPr>
      <w:r>
        <w:rPr/>
        <w:t>To conclude this section, it is worth mentioning the strong link between Article 14 and other Articles of the CRPD (besides the relationship with Art 5 and 13 highlighted above). As noted by the CRPD Committee, the right to liberty in article 14.1 is closely connected with article 12 (on equal recognition before the law)</w:t>
      </w:r>
      <w:hyperlink w:history="true" w:anchor="_bookmark50">
        <w:r>
          <w:rPr>
            <w:position w:val="8"/>
            <w:sz w:val="16"/>
          </w:rPr>
          <w:t>50 </w:t>
        </w:r>
      </w:hyperlink>
      <w:r>
        <w:rPr/>
        <w:t>which states that persons</w:t>
      </w:r>
      <w:r>
        <w:rPr>
          <w:spacing w:val="-8"/>
        </w:rPr>
        <w:t> </w:t>
      </w:r>
      <w:r>
        <w:rPr/>
        <w:t>with</w:t>
      </w:r>
      <w:r>
        <w:rPr>
          <w:spacing w:val="-7"/>
        </w:rPr>
        <w:t> </w:t>
      </w:r>
      <w:r>
        <w:rPr/>
        <w:t>disabilities</w:t>
      </w:r>
      <w:r>
        <w:rPr>
          <w:spacing w:val="-8"/>
        </w:rPr>
        <w:t> </w:t>
      </w:r>
      <w:r>
        <w:rPr/>
        <w:t>have</w:t>
      </w:r>
      <w:r>
        <w:rPr>
          <w:spacing w:val="-8"/>
        </w:rPr>
        <w:t> </w:t>
      </w:r>
      <w:r>
        <w:rPr/>
        <w:t>legal</w:t>
      </w:r>
      <w:r>
        <w:rPr>
          <w:spacing w:val="-8"/>
        </w:rPr>
        <w:t> </w:t>
      </w:r>
      <w:r>
        <w:rPr/>
        <w:t>capacity</w:t>
      </w:r>
      <w:r>
        <w:rPr>
          <w:spacing w:val="-9"/>
        </w:rPr>
        <w:t> </w:t>
      </w:r>
      <w:r>
        <w:rPr/>
        <w:t>on</w:t>
      </w:r>
      <w:r>
        <w:rPr>
          <w:spacing w:val="-7"/>
        </w:rPr>
        <w:t> </w:t>
      </w:r>
      <w:r>
        <w:rPr/>
        <w:t>an</w:t>
      </w:r>
      <w:r>
        <w:rPr>
          <w:spacing w:val="-9"/>
        </w:rPr>
        <w:t> </w:t>
      </w:r>
      <w:r>
        <w:rPr/>
        <w:t>equal</w:t>
      </w:r>
      <w:r>
        <w:rPr>
          <w:spacing w:val="-9"/>
        </w:rPr>
        <w:t> </w:t>
      </w:r>
      <w:r>
        <w:rPr/>
        <w:t>basis</w:t>
      </w:r>
      <w:r>
        <w:rPr>
          <w:spacing w:val="-8"/>
        </w:rPr>
        <w:t> </w:t>
      </w:r>
      <w:r>
        <w:rPr/>
        <w:t>with</w:t>
      </w:r>
      <w:r>
        <w:rPr>
          <w:spacing w:val="-9"/>
        </w:rPr>
        <w:t> </w:t>
      </w:r>
      <w:r>
        <w:rPr/>
        <w:t>others</w:t>
      </w:r>
      <w:r>
        <w:rPr>
          <w:spacing w:val="-8"/>
        </w:rPr>
        <w:t> </w:t>
      </w:r>
      <w:r>
        <w:rPr/>
        <w:t>in</w:t>
      </w:r>
      <w:r>
        <w:rPr>
          <w:spacing w:val="-9"/>
        </w:rPr>
        <w:t> </w:t>
      </w:r>
      <w:r>
        <w:rPr/>
        <w:t>all</w:t>
      </w:r>
      <w:r>
        <w:rPr>
          <w:spacing w:val="-9"/>
        </w:rPr>
        <w:t> </w:t>
      </w:r>
      <w:r>
        <w:rPr/>
        <w:t>aspects</w:t>
      </w:r>
    </w:p>
    <w:p>
      <w:pPr>
        <w:pStyle w:val="BodyText"/>
        <w:rPr>
          <w:sz w:val="28"/>
        </w:rPr>
      </w:pPr>
    </w:p>
    <w:p>
      <w:pPr>
        <w:pStyle w:val="BodyText"/>
        <w:rPr>
          <w:sz w:val="28"/>
        </w:rPr>
      </w:pPr>
    </w:p>
    <w:p>
      <w:pPr>
        <w:pStyle w:val="BodyText"/>
        <w:rPr>
          <w:sz w:val="28"/>
        </w:rPr>
      </w:pPr>
    </w:p>
    <w:p>
      <w:pPr>
        <w:pStyle w:val="BodyText"/>
        <w:spacing w:before="8"/>
        <w:rPr>
          <w:sz w:val="25"/>
        </w:rPr>
      </w:pPr>
    </w:p>
    <w:p>
      <w:pPr>
        <w:spacing w:before="0"/>
        <w:ind w:left="449" w:right="0" w:hanging="228"/>
        <w:jc w:val="left"/>
        <w:rPr>
          <w:sz w:val="20"/>
        </w:rPr>
      </w:pPr>
      <w:r>
        <w:rPr/>
        <w:pict>
          <v:rect style="position:absolute;margin-left:185.039993pt;margin-top:22.904886pt;width:3.12pt;height:.66pt;mso-position-horizontal-relative:page;mso-position-vertical-relative:paragraph;z-index:0" filled="true" fillcolor="#000000" stroked="false">
            <v:fill type="solid"/>
            <w10:wrap type="none"/>
          </v:rect>
        </w:pict>
      </w:r>
      <w:bookmarkStart w:name="_bookmark44" w:id="46"/>
      <w:bookmarkEnd w:id="46"/>
      <w:r>
        <w:rPr/>
      </w:r>
      <w:r>
        <w:rPr>
          <w:position w:val="7"/>
          <w:sz w:val="13"/>
        </w:rPr>
        <w:t>44 </w:t>
      </w:r>
      <w:r>
        <w:rPr>
          <w:sz w:val="20"/>
        </w:rPr>
        <w:t>Standard Minimum Rules for the Treatment of Prisoners (Mandela Rules) (United Nations [UN]) UN Doc E/CN.15/2015/L.6, Annex. Available at:</w:t>
      </w:r>
    </w:p>
    <w:p>
      <w:pPr>
        <w:spacing w:line="241" w:lineRule="exact" w:before="0"/>
        <w:ind w:left="471" w:right="0" w:firstLine="0"/>
        <w:jc w:val="left"/>
        <w:rPr>
          <w:sz w:val="20"/>
        </w:rPr>
      </w:pPr>
      <w:r>
        <w:rPr/>
        <w:pict>
          <v:rect style="position:absolute;margin-left:67.440002pt;margin-top:10.824262pt;width:3.12pt;height:.66pt;mso-position-horizontal-relative:page;mso-position-vertical-relative:paragraph;z-index:1048" filled="true" fillcolor="#000000" stroked="false">
            <v:fill type="solid"/>
            <w10:wrap type="none"/>
          </v:rect>
        </w:pict>
      </w:r>
      <w:hyperlink r:id="rId13">
        <w:r>
          <w:rPr>
            <w:color w:val="0563C1"/>
            <w:sz w:val="20"/>
            <w:u w:val="single" w:color="0563C1"/>
          </w:rPr>
          <w:t>www.penalreform.org/resource/standard-minimum-rules-treatment-prisoners-smr/</w:t>
        </w:r>
        <w:r>
          <w:rPr>
            <w:sz w:val="20"/>
          </w:rPr>
          <w:t>.</w:t>
        </w:r>
      </w:hyperlink>
    </w:p>
    <w:p>
      <w:pPr>
        <w:spacing w:before="0"/>
        <w:ind w:left="471" w:right="0" w:firstLine="0"/>
        <w:jc w:val="left"/>
        <w:rPr>
          <w:sz w:val="20"/>
        </w:rPr>
      </w:pPr>
      <w:r>
        <w:rPr>
          <w:sz w:val="20"/>
        </w:rPr>
        <w:t>However, this version also does not include disability as a prohibited ground of discrimination in Rule 2.</w:t>
      </w:r>
    </w:p>
    <w:p>
      <w:pPr>
        <w:spacing w:line="241" w:lineRule="exact" w:before="1"/>
        <w:ind w:left="221" w:right="0" w:firstLine="0"/>
        <w:jc w:val="left"/>
        <w:rPr>
          <w:sz w:val="20"/>
        </w:rPr>
      </w:pPr>
      <w:bookmarkStart w:name="_bookmark45" w:id="47"/>
      <w:bookmarkEnd w:id="47"/>
      <w:r>
        <w:rPr/>
      </w:r>
      <w:r>
        <w:rPr>
          <w:position w:val="7"/>
          <w:sz w:val="13"/>
        </w:rPr>
        <w:t>45 </w:t>
      </w:r>
      <w:r>
        <w:rPr>
          <w:sz w:val="20"/>
        </w:rPr>
        <w:t>[UNGA] UN Doc A/RES/70/175.</w:t>
      </w:r>
    </w:p>
    <w:p>
      <w:pPr>
        <w:spacing w:before="0"/>
        <w:ind w:left="449" w:right="106" w:hanging="228"/>
        <w:jc w:val="both"/>
        <w:rPr>
          <w:sz w:val="20"/>
        </w:rPr>
      </w:pPr>
      <w:bookmarkStart w:name="_bookmark46" w:id="48"/>
      <w:bookmarkEnd w:id="48"/>
      <w:r>
        <w:rPr/>
      </w:r>
      <w:r>
        <w:rPr>
          <w:position w:val="7"/>
          <w:sz w:val="13"/>
        </w:rPr>
        <w:t>46 </w:t>
      </w:r>
      <w:r>
        <w:rPr>
          <w:sz w:val="20"/>
        </w:rPr>
        <w:t>The UN Special Rapporteur on Torture, Interim Report, October 7, 2013, focused on the revision of these Rules, A/68/295, para (72) called for the replacement of rules 82 and 83 with a provision articulating specific guarantees of equality and non-discrimination for all persons with disabilities. Available at:</w:t>
      </w:r>
    </w:p>
    <w:p>
      <w:pPr>
        <w:spacing w:line="236" w:lineRule="exact" w:before="0"/>
        <w:ind w:left="471" w:right="0" w:firstLine="0"/>
        <w:jc w:val="left"/>
        <w:rPr>
          <w:sz w:val="20"/>
        </w:rPr>
      </w:pPr>
      <w:hyperlink r:id="rId14">
        <w:r>
          <w:rPr>
            <w:color w:val="0563C1"/>
            <w:sz w:val="20"/>
            <w:u w:val="single" w:color="0563C1"/>
          </w:rPr>
          <w:t>www.unodc.org/documents/justice-and-prison-reform/SPECIAL_RAPPORTEUR_EN.pdf</w:t>
        </w:r>
      </w:hyperlink>
    </w:p>
    <w:p>
      <w:pPr>
        <w:spacing w:line="248" w:lineRule="exact" w:before="0"/>
        <w:ind w:left="279" w:right="0" w:firstLine="0"/>
        <w:jc w:val="left"/>
        <w:rPr>
          <w:sz w:val="20"/>
        </w:rPr>
      </w:pPr>
      <w:bookmarkStart w:name="_bookmark47" w:id="49"/>
      <w:bookmarkEnd w:id="49"/>
      <w:r>
        <w:rPr/>
      </w:r>
      <w:r>
        <w:rPr>
          <w:position w:val="7"/>
          <w:sz w:val="13"/>
        </w:rPr>
        <w:t>47 </w:t>
      </w:r>
      <w:r>
        <w:rPr>
          <w:sz w:val="20"/>
        </w:rPr>
        <w:t>CRPD Committee, </w:t>
      </w:r>
      <w:r>
        <w:rPr>
          <w:i/>
          <w:sz w:val="21"/>
        </w:rPr>
        <w:t>Guidelines on Article 14</w:t>
      </w:r>
      <w:r>
        <w:rPr>
          <w:sz w:val="20"/>
        </w:rPr>
        <w:t>, para (18).</w:t>
      </w:r>
    </w:p>
    <w:p>
      <w:pPr>
        <w:spacing w:before="0"/>
        <w:ind w:left="471" w:right="2366" w:hanging="192"/>
        <w:jc w:val="left"/>
        <w:rPr>
          <w:sz w:val="20"/>
        </w:rPr>
      </w:pPr>
      <w:bookmarkStart w:name="_bookmark48" w:id="50"/>
      <w:bookmarkEnd w:id="50"/>
      <w:r>
        <w:rPr/>
      </w:r>
      <w:r>
        <w:rPr>
          <w:position w:val="7"/>
          <w:sz w:val="13"/>
        </w:rPr>
        <w:t>48 </w:t>
      </w:r>
      <w:r>
        <w:rPr>
          <w:sz w:val="20"/>
        </w:rPr>
        <w:t>CRPD Committee Communication No. 8/2012, CRPD/C/11/D/8/2012. Available at: </w:t>
      </w:r>
      <w:hyperlink r:id="rId15">
        <w:r>
          <w:rPr>
            <w:sz w:val="20"/>
            <w:u w:val="single"/>
          </w:rPr>
          <w:t>http://juris.ohchr.org/search/results</w:t>
        </w:r>
      </w:hyperlink>
    </w:p>
    <w:p>
      <w:pPr>
        <w:spacing w:line="241" w:lineRule="exact" w:before="0"/>
        <w:ind w:left="279" w:right="0" w:firstLine="0"/>
        <w:jc w:val="left"/>
        <w:rPr>
          <w:sz w:val="20"/>
        </w:rPr>
      </w:pPr>
      <w:bookmarkStart w:name="_bookmark49" w:id="51"/>
      <w:bookmarkEnd w:id="51"/>
      <w:r>
        <w:rPr/>
      </w:r>
      <w:r>
        <w:rPr>
          <w:position w:val="7"/>
          <w:sz w:val="13"/>
        </w:rPr>
        <w:t>49 </w:t>
      </w:r>
      <w:r>
        <w:rPr>
          <w:sz w:val="20"/>
        </w:rPr>
        <w:t>Ibid, para (17).</w:t>
      </w:r>
    </w:p>
    <w:p>
      <w:pPr>
        <w:spacing w:before="0"/>
        <w:ind w:left="279" w:right="0" w:firstLine="0"/>
        <w:jc w:val="left"/>
        <w:rPr>
          <w:sz w:val="20"/>
        </w:rPr>
      </w:pPr>
      <w:bookmarkStart w:name="_bookmark50" w:id="52"/>
      <w:bookmarkEnd w:id="52"/>
      <w:r>
        <w:rPr/>
      </w:r>
      <w:r>
        <w:rPr>
          <w:position w:val="7"/>
          <w:sz w:val="13"/>
        </w:rPr>
        <w:t>50 </w:t>
      </w:r>
      <w:r>
        <w:rPr>
          <w:sz w:val="20"/>
        </w:rPr>
        <w:t>Ibid, para (18).</w:t>
      </w:r>
    </w:p>
    <w:p>
      <w:pPr>
        <w:spacing w:after="0"/>
        <w:jc w:val="left"/>
        <w:rPr>
          <w:sz w:val="20"/>
        </w:rPr>
        <w:sectPr>
          <w:pgSz w:w="11910" w:h="16840"/>
          <w:pgMar w:header="0" w:footer="523" w:top="1320" w:bottom="720" w:left="940" w:right="1320"/>
        </w:sectPr>
      </w:pPr>
    </w:p>
    <w:p>
      <w:pPr>
        <w:spacing w:line="230" w:lineRule="auto" w:before="102"/>
        <w:ind w:left="398" w:right="107" w:hanging="1"/>
        <w:jc w:val="both"/>
        <w:rPr>
          <w:sz w:val="24"/>
        </w:rPr>
      </w:pPr>
      <w:r>
        <w:rPr>
          <w:sz w:val="24"/>
        </w:rPr>
        <w:t>of life, including in the health domain.</w:t>
      </w:r>
      <w:hyperlink w:history="true" w:anchor="_bookmark51">
        <w:r>
          <w:rPr>
            <w:position w:val="8"/>
            <w:sz w:val="16"/>
          </w:rPr>
          <w:t>51 </w:t>
        </w:r>
      </w:hyperlink>
      <w:r>
        <w:rPr>
          <w:sz w:val="24"/>
        </w:rPr>
        <w:t>According to the CRPD Committee’s </w:t>
      </w:r>
      <w:r>
        <w:rPr>
          <w:i/>
          <w:sz w:val="25"/>
        </w:rPr>
        <w:t>General Comment No. 1</w:t>
      </w:r>
      <w:r>
        <w:rPr>
          <w:sz w:val="24"/>
        </w:rPr>
        <w:t>:</w:t>
      </w:r>
    </w:p>
    <w:p>
      <w:pPr>
        <w:spacing w:before="200"/>
        <w:ind w:left="965" w:right="160" w:firstLine="0"/>
        <w:jc w:val="left"/>
        <w:rPr>
          <w:sz w:val="20"/>
        </w:rPr>
      </w:pPr>
      <w:r>
        <w:rPr>
          <w:sz w:val="20"/>
        </w:rPr>
        <w:t>The denial of the legal capacity of persons with disabilities and their detention in institutions against their will, either without their consent or with the consent of a substitute decision-maker</w:t>
      </w:r>
    </w:p>
    <w:p>
      <w:pPr>
        <w:spacing w:before="1"/>
        <w:ind w:left="965" w:right="0" w:firstLine="0"/>
        <w:jc w:val="left"/>
        <w:rPr>
          <w:sz w:val="13"/>
        </w:rPr>
      </w:pPr>
      <w:r>
        <w:rPr>
          <w:sz w:val="20"/>
        </w:rPr>
        <w:t>…. constitutes arbitrary deprivation of liberty and violates articles 12 and 14 of the Convention.</w:t>
      </w:r>
      <w:hyperlink w:history="true" w:anchor="_bookmark52">
        <w:r>
          <w:rPr>
            <w:position w:val="7"/>
            <w:sz w:val="13"/>
          </w:rPr>
          <w:t>52</w:t>
        </w:r>
      </w:hyperlink>
    </w:p>
    <w:p>
      <w:pPr>
        <w:pStyle w:val="BodyText"/>
        <w:spacing w:before="198"/>
        <w:ind w:left="397" w:right="105"/>
        <w:jc w:val="both"/>
      </w:pPr>
      <w:r>
        <w:rPr/>
        <w:t>It is equally important to note that, regarding denial of legal capacity, the CRPD Committee rejects the “status approach” (based on the diagnosis of an impairment), the “outcome approach” (based on the assumption of the negative consequences of a decision), and the “the functional approach” (based on the deficits in decision making skill)</w:t>
      </w:r>
      <w:hyperlink w:history="true" w:anchor="_bookmark53">
        <w:r>
          <w:rPr>
            <w:position w:val="8"/>
            <w:sz w:val="16"/>
          </w:rPr>
          <w:t>53</w:t>
        </w:r>
      </w:hyperlink>
      <w:r>
        <w:rPr/>
        <w:t>. The refusal of the “status approach” means that legal provisions that allow involuntary</w:t>
      </w:r>
      <w:r>
        <w:rPr>
          <w:spacing w:val="-11"/>
        </w:rPr>
        <w:t> </w:t>
      </w:r>
      <w:r>
        <w:rPr/>
        <w:t>hospitalization</w:t>
      </w:r>
      <w:r>
        <w:rPr>
          <w:spacing w:val="-11"/>
        </w:rPr>
        <w:t> </w:t>
      </w:r>
      <w:r>
        <w:rPr/>
        <w:t>in</w:t>
      </w:r>
      <w:r>
        <w:rPr>
          <w:spacing w:val="-10"/>
        </w:rPr>
        <w:t> </w:t>
      </w:r>
      <w:r>
        <w:rPr/>
        <w:t>cases</w:t>
      </w:r>
      <w:r>
        <w:rPr>
          <w:spacing w:val="-10"/>
        </w:rPr>
        <w:t> </w:t>
      </w:r>
      <w:r>
        <w:rPr/>
        <w:t>of</w:t>
      </w:r>
      <w:r>
        <w:rPr>
          <w:spacing w:val="-11"/>
        </w:rPr>
        <w:t> </w:t>
      </w:r>
      <w:r>
        <w:rPr/>
        <w:t>“suffering”</w:t>
      </w:r>
      <w:r>
        <w:rPr>
          <w:spacing w:val="-11"/>
        </w:rPr>
        <w:t> </w:t>
      </w:r>
      <w:r>
        <w:rPr/>
        <w:t>from</w:t>
      </w:r>
      <w:r>
        <w:rPr>
          <w:spacing w:val="-11"/>
        </w:rPr>
        <w:t> </w:t>
      </w:r>
      <w:r>
        <w:rPr/>
        <w:t>a</w:t>
      </w:r>
      <w:r>
        <w:rPr>
          <w:spacing w:val="-11"/>
        </w:rPr>
        <w:t> </w:t>
      </w:r>
      <w:r>
        <w:rPr/>
        <w:t>“mental</w:t>
      </w:r>
      <w:r>
        <w:rPr>
          <w:spacing w:val="-11"/>
        </w:rPr>
        <w:t> </w:t>
      </w:r>
      <w:r>
        <w:rPr/>
        <w:t>disorder”</w:t>
      </w:r>
      <w:r>
        <w:rPr>
          <w:spacing w:val="-10"/>
        </w:rPr>
        <w:t> </w:t>
      </w:r>
      <w:r>
        <w:rPr/>
        <w:t>or</w:t>
      </w:r>
      <w:r>
        <w:rPr>
          <w:spacing w:val="-11"/>
        </w:rPr>
        <w:t> </w:t>
      </w:r>
      <w:r>
        <w:rPr/>
        <w:t>a</w:t>
      </w:r>
      <w:r>
        <w:rPr>
          <w:spacing w:val="-12"/>
        </w:rPr>
        <w:t> </w:t>
      </w:r>
      <w:r>
        <w:rPr/>
        <w:t>“mental illness” does not meet the requirements of the CRP. Indeed, these are cases in which the “disability itself” justifies involuntary commitment</w:t>
      </w:r>
      <w:r>
        <w:rPr>
          <w:spacing w:val="-6"/>
        </w:rPr>
        <w:t> </w:t>
      </w:r>
      <w:r>
        <w:rPr/>
        <w:t>.</w:t>
      </w:r>
    </w:p>
    <w:p>
      <w:pPr>
        <w:pStyle w:val="BodyText"/>
      </w:pPr>
    </w:p>
    <w:p>
      <w:pPr>
        <w:pStyle w:val="BodyText"/>
        <w:spacing w:before="1"/>
        <w:ind w:left="397" w:right="106"/>
        <w:jc w:val="both"/>
      </w:pPr>
      <w:r>
        <w:rPr/>
        <w:t>As we explained above, the rejection of “functional approach” implies leaving out the positions that ground deprivations of liberty in the assessments of decision-making capacity. Finally, the refusal of the “outcome approach” strengthens the arguments against the “dangerousness criteria”, rejecting predictions of future harm or risk “as valid grounds for denying the legal capacity of persons with disabilities to refuse involuntary hospitalization or institutionalization”</w:t>
      </w:r>
      <w:hyperlink w:history="true" w:anchor="_bookmark54">
        <w:r>
          <w:rPr>
            <w:position w:val="8"/>
            <w:sz w:val="16"/>
          </w:rPr>
          <w:t>54</w:t>
        </w:r>
      </w:hyperlink>
      <w:r>
        <w:rPr/>
        <w:t>.</w:t>
      </w:r>
    </w:p>
    <w:p>
      <w:pPr>
        <w:pStyle w:val="BodyText"/>
      </w:pPr>
    </w:p>
    <w:p>
      <w:pPr>
        <w:pStyle w:val="BodyText"/>
        <w:ind w:left="397" w:right="106"/>
        <w:jc w:val="both"/>
        <w:rPr>
          <w:sz w:val="16"/>
        </w:rPr>
      </w:pPr>
      <w:r>
        <w:rPr/>
        <w:t>Article 14 of the CRPD also has a strong relationship with both Art 17 (protection of physical and mental integrity) and Art 25 (principle of free and informed consent to their health care of the person concerned) which, again in connection with Art 12, require that every case of deprivation of liberty concerning persons with disabilities, including persons with psychosocial disabilities, should be protected from non- consensual medical treatment.</w:t>
      </w:r>
      <w:hyperlink w:history="true" w:anchor="_bookmark55">
        <w:r>
          <w:rPr>
            <w:position w:val="8"/>
            <w:sz w:val="16"/>
          </w:rPr>
          <w:t>55</w:t>
        </w:r>
      </w:hyperlink>
    </w:p>
    <w:p>
      <w:pPr>
        <w:pStyle w:val="BodyText"/>
      </w:pPr>
    </w:p>
    <w:p>
      <w:pPr>
        <w:pStyle w:val="BodyText"/>
        <w:ind w:left="397" w:right="105"/>
        <w:jc w:val="both"/>
      </w:pPr>
      <w:r>
        <w:rPr/>
        <w:t>Furthermore, the CRPD Committee has remarked that some extended practices</w:t>
      </w:r>
      <w:r>
        <w:rPr>
          <w:spacing w:val="-50"/>
        </w:rPr>
        <w:t> </w:t>
      </w:r>
      <w:r>
        <w:rPr/>
        <w:t>during the detention of persons with disabilities — including some kinds of forced medical treatment, isolation and methods of restraint in medical facilities, including physical, chemical and mechanic restrains — “are not consistent with the prohibition of</w:t>
      </w:r>
      <w:r>
        <w:rPr>
          <w:spacing w:val="10"/>
        </w:rPr>
        <w:t> </w:t>
      </w:r>
      <w:r>
        <w:rPr/>
        <w:t>torture</w:t>
      </w:r>
    </w:p>
    <w:p>
      <w:pPr>
        <w:pStyle w:val="BodyText"/>
        <w:spacing w:before="8"/>
        <w:rPr>
          <w:sz w:val="40"/>
        </w:rPr>
      </w:pPr>
    </w:p>
    <w:p>
      <w:pPr>
        <w:spacing w:line="237" w:lineRule="auto" w:before="0"/>
        <w:ind w:left="449" w:right="109" w:hanging="228"/>
        <w:jc w:val="left"/>
        <w:rPr>
          <w:sz w:val="20"/>
        </w:rPr>
      </w:pPr>
      <w:bookmarkStart w:name="_bookmark51" w:id="53"/>
      <w:bookmarkEnd w:id="53"/>
      <w:r>
        <w:rPr/>
      </w:r>
      <w:r>
        <w:rPr>
          <w:position w:val="7"/>
          <w:sz w:val="13"/>
        </w:rPr>
        <w:t>51</w:t>
      </w:r>
      <w:r>
        <w:rPr>
          <w:spacing w:val="-4"/>
          <w:position w:val="7"/>
          <w:sz w:val="13"/>
        </w:rPr>
        <w:t> </w:t>
      </w:r>
      <w:r>
        <w:rPr>
          <w:sz w:val="20"/>
        </w:rPr>
        <w:t>Regarding</w:t>
      </w:r>
      <w:r>
        <w:rPr>
          <w:spacing w:val="-19"/>
          <w:sz w:val="20"/>
        </w:rPr>
        <w:t> </w:t>
      </w:r>
      <w:r>
        <w:rPr>
          <w:sz w:val="20"/>
        </w:rPr>
        <w:t>article</w:t>
      </w:r>
      <w:r>
        <w:rPr>
          <w:spacing w:val="-18"/>
          <w:sz w:val="20"/>
        </w:rPr>
        <w:t> </w:t>
      </w:r>
      <w:r>
        <w:rPr>
          <w:sz w:val="20"/>
        </w:rPr>
        <w:t>12,</w:t>
      </w:r>
      <w:r>
        <w:rPr>
          <w:spacing w:val="-19"/>
          <w:sz w:val="20"/>
        </w:rPr>
        <w:t> </w:t>
      </w:r>
      <w:r>
        <w:rPr>
          <w:sz w:val="20"/>
        </w:rPr>
        <w:t>see</w:t>
      </w:r>
      <w:r>
        <w:rPr>
          <w:spacing w:val="-18"/>
          <w:sz w:val="20"/>
        </w:rPr>
        <w:t> </w:t>
      </w:r>
      <w:r>
        <w:rPr>
          <w:sz w:val="20"/>
        </w:rPr>
        <w:t>––</w:t>
      </w:r>
      <w:r>
        <w:rPr>
          <w:spacing w:val="-18"/>
          <w:sz w:val="20"/>
        </w:rPr>
        <w:t> </w:t>
      </w:r>
      <w:r>
        <w:rPr>
          <w:sz w:val="20"/>
        </w:rPr>
        <w:t>Dhanda,</w:t>
      </w:r>
      <w:r>
        <w:rPr>
          <w:spacing w:val="-17"/>
          <w:sz w:val="20"/>
        </w:rPr>
        <w:t> </w:t>
      </w:r>
      <w:r>
        <w:rPr>
          <w:sz w:val="20"/>
        </w:rPr>
        <w:t>A.,</w:t>
      </w:r>
      <w:r>
        <w:rPr>
          <w:spacing w:val="-19"/>
          <w:sz w:val="20"/>
        </w:rPr>
        <w:t> </w:t>
      </w:r>
      <w:r>
        <w:rPr>
          <w:sz w:val="20"/>
        </w:rPr>
        <w:t>“Legal</w:t>
      </w:r>
      <w:r>
        <w:rPr>
          <w:spacing w:val="-18"/>
          <w:sz w:val="20"/>
        </w:rPr>
        <w:t> </w:t>
      </w:r>
      <w:r>
        <w:rPr>
          <w:sz w:val="20"/>
        </w:rPr>
        <w:t>Capacity</w:t>
      </w:r>
      <w:r>
        <w:rPr>
          <w:spacing w:val="-18"/>
          <w:sz w:val="20"/>
        </w:rPr>
        <w:t> </w:t>
      </w:r>
      <w:r>
        <w:rPr>
          <w:sz w:val="20"/>
        </w:rPr>
        <w:t>in</w:t>
      </w:r>
      <w:r>
        <w:rPr>
          <w:spacing w:val="-18"/>
          <w:sz w:val="20"/>
        </w:rPr>
        <w:t> </w:t>
      </w:r>
      <w:r>
        <w:rPr>
          <w:sz w:val="20"/>
        </w:rPr>
        <w:t>the</w:t>
      </w:r>
      <w:r>
        <w:rPr>
          <w:spacing w:val="-18"/>
          <w:sz w:val="20"/>
        </w:rPr>
        <w:t> </w:t>
      </w:r>
      <w:r>
        <w:rPr>
          <w:sz w:val="20"/>
        </w:rPr>
        <w:t>Disability</w:t>
      </w:r>
      <w:r>
        <w:rPr>
          <w:spacing w:val="-18"/>
          <w:sz w:val="20"/>
        </w:rPr>
        <w:t> </w:t>
      </w:r>
      <w:r>
        <w:rPr>
          <w:sz w:val="20"/>
        </w:rPr>
        <w:t>Rights</w:t>
      </w:r>
      <w:r>
        <w:rPr>
          <w:spacing w:val="-17"/>
          <w:sz w:val="20"/>
        </w:rPr>
        <w:t> </w:t>
      </w:r>
      <w:r>
        <w:rPr>
          <w:sz w:val="20"/>
        </w:rPr>
        <w:t>Convention:</w:t>
      </w:r>
      <w:r>
        <w:rPr>
          <w:spacing w:val="-18"/>
          <w:sz w:val="20"/>
        </w:rPr>
        <w:t> </w:t>
      </w:r>
      <w:r>
        <w:rPr>
          <w:sz w:val="20"/>
        </w:rPr>
        <w:t>Stranglehold of the Past or Lodestar for the Future?,” </w:t>
      </w:r>
      <w:r>
        <w:rPr>
          <w:i/>
          <w:sz w:val="21"/>
        </w:rPr>
        <w:t>Syracuse Journal of International Law and Commerce, </w:t>
      </w:r>
      <w:r>
        <w:rPr>
          <w:sz w:val="20"/>
        </w:rPr>
        <w:t>34, 2006–2007,</w:t>
      </w:r>
      <w:r>
        <w:rPr>
          <w:spacing w:val="-6"/>
          <w:sz w:val="20"/>
        </w:rPr>
        <w:t> </w:t>
      </w:r>
      <w:r>
        <w:rPr>
          <w:sz w:val="20"/>
        </w:rPr>
        <w:t>438–456</w:t>
      </w:r>
      <w:r>
        <w:rPr>
          <w:spacing w:val="-6"/>
          <w:sz w:val="20"/>
        </w:rPr>
        <w:t> </w:t>
      </w:r>
      <w:r>
        <w:rPr>
          <w:sz w:val="20"/>
        </w:rPr>
        <w:t>and</w:t>
      </w:r>
      <w:r>
        <w:rPr>
          <w:spacing w:val="-6"/>
          <w:sz w:val="20"/>
        </w:rPr>
        <w:t> </w:t>
      </w:r>
      <w:r>
        <w:rPr>
          <w:sz w:val="20"/>
        </w:rPr>
        <w:t>Quinn,</w:t>
      </w:r>
      <w:r>
        <w:rPr>
          <w:spacing w:val="-5"/>
          <w:sz w:val="20"/>
        </w:rPr>
        <w:t> </w:t>
      </w:r>
      <w:r>
        <w:rPr>
          <w:sz w:val="20"/>
        </w:rPr>
        <w:t>G.,</w:t>
      </w:r>
      <w:r>
        <w:rPr>
          <w:spacing w:val="-5"/>
          <w:sz w:val="20"/>
        </w:rPr>
        <w:t> </w:t>
      </w:r>
      <w:r>
        <w:rPr>
          <w:sz w:val="20"/>
        </w:rPr>
        <w:t>“An</w:t>
      </w:r>
      <w:r>
        <w:rPr>
          <w:spacing w:val="-6"/>
          <w:sz w:val="20"/>
        </w:rPr>
        <w:t> </w:t>
      </w:r>
      <w:r>
        <w:rPr>
          <w:sz w:val="20"/>
        </w:rPr>
        <w:t>Ideas</w:t>
      </w:r>
      <w:r>
        <w:rPr>
          <w:spacing w:val="-5"/>
          <w:sz w:val="20"/>
        </w:rPr>
        <w:t> </w:t>
      </w:r>
      <w:r>
        <w:rPr>
          <w:sz w:val="20"/>
        </w:rPr>
        <w:t>Paper</w:t>
      </w:r>
      <w:r>
        <w:rPr>
          <w:spacing w:val="-7"/>
          <w:sz w:val="20"/>
        </w:rPr>
        <w:t> </w:t>
      </w:r>
      <w:r>
        <w:rPr>
          <w:sz w:val="20"/>
        </w:rPr>
        <w:t>on</w:t>
      </w:r>
      <w:r>
        <w:rPr>
          <w:spacing w:val="-6"/>
          <w:sz w:val="20"/>
        </w:rPr>
        <w:t> </w:t>
      </w:r>
      <w:r>
        <w:rPr>
          <w:sz w:val="20"/>
        </w:rPr>
        <w:t>Legal</w:t>
      </w:r>
      <w:r>
        <w:rPr>
          <w:spacing w:val="-6"/>
          <w:sz w:val="20"/>
        </w:rPr>
        <w:t> </w:t>
      </w:r>
      <w:r>
        <w:rPr>
          <w:sz w:val="20"/>
        </w:rPr>
        <w:t>Capacity,”</w:t>
      </w:r>
      <w:r>
        <w:rPr>
          <w:spacing w:val="-6"/>
          <w:sz w:val="20"/>
        </w:rPr>
        <w:t> </w:t>
      </w:r>
      <w:r>
        <w:rPr>
          <w:sz w:val="20"/>
        </w:rPr>
        <w:t>Consortium</w:t>
      </w:r>
      <w:r>
        <w:rPr>
          <w:spacing w:val="-6"/>
          <w:sz w:val="20"/>
        </w:rPr>
        <w:t> </w:t>
      </w:r>
      <w:r>
        <w:rPr>
          <w:sz w:val="20"/>
        </w:rPr>
        <w:t>on</w:t>
      </w:r>
      <w:r>
        <w:rPr>
          <w:spacing w:val="-6"/>
          <w:sz w:val="20"/>
        </w:rPr>
        <w:t> </w:t>
      </w:r>
      <w:r>
        <w:rPr>
          <w:sz w:val="20"/>
        </w:rPr>
        <w:t>Human</w:t>
      </w:r>
      <w:r>
        <w:rPr>
          <w:spacing w:val="-6"/>
          <w:sz w:val="20"/>
        </w:rPr>
        <w:t> </w:t>
      </w:r>
      <w:r>
        <w:rPr>
          <w:sz w:val="20"/>
        </w:rPr>
        <w:t>Rights and Disability, European Foundation Centre, Brussels, 2009. Available at: </w:t>
      </w:r>
      <w:hyperlink r:id="rId16">
        <w:r>
          <w:rPr>
            <w:color w:val="0563C1"/>
            <w:sz w:val="20"/>
            <w:u w:val="single" w:color="0563C1"/>
          </w:rPr>
          <w:t>http://www.inclusionireland.ie/sites/default/files/attach/basicpage/846/anideaspaperbygerardquinnjun</w:t>
        </w:r>
      </w:hyperlink>
    </w:p>
    <w:p>
      <w:pPr>
        <w:spacing w:line="240" w:lineRule="exact" w:before="0"/>
        <w:ind w:left="732" w:right="0" w:firstLine="0"/>
        <w:jc w:val="left"/>
        <w:rPr>
          <w:sz w:val="20"/>
        </w:rPr>
      </w:pPr>
      <w:hyperlink r:id="rId16">
        <w:r>
          <w:rPr>
            <w:color w:val="0563C1"/>
            <w:sz w:val="20"/>
            <w:u w:val="single" w:color="0563C1"/>
          </w:rPr>
          <w:t>e2009.pdf</w:t>
        </w:r>
      </w:hyperlink>
    </w:p>
    <w:p>
      <w:pPr>
        <w:spacing w:line="241" w:lineRule="exact" w:before="0"/>
        <w:ind w:left="279" w:right="0" w:firstLine="0"/>
        <w:jc w:val="left"/>
        <w:rPr>
          <w:sz w:val="20"/>
        </w:rPr>
      </w:pPr>
      <w:bookmarkStart w:name="_bookmark52" w:id="54"/>
      <w:bookmarkEnd w:id="54"/>
      <w:r>
        <w:rPr/>
      </w:r>
      <w:r>
        <w:rPr>
          <w:position w:val="7"/>
          <w:sz w:val="13"/>
        </w:rPr>
        <w:t>52 </w:t>
      </w:r>
      <w:r>
        <w:rPr>
          <w:sz w:val="20"/>
        </w:rPr>
        <w:t>CRPD Committee, General Comment No. 1: Article 12, para (40).</w:t>
      </w:r>
    </w:p>
    <w:p>
      <w:pPr>
        <w:spacing w:line="236" w:lineRule="exact" w:before="0"/>
        <w:ind w:left="279" w:right="0" w:firstLine="0"/>
        <w:jc w:val="left"/>
        <w:rPr>
          <w:sz w:val="20"/>
        </w:rPr>
      </w:pPr>
      <w:bookmarkStart w:name="_bookmark53" w:id="55"/>
      <w:bookmarkEnd w:id="55"/>
      <w:r>
        <w:rPr/>
      </w:r>
      <w:r>
        <w:rPr>
          <w:position w:val="7"/>
          <w:sz w:val="13"/>
        </w:rPr>
        <w:t>53 </w:t>
      </w:r>
      <w:r>
        <w:rPr>
          <w:sz w:val="20"/>
        </w:rPr>
        <w:t>Ibid, para (15).</w:t>
      </w:r>
    </w:p>
    <w:p>
      <w:pPr>
        <w:spacing w:line="247" w:lineRule="exact" w:before="0"/>
        <w:ind w:left="279" w:right="0" w:firstLine="0"/>
        <w:jc w:val="left"/>
        <w:rPr>
          <w:sz w:val="20"/>
        </w:rPr>
      </w:pPr>
      <w:bookmarkStart w:name="_bookmark54" w:id="56"/>
      <w:bookmarkEnd w:id="56"/>
      <w:r>
        <w:rPr/>
      </w:r>
      <w:r>
        <w:rPr>
          <w:position w:val="7"/>
          <w:sz w:val="13"/>
        </w:rPr>
        <w:t>54 </w:t>
      </w:r>
      <w:r>
        <w:rPr>
          <w:i/>
          <w:sz w:val="21"/>
        </w:rPr>
        <w:t>Bakground Note</w:t>
      </w:r>
      <w:r>
        <w:rPr>
          <w:sz w:val="20"/>
        </w:rPr>
        <w:t>, para (94).</w:t>
      </w:r>
    </w:p>
    <w:p>
      <w:pPr>
        <w:spacing w:line="235" w:lineRule="auto" w:before="3"/>
        <w:ind w:left="449" w:right="106" w:hanging="171"/>
        <w:jc w:val="both"/>
        <w:rPr>
          <w:sz w:val="20"/>
        </w:rPr>
      </w:pPr>
      <w:bookmarkStart w:name="_bookmark55" w:id="57"/>
      <w:bookmarkEnd w:id="57"/>
      <w:r>
        <w:rPr/>
      </w:r>
      <w:r>
        <w:rPr>
          <w:position w:val="7"/>
          <w:sz w:val="13"/>
        </w:rPr>
        <w:t>55</w:t>
      </w:r>
      <w:r>
        <w:rPr>
          <w:spacing w:val="-3"/>
          <w:position w:val="7"/>
          <w:sz w:val="13"/>
        </w:rPr>
        <w:t> </w:t>
      </w:r>
      <w:r>
        <w:rPr>
          <w:sz w:val="20"/>
        </w:rPr>
        <w:t>In</w:t>
      </w:r>
      <w:r>
        <w:rPr>
          <w:spacing w:val="-18"/>
          <w:sz w:val="20"/>
        </w:rPr>
        <w:t> </w:t>
      </w:r>
      <w:r>
        <w:rPr>
          <w:sz w:val="20"/>
        </w:rPr>
        <w:t>its</w:t>
      </w:r>
      <w:r>
        <w:rPr>
          <w:spacing w:val="-18"/>
          <w:sz w:val="20"/>
        </w:rPr>
        <w:t> </w:t>
      </w:r>
      <w:r>
        <w:rPr>
          <w:sz w:val="20"/>
        </w:rPr>
        <w:t>General</w:t>
      </w:r>
      <w:r>
        <w:rPr>
          <w:spacing w:val="-18"/>
          <w:sz w:val="20"/>
        </w:rPr>
        <w:t> </w:t>
      </w:r>
      <w:r>
        <w:rPr>
          <w:sz w:val="20"/>
        </w:rPr>
        <w:t>Comment</w:t>
      </w:r>
      <w:r>
        <w:rPr>
          <w:spacing w:val="-18"/>
          <w:sz w:val="20"/>
        </w:rPr>
        <w:t> </w:t>
      </w:r>
      <w:r>
        <w:rPr>
          <w:sz w:val="20"/>
        </w:rPr>
        <w:t>No.</w:t>
      </w:r>
      <w:r>
        <w:rPr>
          <w:spacing w:val="-18"/>
          <w:sz w:val="20"/>
        </w:rPr>
        <w:t> </w:t>
      </w:r>
      <w:r>
        <w:rPr>
          <w:sz w:val="20"/>
        </w:rPr>
        <w:t>1,</w:t>
      </w:r>
      <w:r>
        <w:rPr>
          <w:spacing w:val="-18"/>
          <w:sz w:val="20"/>
        </w:rPr>
        <w:t> </w:t>
      </w:r>
      <w:r>
        <w:rPr>
          <w:sz w:val="20"/>
        </w:rPr>
        <w:t>Article</w:t>
      </w:r>
      <w:r>
        <w:rPr>
          <w:spacing w:val="-18"/>
          <w:sz w:val="20"/>
        </w:rPr>
        <w:t> </w:t>
      </w:r>
      <w:r>
        <w:rPr>
          <w:sz w:val="20"/>
        </w:rPr>
        <w:t>12,</w:t>
      </w:r>
      <w:r>
        <w:rPr>
          <w:spacing w:val="-19"/>
          <w:sz w:val="20"/>
        </w:rPr>
        <w:t> </w:t>
      </w:r>
      <w:r>
        <w:rPr>
          <w:sz w:val="20"/>
        </w:rPr>
        <w:t>paras</w:t>
      </w:r>
      <w:r>
        <w:rPr>
          <w:spacing w:val="-18"/>
          <w:sz w:val="20"/>
        </w:rPr>
        <w:t> </w:t>
      </w:r>
      <w:r>
        <w:rPr>
          <w:sz w:val="20"/>
        </w:rPr>
        <w:t>(21)</w:t>
      </w:r>
      <w:r>
        <w:rPr>
          <w:spacing w:val="-18"/>
          <w:sz w:val="20"/>
        </w:rPr>
        <w:t> </w:t>
      </w:r>
      <w:r>
        <w:rPr>
          <w:sz w:val="20"/>
        </w:rPr>
        <w:t>and</w:t>
      </w:r>
      <w:r>
        <w:rPr>
          <w:spacing w:val="-18"/>
          <w:sz w:val="20"/>
        </w:rPr>
        <w:t> </w:t>
      </w:r>
      <w:r>
        <w:rPr>
          <w:sz w:val="20"/>
        </w:rPr>
        <w:t>(42),</w:t>
      </w:r>
      <w:r>
        <w:rPr>
          <w:spacing w:val="-18"/>
          <w:sz w:val="20"/>
        </w:rPr>
        <w:t> </w:t>
      </w:r>
      <w:r>
        <w:rPr>
          <w:sz w:val="20"/>
        </w:rPr>
        <w:t>the</w:t>
      </w:r>
      <w:r>
        <w:rPr>
          <w:spacing w:val="-18"/>
          <w:sz w:val="20"/>
        </w:rPr>
        <w:t> </w:t>
      </w:r>
      <w:r>
        <w:rPr>
          <w:sz w:val="20"/>
        </w:rPr>
        <w:t>CRPD</w:t>
      </w:r>
      <w:r>
        <w:rPr>
          <w:spacing w:val="-18"/>
          <w:sz w:val="20"/>
        </w:rPr>
        <w:t> </w:t>
      </w:r>
      <w:r>
        <w:rPr>
          <w:sz w:val="20"/>
        </w:rPr>
        <w:t>Committee</w:t>
      </w:r>
      <w:r>
        <w:rPr>
          <w:spacing w:val="-18"/>
          <w:sz w:val="20"/>
        </w:rPr>
        <w:t> </w:t>
      </w:r>
      <w:r>
        <w:rPr>
          <w:sz w:val="20"/>
        </w:rPr>
        <w:t>stated</w:t>
      </w:r>
      <w:r>
        <w:rPr>
          <w:spacing w:val="-18"/>
          <w:sz w:val="20"/>
        </w:rPr>
        <w:t> </w:t>
      </w:r>
      <w:r>
        <w:rPr>
          <w:sz w:val="20"/>
        </w:rPr>
        <w:t>that</w:t>
      </w:r>
      <w:r>
        <w:rPr>
          <w:spacing w:val="-19"/>
          <w:sz w:val="20"/>
        </w:rPr>
        <w:t> </w:t>
      </w:r>
      <w:r>
        <w:rPr>
          <w:sz w:val="20"/>
        </w:rPr>
        <w:t>decisions about</w:t>
      </w:r>
      <w:r>
        <w:rPr>
          <w:spacing w:val="-9"/>
          <w:sz w:val="20"/>
        </w:rPr>
        <w:t> </w:t>
      </w:r>
      <w:r>
        <w:rPr>
          <w:sz w:val="20"/>
        </w:rPr>
        <w:t>medical</w:t>
      </w:r>
      <w:r>
        <w:rPr>
          <w:spacing w:val="-9"/>
          <w:sz w:val="20"/>
        </w:rPr>
        <w:t> </w:t>
      </w:r>
      <w:r>
        <w:rPr>
          <w:sz w:val="20"/>
        </w:rPr>
        <w:t>and</w:t>
      </w:r>
      <w:r>
        <w:rPr>
          <w:spacing w:val="-9"/>
          <w:sz w:val="20"/>
        </w:rPr>
        <w:t> </w:t>
      </w:r>
      <w:r>
        <w:rPr>
          <w:sz w:val="20"/>
        </w:rPr>
        <w:t>psychiatric</w:t>
      </w:r>
      <w:r>
        <w:rPr>
          <w:spacing w:val="-8"/>
          <w:sz w:val="20"/>
        </w:rPr>
        <w:t> </w:t>
      </w:r>
      <w:r>
        <w:rPr>
          <w:sz w:val="20"/>
        </w:rPr>
        <w:t>treatment</w:t>
      </w:r>
      <w:r>
        <w:rPr>
          <w:spacing w:val="-10"/>
          <w:sz w:val="20"/>
        </w:rPr>
        <w:t> </w:t>
      </w:r>
      <w:r>
        <w:rPr>
          <w:sz w:val="20"/>
        </w:rPr>
        <w:t>must</w:t>
      </w:r>
      <w:r>
        <w:rPr>
          <w:spacing w:val="-8"/>
          <w:sz w:val="20"/>
        </w:rPr>
        <w:t> </w:t>
      </w:r>
      <w:r>
        <w:rPr>
          <w:sz w:val="20"/>
        </w:rPr>
        <w:t>be</w:t>
      </w:r>
      <w:r>
        <w:rPr>
          <w:spacing w:val="-8"/>
          <w:sz w:val="20"/>
        </w:rPr>
        <w:t> </w:t>
      </w:r>
      <w:r>
        <w:rPr>
          <w:sz w:val="20"/>
        </w:rPr>
        <w:t>based</w:t>
      </w:r>
      <w:r>
        <w:rPr>
          <w:spacing w:val="-9"/>
          <w:sz w:val="20"/>
        </w:rPr>
        <w:t> </w:t>
      </w:r>
      <w:r>
        <w:rPr>
          <w:sz w:val="20"/>
        </w:rPr>
        <w:t>on</w:t>
      </w:r>
      <w:r>
        <w:rPr>
          <w:spacing w:val="-9"/>
          <w:sz w:val="20"/>
        </w:rPr>
        <w:t> </w:t>
      </w:r>
      <w:r>
        <w:rPr>
          <w:sz w:val="20"/>
        </w:rPr>
        <w:t>the</w:t>
      </w:r>
      <w:r>
        <w:rPr>
          <w:spacing w:val="-8"/>
          <w:sz w:val="20"/>
        </w:rPr>
        <w:t> </w:t>
      </w:r>
      <w:r>
        <w:rPr>
          <w:sz w:val="20"/>
        </w:rPr>
        <w:t>free</w:t>
      </w:r>
      <w:r>
        <w:rPr>
          <w:spacing w:val="-9"/>
          <w:sz w:val="20"/>
        </w:rPr>
        <w:t> </w:t>
      </w:r>
      <w:r>
        <w:rPr>
          <w:sz w:val="20"/>
        </w:rPr>
        <w:t>and</w:t>
      </w:r>
      <w:r>
        <w:rPr>
          <w:spacing w:val="-9"/>
          <w:sz w:val="20"/>
        </w:rPr>
        <w:t> </w:t>
      </w:r>
      <w:r>
        <w:rPr>
          <w:sz w:val="20"/>
        </w:rPr>
        <w:t>informed</w:t>
      </w:r>
      <w:r>
        <w:rPr>
          <w:spacing w:val="-10"/>
          <w:sz w:val="20"/>
        </w:rPr>
        <w:t> </w:t>
      </w:r>
      <w:r>
        <w:rPr>
          <w:sz w:val="20"/>
        </w:rPr>
        <w:t>consent</w:t>
      </w:r>
      <w:r>
        <w:rPr>
          <w:spacing w:val="-9"/>
          <w:sz w:val="20"/>
        </w:rPr>
        <w:t> </w:t>
      </w:r>
      <w:r>
        <w:rPr>
          <w:sz w:val="20"/>
        </w:rPr>
        <w:t>of</w:t>
      </w:r>
      <w:r>
        <w:rPr>
          <w:spacing w:val="-9"/>
          <w:sz w:val="20"/>
        </w:rPr>
        <w:t> </w:t>
      </w:r>
      <w:r>
        <w:rPr>
          <w:sz w:val="20"/>
        </w:rPr>
        <w:t>the</w:t>
      </w:r>
      <w:r>
        <w:rPr>
          <w:spacing w:val="-8"/>
          <w:sz w:val="20"/>
        </w:rPr>
        <w:t> </w:t>
      </w:r>
      <w:r>
        <w:rPr>
          <w:sz w:val="20"/>
        </w:rPr>
        <w:t>person concerned</w:t>
      </w:r>
      <w:r>
        <w:rPr>
          <w:spacing w:val="-10"/>
          <w:sz w:val="20"/>
        </w:rPr>
        <w:t> </w:t>
      </w:r>
      <w:r>
        <w:rPr>
          <w:sz w:val="20"/>
        </w:rPr>
        <w:t>and</w:t>
      </w:r>
      <w:r>
        <w:rPr>
          <w:spacing w:val="-9"/>
          <w:sz w:val="20"/>
        </w:rPr>
        <w:t> </w:t>
      </w:r>
      <w:r>
        <w:rPr>
          <w:sz w:val="20"/>
        </w:rPr>
        <w:t>respect</w:t>
      </w:r>
      <w:r>
        <w:rPr>
          <w:spacing w:val="-9"/>
          <w:sz w:val="20"/>
        </w:rPr>
        <w:t> </w:t>
      </w:r>
      <w:r>
        <w:rPr>
          <w:sz w:val="20"/>
        </w:rPr>
        <w:t>the</w:t>
      </w:r>
      <w:r>
        <w:rPr>
          <w:spacing w:val="-10"/>
          <w:sz w:val="20"/>
        </w:rPr>
        <w:t> </w:t>
      </w:r>
      <w:r>
        <w:rPr>
          <w:sz w:val="20"/>
        </w:rPr>
        <w:t>person’s</w:t>
      </w:r>
      <w:r>
        <w:rPr>
          <w:spacing w:val="-8"/>
          <w:sz w:val="20"/>
        </w:rPr>
        <w:t> </w:t>
      </w:r>
      <w:r>
        <w:rPr>
          <w:sz w:val="20"/>
        </w:rPr>
        <w:t>autonomy,</w:t>
      </w:r>
      <w:r>
        <w:rPr>
          <w:spacing w:val="-8"/>
          <w:sz w:val="20"/>
        </w:rPr>
        <w:t> </w:t>
      </w:r>
      <w:r>
        <w:rPr>
          <w:sz w:val="20"/>
        </w:rPr>
        <w:t>will</w:t>
      </w:r>
      <w:r>
        <w:rPr>
          <w:spacing w:val="-9"/>
          <w:sz w:val="20"/>
        </w:rPr>
        <w:t> </w:t>
      </w:r>
      <w:r>
        <w:rPr>
          <w:sz w:val="20"/>
        </w:rPr>
        <w:t>and</w:t>
      </w:r>
      <w:r>
        <w:rPr>
          <w:spacing w:val="-9"/>
          <w:sz w:val="20"/>
        </w:rPr>
        <w:t> </w:t>
      </w:r>
      <w:r>
        <w:rPr>
          <w:sz w:val="20"/>
        </w:rPr>
        <w:t>preferences.</w:t>
      </w:r>
      <w:r>
        <w:rPr>
          <w:spacing w:val="-8"/>
          <w:sz w:val="20"/>
        </w:rPr>
        <w:t> </w:t>
      </w:r>
      <w:r>
        <w:rPr>
          <w:sz w:val="20"/>
        </w:rPr>
        <w:t>The</w:t>
      </w:r>
      <w:r>
        <w:rPr>
          <w:spacing w:val="-9"/>
          <w:sz w:val="20"/>
        </w:rPr>
        <w:t> </w:t>
      </w:r>
      <w:r>
        <w:rPr>
          <w:sz w:val="20"/>
        </w:rPr>
        <w:t>CRPD</w:t>
      </w:r>
      <w:r>
        <w:rPr>
          <w:spacing w:val="-9"/>
          <w:sz w:val="20"/>
        </w:rPr>
        <w:t> </w:t>
      </w:r>
      <w:r>
        <w:rPr>
          <w:sz w:val="20"/>
        </w:rPr>
        <w:t>Committee’s</w:t>
      </w:r>
      <w:r>
        <w:rPr>
          <w:spacing w:val="-8"/>
          <w:sz w:val="20"/>
        </w:rPr>
        <w:t> </w:t>
      </w:r>
      <w:r>
        <w:rPr>
          <w:i/>
          <w:sz w:val="21"/>
        </w:rPr>
        <w:t>Guidelines on Article 14</w:t>
      </w:r>
      <w:r>
        <w:rPr>
          <w:sz w:val="20"/>
        </w:rPr>
        <w:t>, para (10), stated that “Involuntary commitment in mental health facilities carries with it the</w:t>
      </w:r>
      <w:r>
        <w:rPr>
          <w:spacing w:val="-6"/>
          <w:sz w:val="20"/>
        </w:rPr>
        <w:t> </w:t>
      </w:r>
      <w:r>
        <w:rPr>
          <w:sz w:val="20"/>
        </w:rPr>
        <w:t>denial</w:t>
      </w:r>
      <w:r>
        <w:rPr>
          <w:spacing w:val="-6"/>
          <w:sz w:val="20"/>
        </w:rPr>
        <w:t> </w:t>
      </w:r>
      <w:r>
        <w:rPr>
          <w:sz w:val="20"/>
        </w:rPr>
        <w:t>of</w:t>
      </w:r>
      <w:r>
        <w:rPr>
          <w:spacing w:val="-6"/>
          <w:sz w:val="20"/>
        </w:rPr>
        <w:t> </w:t>
      </w:r>
      <w:r>
        <w:rPr>
          <w:sz w:val="20"/>
        </w:rPr>
        <w:t>the</w:t>
      </w:r>
      <w:r>
        <w:rPr>
          <w:spacing w:val="-6"/>
          <w:sz w:val="20"/>
        </w:rPr>
        <w:t> </w:t>
      </w:r>
      <w:r>
        <w:rPr>
          <w:sz w:val="20"/>
        </w:rPr>
        <w:t>person’s</w:t>
      </w:r>
      <w:r>
        <w:rPr>
          <w:spacing w:val="-6"/>
          <w:sz w:val="20"/>
        </w:rPr>
        <w:t> </w:t>
      </w:r>
      <w:r>
        <w:rPr>
          <w:sz w:val="20"/>
        </w:rPr>
        <w:t>legal</w:t>
      </w:r>
      <w:r>
        <w:rPr>
          <w:spacing w:val="-6"/>
          <w:sz w:val="20"/>
        </w:rPr>
        <w:t> </w:t>
      </w:r>
      <w:r>
        <w:rPr>
          <w:sz w:val="20"/>
        </w:rPr>
        <w:t>capacity</w:t>
      </w:r>
      <w:r>
        <w:rPr>
          <w:spacing w:val="-6"/>
          <w:sz w:val="20"/>
        </w:rPr>
        <w:t> </w:t>
      </w:r>
      <w:r>
        <w:rPr>
          <w:sz w:val="20"/>
        </w:rPr>
        <w:t>to</w:t>
      </w:r>
      <w:r>
        <w:rPr>
          <w:spacing w:val="-6"/>
          <w:sz w:val="20"/>
        </w:rPr>
        <w:t> </w:t>
      </w:r>
      <w:r>
        <w:rPr>
          <w:sz w:val="20"/>
        </w:rPr>
        <w:t>decide</w:t>
      </w:r>
      <w:r>
        <w:rPr>
          <w:spacing w:val="-6"/>
          <w:sz w:val="20"/>
        </w:rPr>
        <w:t> </w:t>
      </w:r>
      <w:r>
        <w:rPr>
          <w:sz w:val="20"/>
        </w:rPr>
        <w:t>about</w:t>
      </w:r>
      <w:r>
        <w:rPr>
          <w:spacing w:val="-6"/>
          <w:sz w:val="20"/>
        </w:rPr>
        <w:t> </w:t>
      </w:r>
      <w:r>
        <w:rPr>
          <w:sz w:val="20"/>
        </w:rPr>
        <w:t>care,</w:t>
      </w:r>
      <w:r>
        <w:rPr>
          <w:spacing w:val="-6"/>
          <w:sz w:val="20"/>
        </w:rPr>
        <w:t> </w:t>
      </w:r>
      <w:r>
        <w:rPr>
          <w:sz w:val="20"/>
        </w:rPr>
        <w:t>treatment,</w:t>
      </w:r>
      <w:r>
        <w:rPr>
          <w:spacing w:val="-6"/>
          <w:sz w:val="20"/>
        </w:rPr>
        <w:t> </w:t>
      </w:r>
      <w:r>
        <w:rPr>
          <w:sz w:val="20"/>
        </w:rPr>
        <w:t>and</w:t>
      </w:r>
      <w:r>
        <w:rPr>
          <w:spacing w:val="-7"/>
          <w:sz w:val="20"/>
        </w:rPr>
        <w:t> </w:t>
      </w:r>
      <w:r>
        <w:rPr>
          <w:sz w:val="20"/>
        </w:rPr>
        <w:t>admission</w:t>
      </w:r>
      <w:r>
        <w:rPr>
          <w:spacing w:val="-6"/>
          <w:sz w:val="20"/>
        </w:rPr>
        <w:t> </w:t>
      </w:r>
      <w:r>
        <w:rPr>
          <w:sz w:val="20"/>
        </w:rPr>
        <w:t>to</w:t>
      </w:r>
      <w:r>
        <w:rPr>
          <w:spacing w:val="-6"/>
          <w:sz w:val="20"/>
        </w:rPr>
        <w:t> </w:t>
      </w:r>
      <w:r>
        <w:rPr>
          <w:sz w:val="20"/>
        </w:rPr>
        <w:t>a</w:t>
      </w:r>
      <w:r>
        <w:rPr>
          <w:spacing w:val="-6"/>
          <w:sz w:val="20"/>
        </w:rPr>
        <w:t> </w:t>
      </w:r>
      <w:r>
        <w:rPr>
          <w:sz w:val="20"/>
        </w:rPr>
        <w:t>hospital</w:t>
      </w:r>
      <w:r>
        <w:rPr>
          <w:spacing w:val="-6"/>
          <w:sz w:val="20"/>
        </w:rPr>
        <w:t> </w:t>
      </w:r>
      <w:r>
        <w:rPr>
          <w:sz w:val="20"/>
        </w:rPr>
        <w:t>or institution, and therefore violates article 12 in conjunction with article</w:t>
      </w:r>
      <w:r>
        <w:rPr>
          <w:spacing w:val="-16"/>
          <w:sz w:val="20"/>
        </w:rPr>
        <w:t> </w:t>
      </w:r>
      <w:r>
        <w:rPr>
          <w:sz w:val="20"/>
        </w:rPr>
        <w:t>14”.</w:t>
      </w:r>
    </w:p>
    <w:p>
      <w:pPr>
        <w:spacing w:after="0" w:line="235" w:lineRule="auto"/>
        <w:jc w:val="both"/>
        <w:rPr>
          <w:sz w:val="20"/>
        </w:rPr>
        <w:sectPr>
          <w:pgSz w:w="11910" w:h="16840"/>
          <w:pgMar w:header="0" w:footer="523" w:top="1300" w:bottom="720" w:left="940" w:right="1320"/>
        </w:sectPr>
      </w:pPr>
    </w:p>
    <w:p>
      <w:pPr>
        <w:pStyle w:val="BodyText"/>
        <w:spacing w:before="82"/>
        <w:ind w:left="397" w:right="107"/>
        <w:jc w:val="both"/>
      </w:pPr>
      <w:r>
        <w:rPr/>
        <w:t>and</w:t>
      </w:r>
      <w:r>
        <w:rPr>
          <w:spacing w:val="-10"/>
        </w:rPr>
        <w:t> </w:t>
      </w:r>
      <w:r>
        <w:rPr/>
        <w:t>other</w:t>
      </w:r>
      <w:r>
        <w:rPr>
          <w:spacing w:val="-9"/>
        </w:rPr>
        <w:t> </w:t>
      </w:r>
      <w:r>
        <w:rPr/>
        <w:t>cruel,</w:t>
      </w:r>
      <w:r>
        <w:rPr>
          <w:spacing w:val="-10"/>
        </w:rPr>
        <w:t> </w:t>
      </w:r>
      <w:r>
        <w:rPr/>
        <w:t>inhumane</w:t>
      </w:r>
      <w:r>
        <w:rPr>
          <w:spacing w:val="-9"/>
        </w:rPr>
        <w:t> </w:t>
      </w:r>
      <w:r>
        <w:rPr/>
        <w:t>or</w:t>
      </w:r>
      <w:r>
        <w:rPr>
          <w:spacing w:val="-10"/>
        </w:rPr>
        <w:t> </w:t>
      </w:r>
      <w:r>
        <w:rPr/>
        <w:t>degrading</w:t>
      </w:r>
      <w:r>
        <w:rPr>
          <w:spacing w:val="-8"/>
        </w:rPr>
        <w:t> </w:t>
      </w:r>
      <w:r>
        <w:rPr/>
        <w:t>treatment</w:t>
      </w:r>
      <w:r>
        <w:rPr>
          <w:spacing w:val="-9"/>
        </w:rPr>
        <w:t> </w:t>
      </w:r>
      <w:r>
        <w:rPr/>
        <w:t>or</w:t>
      </w:r>
      <w:r>
        <w:rPr>
          <w:spacing w:val="-10"/>
        </w:rPr>
        <w:t> </w:t>
      </w:r>
      <w:r>
        <w:rPr/>
        <w:t>punishment</w:t>
      </w:r>
      <w:r>
        <w:rPr>
          <w:spacing w:val="-10"/>
        </w:rPr>
        <w:t> </w:t>
      </w:r>
      <w:r>
        <w:rPr/>
        <w:t>against</w:t>
      </w:r>
      <w:r>
        <w:rPr>
          <w:spacing w:val="-10"/>
        </w:rPr>
        <w:t> </w:t>
      </w:r>
      <w:r>
        <w:rPr/>
        <w:t>persons</w:t>
      </w:r>
      <w:r>
        <w:rPr>
          <w:spacing w:val="-9"/>
        </w:rPr>
        <w:t> </w:t>
      </w:r>
      <w:r>
        <w:rPr/>
        <w:t>with disabilities” </w:t>
      </w:r>
      <w:hyperlink w:history="true" w:anchor="_bookmark56">
        <w:r>
          <w:rPr>
            <w:position w:val="8"/>
            <w:sz w:val="16"/>
          </w:rPr>
          <w:t>56 </w:t>
        </w:r>
      </w:hyperlink>
      <w:r>
        <w:rPr/>
        <w:t>included within Article 15 of the CRPD. In the opinion of the CRPD Committee:</w:t>
      </w:r>
    </w:p>
    <w:p>
      <w:pPr>
        <w:spacing w:before="201"/>
        <w:ind w:left="965" w:right="162" w:firstLine="0"/>
        <w:jc w:val="both"/>
        <w:rPr>
          <w:sz w:val="13"/>
        </w:rPr>
      </w:pPr>
      <w:r>
        <w:rPr>
          <w:sz w:val="20"/>
        </w:rPr>
        <w:t>[l]ack of accessibility and reasonable accommodation places persons with disabilities in sub- standard conditions of detention [which] are incompatible also with article 17 of the Convention and may constitute a breach of article 15(2).</w:t>
      </w:r>
      <w:hyperlink w:history="true" w:anchor="_bookmark57">
        <w:r>
          <w:rPr>
            <w:position w:val="7"/>
            <w:sz w:val="13"/>
          </w:rPr>
          <w:t>57</w:t>
        </w:r>
      </w:hyperlink>
    </w:p>
    <w:p>
      <w:pPr>
        <w:pStyle w:val="BodyText"/>
        <w:spacing w:before="199"/>
        <w:ind w:left="398" w:right="108"/>
        <w:jc w:val="both"/>
        <w:rPr>
          <w:sz w:val="16"/>
        </w:rPr>
      </w:pPr>
      <w:r>
        <w:rPr/>
        <w:t>The CRPD Committee has also stressed the necessity of implementing monitoring and review mechanisms in relation to persons with disabilities deprived of their liberty, in connection with Article 16.3 of the CRPD, so as to prevent all forms of exploitation, violence and abuse.</w:t>
      </w:r>
      <w:hyperlink w:history="true" w:anchor="_bookmark58">
        <w:r>
          <w:rPr>
            <w:position w:val="8"/>
            <w:sz w:val="16"/>
          </w:rPr>
          <w:t>58</w:t>
        </w:r>
      </w:hyperlink>
    </w:p>
    <w:p>
      <w:pPr>
        <w:pStyle w:val="BodyText"/>
        <w:spacing w:before="2"/>
      </w:pPr>
    </w:p>
    <w:p>
      <w:pPr>
        <w:pStyle w:val="BodyText"/>
        <w:spacing w:line="237" w:lineRule="auto"/>
        <w:ind w:left="397" w:right="106"/>
        <w:jc w:val="both"/>
        <w:rPr>
          <w:sz w:val="16"/>
        </w:rPr>
      </w:pPr>
      <w:r>
        <w:rPr/>
        <w:t>The CRPD Committee has also underlined the link between article 14 and article 19, which recognizes the right to live independently and be included in the community.</w:t>
      </w:r>
      <w:hyperlink w:history="true" w:anchor="_bookmark59">
        <w:r>
          <w:rPr>
            <w:position w:val="8"/>
            <w:sz w:val="16"/>
          </w:rPr>
          <w:t>59</w:t>
        </w:r>
      </w:hyperlink>
      <w:r>
        <w:rPr>
          <w:position w:val="8"/>
          <w:sz w:val="16"/>
        </w:rPr>
        <w:t> </w:t>
      </w:r>
      <w:r>
        <w:rPr/>
        <w:t>In order to realise the full protection of the right to liberty in the context of disability, a policy shift is required – moving away from traditional methods of treating mental health conditions, which legitimise schemes of detention for persons with disabilities, to a public community</w:t>
      </w:r>
      <w:r>
        <w:rPr>
          <w:rFonts w:ascii="MS PGothic" w:hAnsi="MS PGothic"/>
        </w:rPr>
        <w:t>‐</w:t>
      </w:r>
      <w:r>
        <w:rPr/>
        <w:t>based services approach</w:t>
      </w:r>
      <w:hyperlink w:history="true" w:anchor="_bookmark60">
        <w:r>
          <w:rPr>
            <w:position w:val="8"/>
            <w:sz w:val="16"/>
          </w:rPr>
          <w:t>60 </w:t>
        </w:r>
      </w:hyperlink>
      <w:r>
        <w:rPr/>
        <w:t>integrated through the design and implementation of de-institutionalisation</w:t>
      </w:r>
      <w:r>
        <w:rPr>
          <w:spacing w:val="-3"/>
        </w:rPr>
        <w:t> </w:t>
      </w:r>
      <w:r>
        <w:rPr/>
        <w:t>strategies.</w:t>
      </w:r>
      <w:hyperlink w:history="true" w:anchor="_bookmark61">
        <w:r>
          <w:rPr>
            <w:position w:val="8"/>
            <w:sz w:val="16"/>
          </w:rPr>
          <w:t>61</w:t>
        </w:r>
      </w:hyperlink>
    </w:p>
    <w:p>
      <w:pPr>
        <w:pStyle w:val="BodyText"/>
      </w:pPr>
    </w:p>
    <w:p>
      <w:pPr>
        <w:pStyle w:val="BodyText"/>
        <w:ind w:left="397" w:right="106"/>
        <w:jc w:val="both"/>
      </w:pPr>
      <w:r>
        <w:rPr/>
        <w:t>Finally, compliance with the framework of the CRPD requires, according to articles 4.3 and 33.3, the involvement of persons with disabilities and their representative organisations in monitoring the implementation of Art 14.</w:t>
      </w:r>
    </w:p>
    <w:p>
      <w:pPr>
        <w:pStyle w:val="BodyText"/>
      </w:pPr>
    </w:p>
    <w:p>
      <w:pPr>
        <w:pStyle w:val="ListParagraph"/>
        <w:numPr>
          <w:ilvl w:val="0"/>
          <w:numId w:val="1"/>
        </w:numPr>
        <w:tabs>
          <w:tab w:pos="967" w:val="left" w:leader="none"/>
        </w:tabs>
        <w:spacing w:line="240" w:lineRule="auto" w:before="1" w:after="0"/>
        <w:ind w:left="4594" w:right="295" w:hanging="4008"/>
        <w:jc w:val="left"/>
        <w:rPr>
          <w:sz w:val="24"/>
        </w:rPr>
      </w:pPr>
      <w:r>
        <w:rPr>
          <w:sz w:val="24"/>
        </w:rPr>
        <w:t>LIBERTY AND SECURITY OF PERSONS WITH PSYCHOSOCIAL DISABILITIES IN QATAR</w:t>
      </w:r>
    </w:p>
    <w:p>
      <w:pPr>
        <w:pStyle w:val="BodyText"/>
        <w:spacing w:before="11"/>
        <w:rPr>
          <w:sz w:val="23"/>
        </w:rPr>
      </w:pPr>
    </w:p>
    <w:p>
      <w:pPr>
        <w:pStyle w:val="BodyText"/>
        <w:ind w:left="397" w:right="105"/>
        <w:jc w:val="both"/>
      </w:pPr>
      <w:r>
        <w:rPr/>
        <w:t>Qatar is an independent sovereign Arab State with a legal system based on a mixture of civil law and Shari’a law – the latter being recognised in Article 12 of the Qatari Constitution</w:t>
      </w:r>
      <w:hyperlink w:history="true" w:anchor="_bookmark62">
        <w:r>
          <w:rPr>
            <w:position w:val="8"/>
            <w:sz w:val="16"/>
          </w:rPr>
          <w:t>62 </w:t>
        </w:r>
      </w:hyperlink>
      <w:r>
        <w:rPr/>
        <w:t>as the principal source of legislation. A modernisation strategy, Qatar National Vision 2030, is aimed at renewing and developing the country. </w:t>
      </w:r>
      <w:hyperlink w:history="true" w:anchor="_bookmark63">
        <w:r>
          <w:rPr>
            <w:position w:val="8"/>
            <w:sz w:val="16"/>
          </w:rPr>
          <w:t>63 </w:t>
        </w:r>
      </w:hyperlink>
      <w:r>
        <w:rPr/>
        <w:t>Qatar’s presence</w:t>
      </w:r>
      <w:r>
        <w:rPr>
          <w:spacing w:val="-9"/>
        </w:rPr>
        <w:t> </w:t>
      </w:r>
      <w:r>
        <w:rPr/>
        <w:t>in</w:t>
      </w:r>
      <w:r>
        <w:rPr>
          <w:spacing w:val="-9"/>
        </w:rPr>
        <w:t> </w:t>
      </w:r>
      <w:r>
        <w:rPr/>
        <w:t>the</w:t>
      </w:r>
      <w:r>
        <w:rPr>
          <w:spacing w:val="-9"/>
        </w:rPr>
        <w:t> </w:t>
      </w:r>
      <w:r>
        <w:rPr/>
        <w:t>international</w:t>
      </w:r>
      <w:r>
        <w:rPr>
          <w:spacing w:val="-9"/>
        </w:rPr>
        <w:t> </w:t>
      </w:r>
      <w:r>
        <w:rPr/>
        <w:t>system</w:t>
      </w:r>
      <w:r>
        <w:rPr>
          <w:spacing w:val="-9"/>
        </w:rPr>
        <w:t> </w:t>
      </w:r>
      <w:r>
        <w:rPr/>
        <w:t>of</w:t>
      </w:r>
      <w:r>
        <w:rPr>
          <w:spacing w:val="-10"/>
        </w:rPr>
        <w:t> </w:t>
      </w:r>
      <w:r>
        <w:rPr/>
        <w:t>human</w:t>
      </w:r>
      <w:r>
        <w:rPr>
          <w:spacing w:val="-8"/>
        </w:rPr>
        <w:t> </w:t>
      </w:r>
      <w:r>
        <w:rPr/>
        <w:t>rights</w:t>
      </w:r>
      <w:r>
        <w:rPr>
          <w:spacing w:val="-9"/>
        </w:rPr>
        <w:t> </w:t>
      </w:r>
      <w:r>
        <w:rPr/>
        <w:t>protection</w:t>
      </w:r>
      <w:r>
        <w:rPr>
          <w:spacing w:val="-8"/>
        </w:rPr>
        <w:t> </w:t>
      </w:r>
      <w:r>
        <w:rPr/>
        <w:t>is</w:t>
      </w:r>
      <w:r>
        <w:rPr>
          <w:spacing w:val="-9"/>
        </w:rPr>
        <w:t> </w:t>
      </w:r>
      <w:r>
        <w:rPr/>
        <w:t>relatively</w:t>
      </w:r>
      <w:r>
        <w:rPr>
          <w:spacing w:val="-8"/>
        </w:rPr>
        <w:t> </w:t>
      </w:r>
      <w:r>
        <w:rPr/>
        <w:t>recent</w:t>
      </w:r>
      <w:r>
        <w:rPr>
          <w:spacing w:val="-9"/>
        </w:rPr>
        <w:t> </w:t>
      </w:r>
      <w:r>
        <w:rPr/>
        <w:t>and the</w:t>
      </w:r>
      <w:r>
        <w:rPr>
          <w:spacing w:val="-9"/>
        </w:rPr>
        <w:t> </w:t>
      </w:r>
      <w:r>
        <w:rPr/>
        <w:t>State</w:t>
      </w:r>
      <w:r>
        <w:rPr>
          <w:spacing w:val="-9"/>
        </w:rPr>
        <w:t> </w:t>
      </w:r>
      <w:r>
        <w:rPr/>
        <w:t>is</w:t>
      </w:r>
      <w:r>
        <w:rPr>
          <w:spacing w:val="-9"/>
        </w:rPr>
        <w:t> </w:t>
      </w:r>
      <w:r>
        <w:rPr/>
        <w:t>still</w:t>
      </w:r>
      <w:r>
        <w:rPr>
          <w:spacing w:val="-9"/>
        </w:rPr>
        <w:t> </w:t>
      </w:r>
      <w:r>
        <w:rPr/>
        <w:t>awaiting</w:t>
      </w:r>
      <w:r>
        <w:rPr>
          <w:spacing w:val="-9"/>
        </w:rPr>
        <w:t> </w:t>
      </w:r>
      <w:r>
        <w:rPr/>
        <w:t>the</w:t>
      </w:r>
      <w:r>
        <w:rPr>
          <w:spacing w:val="-9"/>
        </w:rPr>
        <w:t> </w:t>
      </w:r>
      <w:r>
        <w:rPr/>
        <w:t>ratification</w:t>
      </w:r>
      <w:r>
        <w:rPr>
          <w:spacing w:val="-10"/>
        </w:rPr>
        <w:t> </w:t>
      </w:r>
      <w:r>
        <w:rPr/>
        <w:t>of</w:t>
      </w:r>
      <w:r>
        <w:rPr>
          <w:spacing w:val="-10"/>
        </w:rPr>
        <w:t> </w:t>
      </w:r>
      <w:r>
        <w:rPr/>
        <w:t>very</w:t>
      </w:r>
      <w:r>
        <w:rPr>
          <w:spacing w:val="-9"/>
        </w:rPr>
        <w:t> </w:t>
      </w:r>
      <w:r>
        <w:rPr/>
        <w:t>relevant</w:t>
      </w:r>
      <w:r>
        <w:rPr>
          <w:spacing w:val="-10"/>
        </w:rPr>
        <w:t> </w:t>
      </w:r>
      <w:r>
        <w:rPr/>
        <w:t>instruments,</w:t>
      </w:r>
      <w:r>
        <w:rPr>
          <w:spacing w:val="-9"/>
        </w:rPr>
        <w:t> </w:t>
      </w:r>
      <w:r>
        <w:rPr/>
        <w:t>among</w:t>
      </w:r>
      <w:r>
        <w:rPr>
          <w:spacing w:val="-9"/>
        </w:rPr>
        <w:t> </w:t>
      </w:r>
      <w:r>
        <w:rPr/>
        <w:t>them,</w:t>
      </w:r>
      <w:r>
        <w:rPr>
          <w:spacing w:val="-9"/>
        </w:rPr>
        <w:t> </w:t>
      </w:r>
      <w:r>
        <w:rPr/>
        <w:t>the</w:t>
      </w:r>
    </w:p>
    <w:p>
      <w:pPr>
        <w:pStyle w:val="BodyText"/>
        <w:rPr>
          <w:sz w:val="28"/>
        </w:rPr>
      </w:pPr>
    </w:p>
    <w:p>
      <w:pPr>
        <w:pStyle w:val="BodyText"/>
        <w:spacing w:before="9"/>
        <w:rPr>
          <w:sz w:val="31"/>
        </w:rPr>
      </w:pPr>
    </w:p>
    <w:p>
      <w:pPr>
        <w:spacing w:line="240" w:lineRule="auto" w:before="0"/>
        <w:ind w:left="449" w:right="106" w:hanging="228"/>
        <w:jc w:val="both"/>
        <w:rPr>
          <w:sz w:val="20"/>
        </w:rPr>
      </w:pPr>
      <w:bookmarkStart w:name="_bookmark56" w:id="58"/>
      <w:bookmarkEnd w:id="58"/>
      <w:r>
        <w:rPr/>
      </w:r>
      <w:r>
        <w:rPr>
          <w:position w:val="7"/>
          <w:sz w:val="13"/>
        </w:rPr>
        <w:t>56 </w:t>
      </w:r>
      <w:r>
        <w:rPr>
          <w:sz w:val="20"/>
        </w:rPr>
        <w:t>CRPD Committee’s </w:t>
      </w:r>
      <w:r>
        <w:rPr>
          <w:i/>
          <w:sz w:val="21"/>
        </w:rPr>
        <w:t>Guidelines on Article 14</w:t>
      </w:r>
      <w:r>
        <w:rPr>
          <w:sz w:val="20"/>
        </w:rPr>
        <w:t>, para (12). The UN Special Rapporteur on Torture in its Reports of 2008 and 2013 also considered that these coercive and non-consensual measures may be deemed torture or ill-treatment.</w:t>
      </w:r>
    </w:p>
    <w:p>
      <w:pPr>
        <w:spacing w:line="241" w:lineRule="exact" w:before="0"/>
        <w:ind w:left="221" w:right="0" w:firstLine="0"/>
        <w:jc w:val="left"/>
        <w:rPr>
          <w:sz w:val="20"/>
        </w:rPr>
      </w:pPr>
      <w:bookmarkStart w:name="_bookmark57" w:id="59"/>
      <w:bookmarkEnd w:id="59"/>
      <w:r>
        <w:rPr/>
      </w:r>
      <w:r>
        <w:rPr>
          <w:position w:val="7"/>
          <w:sz w:val="13"/>
        </w:rPr>
        <w:t>57 </w:t>
      </w:r>
      <w:r>
        <w:rPr>
          <w:sz w:val="20"/>
        </w:rPr>
        <w:t>CRPD Committee, </w:t>
      </w:r>
      <w:r>
        <w:rPr>
          <w:i/>
          <w:sz w:val="21"/>
        </w:rPr>
        <w:t>Guidelines on Article 14</w:t>
      </w:r>
      <w:r>
        <w:rPr>
          <w:sz w:val="20"/>
        </w:rPr>
        <w:t>, para (18).</w:t>
      </w:r>
    </w:p>
    <w:p>
      <w:pPr>
        <w:spacing w:line="240" w:lineRule="exact" w:before="0"/>
        <w:ind w:left="221" w:right="0" w:firstLine="0"/>
        <w:jc w:val="left"/>
        <w:rPr>
          <w:sz w:val="20"/>
        </w:rPr>
      </w:pPr>
      <w:bookmarkStart w:name="_bookmark58" w:id="60"/>
      <w:bookmarkEnd w:id="60"/>
      <w:r>
        <w:rPr/>
      </w:r>
      <w:r>
        <w:rPr>
          <w:position w:val="7"/>
          <w:sz w:val="13"/>
        </w:rPr>
        <w:t>58 </w:t>
      </w:r>
      <w:r>
        <w:rPr>
          <w:sz w:val="20"/>
        </w:rPr>
        <w:t>Ibid, para (19).</w:t>
      </w:r>
    </w:p>
    <w:p>
      <w:pPr>
        <w:spacing w:line="236" w:lineRule="exact" w:before="0"/>
        <w:ind w:left="221" w:right="0" w:firstLine="0"/>
        <w:jc w:val="left"/>
        <w:rPr>
          <w:sz w:val="20"/>
        </w:rPr>
      </w:pPr>
      <w:bookmarkStart w:name="_bookmark59" w:id="61"/>
      <w:bookmarkEnd w:id="61"/>
      <w:r>
        <w:rPr/>
      </w:r>
      <w:r>
        <w:rPr>
          <w:position w:val="7"/>
          <w:sz w:val="13"/>
        </w:rPr>
        <w:t>59 </w:t>
      </w:r>
      <w:r>
        <w:rPr>
          <w:sz w:val="20"/>
        </w:rPr>
        <w:t>Ibid, para (9).</w:t>
      </w:r>
    </w:p>
    <w:p>
      <w:pPr>
        <w:tabs>
          <w:tab w:pos="8449" w:val="left" w:leader="none"/>
        </w:tabs>
        <w:spacing w:line="228" w:lineRule="auto" w:before="5"/>
        <w:ind w:left="449" w:right="109" w:hanging="228"/>
        <w:jc w:val="left"/>
        <w:rPr>
          <w:sz w:val="20"/>
        </w:rPr>
      </w:pPr>
      <w:bookmarkStart w:name="_bookmark60" w:id="62"/>
      <w:bookmarkEnd w:id="62"/>
      <w:r>
        <w:rPr/>
      </w:r>
      <w:r>
        <w:rPr>
          <w:position w:val="7"/>
          <w:sz w:val="13"/>
        </w:rPr>
        <w:t>60</w:t>
      </w:r>
      <w:r>
        <w:rPr>
          <w:spacing w:val="-9"/>
          <w:position w:val="7"/>
          <w:sz w:val="13"/>
        </w:rPr>
        <w:t> </w:t>
      </w:r>
      <w:r>
        <w:rPr>
          <w:sz w:val="20"/>
        </w:rPr>
        <w:t>Ibid,</w:t>
      </w:r>
      <w:r>
        <w:rPr>
          <w:spacing w:val="-3"/>
          <w:sz w:val="20"/>
        </w:rPr>
        <w:t> </w:t>
      </w:r>
      <w:r>
        <w:rPr>
          <w:sz w:val="20"/>
        </w:rPr>
        <w:t>UN</w:t>
      </w:r>
      <w:r>
        <w:rPr>
          <w:spacing w:val="-4"/>
          <w:sz w:val="20"/>
        </w:rPr>
        <w:t> </w:t>
      </w:r>
      <w:r>
        <w:rPr>
          <w:sz w:val="20"/>
        </w:rPr>
        <w:t>Special</w:t>
      </w:r>
      <w:r>
        <w:rPr>
          <w:spacing w:val="-4"/>
          <w:sz w:val="20"/>
        </w:rPr>
        <w:t> </w:t>
      </w:r>
      <w:r>
        <w:rPr>
          <w:sz w:val="20"/>
        </w:rPr>
        <w:t>Rapporteur</w:t>
      </w:r>
      <w:r>
        <w:rPr>
          <w:spacing w:val="-4"/>
          <w:sz w:val="20"/>
        </w:rPr>
        <w:t> </w:t>
      </w:r>
      <w:r>
        <w:rPr>
          <w:sz w:val="20"/>
        </w:rPr>
        <w:t>on</w:t>
      </w:r>
      <w:r>
        <w:rPr>
          <w:spacing w:val="-4"/>
          <w:sz w:val="20"/>
        </w:rPr>
        <w:t> </w:t>
      </w:r>
      <w:r>
        <w:rPr>
          <w:sz w:val="20"/>
        </w:rPr>
        <w:t>Disability,</w:t>
      </w:r>
      <w:r>
        <w:rPr>
          <w:spacing w:val="-3"/>
          <w:sz w:val="20"/>
        </w:rPr>
        <w:t> </w:t>
      </w:r>
      <w:r>
        <w:rPr>
          <w:i/>
          <w:sz w:val="21"/>
        </w:rPr>
        <w:t>Urgent</w:t>
      </w:r>
      <w:r>
        <w:rPr>
          <w:i/>
          <w:spacing w:val="-6"/>
          <w:sz w:val="21"/>
        </w:rPr>
        <w:t> </w:t>
      </w:r>
      <w:r>
        <w:rPr>
          <w:i/>
          <w:sz w:val="21"/>
        </w:rPr>
        <w:t>Request</w:t>
      </w:r>
      <w:r>
        <w:rPr>
          <w:i/>
          <w:spacing w:val="-6"/>
          <w:sz w:val="21"/>
        </w:rPr>
        <w:t> </w:t>
      </w:r>
      <w:r>
        <w:rPr>
          <w:i/>
          <w:sz w:val="21"/>
        </w:rPr>
        <w:t>to</w:t>
      </w:r>
      <w:r>
        <w:rPr>
          <w:i/>
          <w:spacing w:val="-6"/>
          <w:sz w:val="21"/>
        </w:rPr>
        <w:t> </w:t>
      </w:r>
      <w:r>
        <w:rPr>
          <w:i/>
          <w:sz w:val="21"/>
        </w:rPr>
        <w:t>Amend</w:t>
      </w:r>
      <w:r>
        <w:rPr>
          <w:i/>
          <w:spacing w:val="-7"/>
          <w:sz w:val="21"/>
        </w:rPr>
        <w:t> </w:t>
      </w:r>
      <w:r>
        <w:rPr>
          <w:i/>
          <w:sz w:val="21"/>
        </w:rPr>
        <w:t>the</w:t>
      </w:r>
      <w:r>
        <w:rPr>
          <w:i/>
          <w:spacing w:val="-6"/>
          <w:sz w:val="21"/>
        </w:rPr>
        <w:t> </w:t>
      </w:r>
      <w:r>
        <w:rPr>
          <w:i/>
          <w:sz w:val="21"/>
        </w:rPr>
        <w:t>Human</w:t>
      </w:r>
      <w:r>
        <w:rPr>
          <w:i/>
          <w:spacing w:val="-7"/>
          <w:sz w:val="21"/>
        </w:rPr>
        <w:t> </w:t>
      </w:r>
      <w:r>
        <w:rPr>
          <w:i/>
          <w:sz w:val="21"/>
        </w:rPr>
        <w:t>Rights</w:t>
        <w:tab/>
      </w:r>
      <w:r>
        <w:rPr>
          <w:i/>
          <w:w w:val="95"/>
          <w:sz w:val="21"/>
        </w:rPr>
        <w:t>Committee’s </w:t>
      </w:r>
      <w:r>
        <w:rPr>
          <w:i/>
          <w:sz w:val="21"/>
        </w:rPr>
        <w:t>Draft Version of General Comment No.</w:t>
      </w:r>
      <w:r>
        <w:rPr>
          <w:i/>
          <w:spacing w:val="-34"/>
          <w:sz w:val="21"/>
        </w:rPr>
        <w:t> </w:t>
      </w:r>
      <w:r>
        <w:rPr>
          <w:i/>
          <w:sz w:val="21"/>
        </w:rPr>
        <w:t>35</w:t>
      </w:r>
      <w:r>
        <w:rPr>
          <w:sz w:val="20"/>
        </w:rPr>
        <w:t>.</w:t>
      </w:r>
    </w:p>
    <w:p>
      <w:pPr>
        <w:spacing w:before="1"/>
        <w:ind w:left="449" w:right="107" w:hanging="228"/>
        <w:jc w:val="both"/>
        <w:rPr>
          <w:sz w:val="20"/>
        </w:rPr>
      </w:pPr>
      <w:bookmarkStart w:name="_bookmark61" w:id="63"/>
      <w:bookmarkEnd w:id="63"/>
      <w:r>
        <w:rPr/>
      </w:r>
      <w:r>
        <w:rPr>
          <w:position w:val="7"/>
          <w:sz w:val="13"/>
        </w:rPr>
        <w:t>61 </w:t>
      </w:r>
      <w:r>
        <w:rPr>
          <w:sz w:val="20"/>
        </w:rPr>
        <w:t>United Nations Basic Principles and Guidelines on Remedies and Procedures on the Right of Anyone Deprived of Their Liberty to Bring Proceedings before a Court by UN Working Group on Arbitrary Detention [UN Doc A/HRC/30/37], principle 20.</w:t>
      </w:r>
    </w:p>
    <w:p>
      <w:pPr>
        <w:spacing w:line="241" w:lineRule="exact" w:before="0"/>
        <w:ind w:left="221" w:right="0" w:firstLine="0"/>
        <w:jc w:val="left"/>
        <w:rPr>
          <w:sz w:val="20"/>
        </w:rPr>
      </w:pPr>
      <w:bookmarkStart w:name="_bookmark62" w:id="64"/>
      <w:bookmarkEnd w:id="64"/>
      <w:r>
        <w:rPr/>
      </w:r>
      <w:r>
        <w:rPr>
          <w:position w:val="7"/>
          <w:sz w:val="13"/>
        </w:rPr>
        <w:t>62 </w:t>
      </w:r>
      <w:r>
        <w:rPr>
          <w:sz w:val="20"/>
        </w:rPr>
        <w:t>Adopted on June 8, 2004.</w:t>
      </w:r>
    </w:p>
    <w:p>
      <w:pPr>
        <w:spacing w:before="0"/>
        <w:ind w:left="449" w:right="0" w:hanging="228"/>
        <w:jc w:val="left"/>
        <w:rPr>
          <w:sz w:val="20"/>
        </w:rPr>
      </w:pPr>
      <w:bookmarkStart w:name="_bookmark63" w:id="65"/>
      <w:bookmarkEnd w:id="65"/>
      <w:r>
        <w:rPr/>
      </w:r>
      <w:r>
        <w:rPr>
          <w:position w:val="7"/>
          <w:sz w:val="13"/>
        </w:rPr>
        <w:t>63 </w:t>
      </w:r>
      <w:r>
        <w:rPr>
          <w:sz w:val="20"/>
        </w:rPr>
        <w:t>General Secretariat for Development Planning, Qatar National Vision 2030. Available at: </w:t>
      </w:r>
      <w:hyperlink r:id="rId17">
        <w:r>
          <w:rPr>
            <w:sz w:val="20"/>
            <w:u w:val="single"/>
          </w:rPr>
          <w:t>http://www.mdps.gov.qa/en/qnv/Documents/QNV2030_English_v2.pdf</w:t>
        </w:r>
      </w:hyperlink>
    </w:p>
    <w:p>
      <w:pPr>
        <w:spacing w:after="0"/>
        <w:jc w:val="left"/>
        <w:rPr>
          <w:sz w:val="20"/>
        </w:rPr>
        <w:sectPr>
          <w:pgSz w:w="11910" w:h="16840"/>
          <w:pgMar w:header="0" w:footer="523" w:top="1320" w:bottom="720" w:left="940" w:right="1320"/>
        </w:sectPr>
      </w:pPr>
    </w:p>
    <w:p>
      <w:pPr>
        <w:pStyle w:val="BodyText"/>
        <w:spacing w:before="82"/>
        <w:ind w:left="397" w:right="105"/>
        <w:jc w:val="both"/>
        <w:rPr>
          <w:sz w:val="16"/>
        </w:rPr>
      </w:pPr>
      <w:r>
        <w:rPr/>
        <w:t>ICCPR.</w:t>
      </w:r>
      <w:hyperlink w:history="true" w:anchor="_bookmark64">
        <w:r>
          <w:rPr>
            <w:position w:val="8"/>
            <w:sz w:val="16"/>
          </w:rPr>
          <w:t>64 </w:t>
        </w:r>
      </w:hyperlink>
      <w:r>
        <w:rPr/>
        <w:t>However, as part of its reform strategy, Qatar signed in 2007, and ratified in 2008, the CRPD without entering any reservations or interpretative declarations.</w:t>
      </w:r>
      <w:hyperlink w:history="true" w:anchor="_bookmark65">
        <w:r>
          <w:rPr>
            <w:position w:val="8"/>
            <w:sz w:val="16"/>
          </w:rPr>
          <w:t>65 </w:t>
        </w:r>
      </w:hyperlink>
      <w:r>
        <w:rPr/>
        <w:t>In virtue of this ratification, the CRPD became part of national law in Qatar</w:t>
      </w:r>
      <w:hyperlink w:history="true" w:anchor="_bookmark66">
        <w:r>
          <w:rPr>
            <w:position w:val="8"/>
            <w:sz w:val="16"/>
          </w:rPr>
          <w:t>66</w:t>
        </w:r>
      </w:hyperlink>
      <w:r>
        <w:rPr/>
        <w:t>. Qatar submitted its initial report regarding the application of the CRPD to the Committee on June 2012 and completed its review in September 2015.</w:t>
      </w:r>
      <w:hyperlink w:history="true" w:anchor="_bookmark67">
        <w:r>
          <w:rPr>
            <w:position w:val="8"/>
            <w:sz w:val="16"/>
          </w:rPr>
          <w:t>67</w:t>
        </w:r>
      </w:hyperlink>
    </w:p>
    <w:p>
      <w:pPr>
        <w:pStyle w:val="BodyText"/>
        <w:spacing w:before="9"/>
        <w:rPr>
          <w:sz w:val="23"/>
        </w:rPr>
      </w:pPr>
    </w:p>
    <w:p>
      <w:pPr>
        <w:spacing w:line="232" w:lineRule="auto" w:before="0"/>
        <w:ind w:left="397" w:right="106" w:firstLine="0"/>
        <w:jc w:val="both"/>
        <w:rPr>
          <w:sz w:val="24"/>
        </w:rPr>
      </w:pPr>
      <w:r>
        <w:rPr>
          <w:sz w:val="24"/>
        </w:rPr>
        <w:t>As noted by the CRPD Committee, Qatar still views disability from the </w:t>
      </w:r>
      <w:r>
        <w:rPr>
          <w:i/>
          <w:sz w:val="25"/>
        </w:rPr>
        <w:t>perspective of assistencialism </w:t>
      </w:r>
      <w:r>
        <w:rPr>
          <w:sz w:val="24"/>
        </w:rPr>
        <w:t>and the medical model, which is a polarizing contrast to the human rights-based approach and the social model advanced by the CRPD.</w:t>
      </w:r>
      <w:hyperlink w:history="true" w:anchor="_bookmark68">
        <w:r>
          <w:rPr>
            <w:position w:val="8"/>
            <w:sz w:val="16"/>
          </w:rPr>
          <w:t>68 </w:t>
        </w:r>
      </w:hyperlink>
      <w:r>
        <w:rPr>
          <w:sz w:val="24"/>
        </w:rPr>
        <w:t>This perspective is enshrined in Qatar’s legal system as a whole, and particularly in </w:t>
      </w:r>
      <w:r>
        <w:rPr>
          <w:i/>
          <w:sz w:val="25"/>
        </w:rPr>
        <w:t>Law (Act) No. 2 of 2004</w:t>
      </w:r>
      <w:r>
        <w:rPr>
          <w:i/>
          <w:spacing w:val="-10"/>
          <w:sz w:val="25"/>
        </w:rPr>
        <w:t> </w:t>
      </w:r>
      <w:r>
        <w:rPr>
          <w:i/>
          <w:sz w:val="25"/>
        </w:rPr>
        <w:t>in</w:t>
      </w:r>
      <w:r>
        <w:rPr>
          <w:i/>
          <w:spacing w:val="-9"/>
          <w:sz w:val="25"/>
        </w:rPr>
        <w:t> </w:t>
      </w:r>
      <w:r>
        <w:rPr>
          <w:i/>
          <w:sz w:val="25"/>
        </w:rPr>
        <w:t>Respect</w:t>
      </w:r>
      <w:r>
        <w:rPr>
          <w:i/>
          <w:spacing w:val="-10"/>
          <w:sz w:val="25"/>
        </w:rPr>
        <w:t> </w:t>
      </w:r>
      <w:r>
        <w:rPr>
          <w:i/>
          <w:sz w:val="25"/>
        </w:rPr>
        <w:t>of</w:t>
      </w:r>
      <w:r>
        <w:rPr>
          <w:i/>
          <w:spacing w:val="-9"/>
          <w:sz w:val="25"/>
        </w:rPr>
        <w:t> </w:t>
      </w:r>
      <w:r>
        <w:rPr>
          <w:i/>
          <w:sz w:val="25"/>
        </w:rPr>
        <w:t>People</w:t>
      </w:r>
      <w:r>
        <w:rPr>
          <w:i/>
          <w:spacing w:val="-10"/>
          <w:sz w:val="25"/>
        </w:rPr>
        <w:t> </w:t>
      </w:r>
      <w:r>
        <w:rPr>
          <w:i/>
          <w:sz w:val="25"/>
        </w:rPr>
        <w:t>with</w:t>
      </w:r>
      <w:r>
        <w:rPr>
          <w:i/>
          <w:spacing w:val="-10"/>
          <w:sz w:val="25"/>
        </w:rPr>
        <w:t> </w:t>
      </w:r>
      <w:r>
        <w:rPr>
          <w:i/>
          <w:sz w:val="25"/>
        </w:rPr>
        <w:t>Special</w:t>
      </w:r>
      <w:r>
        <w:rPr>
          <w:i/>
          <w:spacing w:val="-10"/>
          <w:sz w:val="25"/>
        </w:rPr>
        <w:t> </w:t>
      </w:r>
      <w:r>
        <w:rPr>
          <w:i/>
          <w:sz w:val="25"/>
        </w:rPr>
        <w:t>Needs</w:t>
      </w:r>
      <w:r>
        <w:rPr>
          <w:sz w:val="24"/>
        </w:rPr>
        <w:t>,</w:t>
      </w:r>
      <w:r>
        <w:rPr>
          <w:spacing w:val="1"/>
          <w:sz w:val="24"/>
        </w:rPr>
        <w:t> </w:t>
      </w:r>
      <w:hyperlink w:history="true" w:anchor="_bookmark69">
        <w:r>
          <w:rPr>
            <w:position w:val="8"/>
            <w:sz w:val="16"/>
          </w:rPr>
          <w:t>69</w:t>
        </w:r>
        <w:r>
          <w:rPr>
            <w:spacing w:val="-9"/>
            <w:position w:val="8"/>
            <w:sz w:val="16"/>
          </w:rPr>
          <w:t> </w:t>
        </w:r>
      </w:hyperlink>
      <w:r>
        <w:rPr>
          <w:sz w:val="24"/>
        </w:rPr>
        <w:t>and</w:t>
      </w:r>
      <w:r>
        <w:rPr>
          <w:spacing w:val="-6"/>
          <w:sz w:val="24"/>
        </w:rPr>
        <w:t> </w:t>
      </w:r>
      <w:r>
        <w:rPr>
          <w:sz w:val="24"/>
        </w:rPr>
        <w:t>it</w:t>
      </w:r>
      <w:r>
        <w:rPr>
          <w:spacing w:val="-8"/>
          <w:sz w:val="24"/>
        </w:rPr>
        <w:t> </w:t>
      </w:r>
      <w:r>
        <w:rPr>
          <w:sz w:val="24"/>
        </w:rPr>
        <w:t>also</w:t>
      </w:r>
      <w:r>
        <w:rPr>
          <w:spacing w:val="-6"/>
          <w:sz w:val="24"/>
        </w:rPr>
        <w:t> </w:t>
      </w:r>
      <w:r>
        <w:rPr>
          <w:sz w:val="24"/>
        </w:rPr>
        <w:t>inspires</w:t>
      </w:r>
      <w:r>
        <w:rPr>
          <w:spacing w:val="-7"/>
          <w:sz w:val="24"/>
        </w:rPr>
        <w:t> </w:t>
      </w:r>
      <w:r>
        <w:rPr>
          <w:sz w:val="24"/>
        </w:rPr>
        <w:t>the</w:t>
      </w:r>
      <w:r>
        <w:rPr>
          <w:spacing w:val="-7"/>
          <w:sz w:val="24"/>
        </w:rPr>
        <w:t> </w:t>
      </w:r>
      <w:r>
        <w:rPr>
          <w:sz w:val="24"/>
        </w:rPr>
        <w:t>regulation</w:t>
      </w:r>
      <w:r>
        <w:rPr>
          <w:spacing w:val="-7"/>
          <w:sz w:val="24"/>
        </w:rPr>
        <w:t> </w:t>
      </w:r>
      <w:r>
        <w:rPr>
          <w:sz w:val="24"/>
        </w:rPr>
        <w:t>of the right to liberty of persons with</w:t>
      </w:r>
      <w:r>
        <w:rPr>
          <w:spacing w:val="-7"/>
          <w:sz w:val="24"/>
        </w:rPr>
        <w:t> </w:t>
      </w:r>
      <w:r>
        <w:rPr>
          <w:sz w:val="24"/>
        </w:rPr>
        <w:t>disabilities.</w:t>
      </w:r>
    </w:p>
    <w:p>
      <w:pPr>
        <w:pStyle w:val="BodyText"/>
        <w:spacing w:before="8"/>
      </w:pPr>
    </w:p>
    <w:p>
      <w:pPr>
        <w:pStyle w:val="BodyText"/>
        <w:ind w:left="397"/>
      </w:pPr>
      <w:r>
        <w:rPr/>
        <w:t>The Qatari Constitution in its Article 36 states:</w:t>
      </w:r>
    </w:p>
    <w:p>
      <w:pPr>
        <w:spacing w:before="200"/>
        <w:ind w:left="965" w:right="163" w:firstLine="0"/>
        <w:jc w:val="both"/>
        <w:rPr>
          <w:sz w:val="20"/>
        </w:rPr>
      </w:pPr>
      <w:r>
        <w:rPr>
          <w:sz w:val="20"/>
        </w:rPr>
        <w:t>Personal freedom shall be guaranteed and no person may be arrested, detained, searched, neither may his freedom of residence and mobility be restricted save under the provisions of the law; and no person may be subjected to torture, or any degrading treatment; and torture shall be considered a crime punishable by law.</w:t>
      </w:r>
    </w:p>
    <w:p>
      <w:pPr>
        <w:pStyle w:val="BodyText"/>
        <w:spacing w:before="201"/>
        <w:ind w:left="398" w:right="109"/>
        <w:jc w:val="both"/>
      </w:pPr>
      <w:r>
        <w:rPr/>
        <w:t>Though</w:t>
      </w:r>
      <w:r>
        <w:rPr>
          <w:spacing w:val="-20"/>
        </w:rPr>
        <w:t> </w:t>
      </w:r>
      <w:r>
        <w:rPr/>
        <w:t>this</w:t>
      </w:r>
      <w:r>
        <w:rPr>
          <w:spacing w:val="-21"/>
        </w:rPr>
        <w:t> </w:t>
      </w:r>
      <w:r>
        <w:rPr/>
        <w:t>general</w:t>
      </w:r>
      <w:r>
        <w:rPr>
          <w:spacing w:val="-21"/>
        </w:rPr>
        <w:t> </w:t>
      </w:r>
      <w:r>
        <w:rPr/>
        <w:t>Article</w:t>
      </w:r>
      <w:r>
        <w:rPr>
          <w:spacing w:val="-21"/>
        </w:rPr>
        <w:t> </w:t>
      </w:r>
      <w:r>
        <w:rPr/>
        <w:t>protects</w:t>
      </w:r>
      <w:r>
        <w:rPr>
          <w:spacing w:val="-21"/>
        </w:rPr>
        <w:t> </w:t>
      </w:r>
      <w:r>
        <w:rPr/>
        <w:t>all</w:t>
      </w:r>
      <w:r>
        <w:rPr>
          <w:spacing w:val="-20"/>
        </w:rPr>
        <w:t> </w:t>
      </w:r>
      <w:r>
        <w:rPr/>
        <w:t>citizens,</w:t>
      </w:r>
      <w:r>
        <w:rPr>
          <w:spacing w:val="-20"/>
        </w:rPr>
        <w:t> </w:t>
      </w:r>
      <w:r>
        <w:rPr/>
        <w:t>including</w:t>
      </w:r>
      <w:r>
        <w:rPr>
          <w:spacing w:val="-20"/>
        </w:rPr>
        <w:t> </w:t>
      </w:r>
      <w:r>
        <w:rPr/>
        <w:t>persons</w:t>
      </w:r>
      <w:r>
        <w:rPr>
          <w:spacing w:val="-21"/>
        </w:rPr>
        <w:t> </w:t>
      </w:r>
      <w:r>
        <w:rPr/>
        <w:t>with</w:t>
      </w:r>
      <w:r>
        <w:rPr>
          <w:spacing w:val="-20"/>
        </w:rPr>
        <w:t> </w:t>
      </w:r>
      <w:r>
        <w:rPr/>
        <w:t>disabilities,</w:t>
      </w:r>
      <w:r>
        <w:rPr>
          <w:spacing w:val="-20"/>
        </w:rPr>
        <w:t> </w:t>
      </w:r>
      <w:r>
        <w:rPr/>
        <w:t>some disability-specific deprivations of liberty are permitted in</w:t>
      </w:r>
      <w:r>
        <w:rPr>
          <w:spacing w:val="-7"/>
        </w:rPr>
        <w:t> </w:t>
      </w:r>
      <w:r>
        <w:rPr/>
        <w:t>Qatar.</w:t>
      </w:r>
    </w:p>
    <w:p>
      <w:pPr>
        <w:pStyle w:val="BodyText"/>
        <w:spacing w:before="1"/>
        <w:rPr>
          <w:sz w:val="23"/>
        </w:rPr>
      </w:pPr>
    </w:p>
    <w:p>
      <w:pPr>
        <w:pStyle w:val="Heading1"/>
        <w:numPr>
          <w:ilvl w:val="0"/>
          <w:numId w:val="2"/>
        </w:numPr>
        <w:tabs>
          <w:tab w:pos="781" w:val="left" w:leader="none"/>
        </w:tabs>
        <w:spacing w:line="240" w:lineRule="auto" w:before="1" w:after="0"/>
        <w:ind w:left="397" w:right="0" w:firstLine="1"/>
        <w:jc w:val="left"/>
      </w:pPr>
      <w:r>
        <w:rPr/>
        <w:t>Involuntary</w:t>
      </w:r>
      <w:r>
        <w:rPr>
          <w:spacing w:val="-18"/>
        </w:rPr>
        <w:t> </w:t>
      </w:r>
      <w:r>
        <w:rPr/>
        <w:t>commitment</w:t>
      </w:r>
      <w:r>
        <w:rPr>
          <w:spacing w:val="-18"/>
        </w:rPr>
        <w:t> </w:t>
      </w:r>
      <w:r>
        <w:rPr/>
        <w:t>of</w:t>
      </w:r>
      <w:r>
        <w:rPr>
          <w:spacing w:val="-18"/>
        </w:rPr>
        <w:t> </w:t>
      </w:r>
      <w:r>
        <w:rPr/>
        <w:t>persons</w:t>
      </w:r>
      <w:r>
        <w:rPr>
          <w:spacing w:val="-18"/>
        </w:rPr>
        <w:t> </w:t>
      </w:r>
      <w:r>
        <w:rPr/>
        <w:t>with</w:t>
      </w:r>
      <w:r>
        <w:rPr>
          <w:spacing w:val="-18"/>
        </w:rPr>
        <w:t> </w:t>
      </w:r>
      <w:r>
        <w:rPr/>
        <w:t>psychosocial</w:t>
      </w:r>
      <w:r>
        <w:rPr>
          <w:spacing w:val="-18"/>
        </w:rPr>
        <w:t> </w:t>
      </w:r>
      <w:r>
        <w:rPr/>
        <w:t>disabilities</w:t>
      </w:r>
      <w:r>
        <w:rPr>
          <w:spacing w:val="-18"/>
        </w:rPr>
        <w:t> </w:t>
      </w:r>
      <w:r>
        <w:rPr/>
        <w:t>in</w:t>
      </w:r>
      <w:r>
        <w:rPr>
          <w:spacing w:val="-18"/>
        </w:rPr>
        <w:t> </w:t>
      </w:r>
      <w:r>
        <w:rPr/>
        <w:t>Qatar</w:t>
      </w:r>
    </w:p>
    <w:p>
      <w:pPr>
        <w:pStyle w:val="BodyText"/>
        <w:spacing w:before="10"/>
        <w:rPr>
          <w:i/>
          <w:sz w:val="23"/>
        </w:rPr>
      </w:pPr>
    </w:p>
    <w:p>
      <w:pPr>
        <w:pStyle w:val="BodyText"/>
        <w:ind w:left="398" w:right="105"/>
        <w:jc w:val="both"/>
      </w:pPr>
      <w:r>
        <w:rPr/>
        <w:t>The CRPD Committee, in its Concluding Observations on Qatar’s initial Report, expressed concern about “involuntary detention of persons in specialised institutions</w:t>
      </w:r>
    </w:p>
    <w:p>
      <w:pPr>
        <w:pStyle w:val="BodyText"/>
        <w:rPr>
          <w:sz w:val="28"/>
        </w:rPr>
      </w:pPr>
    </w:p>
    <w:p>
      <w:pPr>
        <w:pStyle w:val="BodyText"/>
        <w:rPr>
          <w:sz w:val="28"/>
        </w:rPr>
      </w:pPr>
    </w:p>
    <w:p>
      <w:pPr>
        <w:pStyle w:val="BodyText"/>
        <w:rPr>
          <w:sz w:val="28"/>
        </w:rPr>
      </w:pPr>
    </w:p>
    <w:p>
      <w:pPr>
        <w:pStyle w:val="BodyText"/>
        <w:spacing w:before="8"/>
        <w:rPr>
          <w:sz w:val="21"/>
        </w:rPr>
      </w:pPr>
    </w:p>
    <w:p>
      <w:pPr>
        <w:spacing w:before="1"/>
        <w:ind w:left="449" w:right="106" w:hanging="228"/>
        <w:jc w:val="both"/>
        <w:rPr>
          <w:sz w:val="20"/>
        </w:rPr>
      </w:pPr>
      <w:bookmarkStart w:name="_bookmark64" w:id="66"/>
      <w:bookmarkEnd w:id="66"/>
      <w:r>
        <w:rPr/>
      </w:r>
      <w:r>
        <w:rPr>
          <w:position w:val="7"/>
          <w:sz w:val="13"/>
        </w:rPr>
        <w:t>64 </w:t>
      </w:r>
      <w:r>
        <w:rPr>
          <w:sz w:val="20"/>
        </w:rPr>
        <w:t>Qatar has signaled its intention to ratify this particular covenant and the International Covenant on Economic, Social and Cultural Rights, Report of the Working Group on the Universal Periodic Review: Qatar, June 27, 2014, A/HRC/27/15, para (16). Available at:</w:t>
      </w:r>
    </w:p>
    <w:p>
      <w:pPr>
        <w:spacing w:line="241" w:lineRule="exact" w:before="0"/>
        <w:ind w:left="462" w:right="0" w:firstLine="0"/>
        <w:jc w:val="left"/>
        <w:rPr>
          <w:sz w:val="20"/>
        </w:rPr>
      </w:pPr>
      <w:hyperlink r:id="rId18">
        <w:r>
          <w:rPr>
            <w:sz w:val="20"/>
            <w:u w:val="single"/>
          </w:rPr>
          <w:t>http://dag.un.org/handle/11176/307320</w:t>
        </w:r>
      </w:hyperlink>
    </w:p>
    <w:p>
      <w:pPr>
        <w:spacing w:line="241" w:lineRule="exact" w:before="0"/>
        <w:ind w:left="221" w:right="0" w:firstLine="0"/>
        <w:jc w:val="left"/>
        <w:rPr>
          <w:sz w:val="20"/>
        </w:rPr>
      </w:pPr>
      <w:bookmarkStart w:name="_bookmark65" w:id="67"/>
      <w:bookmarkEnd w:id="67"/>
      <w:r>
        <w:rPr/>
      </w:r>
      <w:r>
        <w:rPr>
          <w:position w:val="7"/>
          <w:sz w:val="13"/>
        </w:rPr>
        <w:t>65 </w:t>
      </w:r>
      <w:r>
        <w:rPr>
          <w:sz w:val="20"/>
        </w:rPr>
        <w:t>Qatar also signed the Optional Protocol but it is yet to be ratified.</w:t>
      </w:r>
    </w:p>
    <w:p>
      <w:pPr>
        <w:spacing w:before="0"/>
        <w:ind w:left="449" w:right="0" w:hanging="228"/>
        <w:jc w:val="left"/>
        <w:rPr>
          <w:sz w:val="20"/>
        </w:rPr>
      </w:pPr>
      <w:bookmarkStart w:name="_bookmark66" w:id="68"/>
      <w:bookmarkEnd w:id="68"/>
      <w:r>
        <w:rPr/>
      </w:r>
      <w:r>
        <w:rPr>
          <w:position w:val="7"/>
          <w:sz w:val="13"/>
        </w:rPr>
        <w:t>66 </w:t>
      </w:r>
      <w:r>
        <w:rPr>
          <w:sz w:val="20"/>
        </w:rPr>
        <w:t>Article 6 of the Constitution provides that the State shall respect all international charters and conventions to which it is party and strive to implement them all.</w:t>
      </w:r>
    </w:p>
    <w:p>
      <w:pPr>
        <w:spacing w:before="0"/>
        <w:ind w:left="408" w:right="1313" w:hanging="188"/>
        <w:jc w:val="left"/>
        <w:rPr>
          <w:sz w:val="20"/>
        </w:rPr>
      </w:pPr>
      <w:bookmarkStart w:name="_bookmark67" w:id="69"/>
      <w:bookmarkEnd w:id="69"/>
      <w:r>
        <w:rPr/>
      </w:r>
      <w:r>
        <w:rPr>
          <w:position w:val="7"/>
          <w:sz w:val="13"/>
        </w:rPr>
        <w:t>67 </w:t>
      </w:r>
      <w:r>
        <w:rPr>
          <w:sz w:val="20"/>
        </w:rPr>
        <w:t>All documents pertaining to this process are available at: </w:t>
      </w:r>
      <w:hyperlink r:id="rId19">
        <w:r>
          <w:rPr>
            <w:sz w:val="20"/>
            <w:u w:val="single"/>
          </w:rPr>
          <w:t>http://tbinternet.ohchr.org/_layouts/TreatyBodyExternal/SessionsList.aspx?Treaty=CRPD</w:t>
        </w:r>
      </w:hyperlink>
      <w:r>
        <w:rPr>
          <w:sz w:val="20"/>
        </w:rPr>
        <w:t>.</w:t>
      </w:r>
    </w:p>
    <w:p>
      <w:pPr>
        <w:spacing w:line="237" w:lineRule="auto" w:before="2"/>
        <w:ind w:left="449" w:right="0" w:hanging="228"/>
        <w:jc w:val="left"/>
        <w:rPr>
          <w:sz w:val="20"/>
        </w:rPr>
      </w:pPr>
      <w:bookmarkStart w:name="_bookmark68" w:id="70"/>
      <w:bookmarkEnd w:id="70"/>
      <w:r>
        <w:rPr/>
      </w:r>
      <w:r>
        <w:rPr>
          <w:position w:val="7"/>
          <w:sz w:val="13"/>
        </w:rPr>
        <w:t>68 </w:t>
      </w:r>
      <w:r>
        <w:rPr>
          <w:sz w:val="20"/>
        </w:rPr>
        <w:t>CRPD Committee, Observations Concluding on the Initial Report of Qatar, September 2015, CRPD/C/QAT/CO/1, para (7). Available at: </w:t>
      </w:r>
      <w:hyperlink r:id="rId20">
        <w:r>
          <w:rPr>
            <w:color w:val="0563C1"/>
            <w:sz w:val="20"/>
            <w:u w:val="single" w:color="0563C1"/>
          </w:rPr>
          <w:t>http://tbinternet.ohchr.org/_layouts/treatybodyexternal/Download.aspx?symbolno=CRPD%2fC%2fQA</w:t>
        </w:r>
      </w:hyperlink>
      <w:r>
        <w:rPr>
          <w:color w:val="0563C1"/>
          <w:sz w:val="20"/>
        </w:rPr>
        <w:t> </w:t>
      </w:r>
      <w:hyperlink r:id="rId20">
        <w:r>
          <w:rPr>
            <w:color w:val="0563C1"/>
            <w:sz w:val="20"/>
            <w:u w:val="single" w:color="0563C1"/>
          </w:rPr>
          <w:t>T%2fCO%2f1&amp;Lang=en</w:t>
        </w:r>
        <w:r>
          <w:rPr>
            <w:color w:val="0563C1"/>
            <w:sz w:val="20"/>
          </w:rPr>
          <w:t> </w:t>
        </w:r>
      </w:hyperlink>
      <w:r>
        <w:rPr>
          <w:rFonts w:ascii="Calibri" w:hAnsi="Calibri"/>
          <w:sz w:val="22"/>
        </w:rPr>
        <w:t>For </w:t>
      </w:r>
      <w:r>
        <w:rPr>
          <w:sz w:val="20"/>
        </w:rPr>
        <w:t>a general analysis on the challenges faced by Qatar in the implementation of the CRPD, see </w:t>
      </w:r>
      <w:r>
        <w:rPr>
          <w:rFonts w:ascii="Calibri" w:hAnsi="Calibri"/>
          <w:sz w:val="22"/>
        </w:rPr>
        <w:t>–– </w:t>
      </w:r>
      <w:r>
        <w:rPr>
          <w:sz w:val="20"/>
        </w:rPr>
        <w:t>Rodríguez del Pozo, P. (et. aliii), “The Convention on the Rights of Persons with Disabilities and Qatar´s domestic legislation”, </w:t>
      </w:r>
      <w:r>
        <w:rPr>
          <w:i/>
          <w:sz w:val="21"/>
        </w:rPr>
        <w:t>The Age of Human Rights Journal</w:t>
      </w:r>
      <w:r>
        <w:rPr>
          <w:sz w:val="20"/>
        </w:rPr>
        <w:t>, 9, 2017, [1–17].</w:t>
      </w:r>
    </w:p>
    <w:p>
      <w:pPr>
        <w:spacing w:line="244" w:lineRule="auto" w:before="0"/>
        <w:ind w:left="449" w:right="106" w:hanging="228"/>
        <w:jc w:val="both"/>
        <w:rPr>
          <w:sz w:val="20"/>
        </w:rPr>
      </w:pPr>
      <w:bookmarkStart w:name="_bookmark69" w:id="71"/>
      <w:bookmarkEnd w:id="71"/>
      <w:r>
        <w:rPr/>
      </w:r>
      <w:r>
        <w:rPr>
          <w:rFonts w:ascii="Calibri" w:hAnsi="Calibri"/>
          <w:position w:val="8"/>
          <w:sz w:val="14"/>
        </w:rPr>
        <w:t>69 </w:t>
      </w:r>
      <w:r>
        <w:rPr>
          <w:sz w:val="20"/>
        </w:rPr>
        <w:t>In this law, persons with disabilities are defined as: “any person with a permanent total or partial disability in any of the senses or in his or her physical ability or in his or her psychological or mental ability to such an extent that his or her opportunity to learn or to undergo rehabilitation or to earn a living</w:t>
      </w:r>
      <w:r>
        <w:rPr>
          <w:spacing w:val="-10"/>
          <w:sz w:val="20"/>
        </w:rPr>
        <w:t> </w:t>
      </w:r>
      <w:r>
        <w:rPr>
          <w:sz w:val="20"/>
        </w:rPr>
        <w:t>is</w:t>
      </w:r>
      <w:r>
        <w:rPr>
          <w:spacing w:val="-9"/>
          <w:sz w:val="20"/>
        </w:rPr>
        <w:t> </w:t>
      </w:r>
      <w:r>
        <w:rPr>
          <w:sz w:val="20"/>
        </w:rPr>
        <w:t>limited”</w:t>
      </w:r>
      <w:r>
        <w:rPr>
          <w:spacing w:val="-10"/>
          <w:sz w:val="20"/>
        </w:rPr>
        <w:t> </w:t>
      </w:r>
      <w:r>
        <w:rPr>
          <w:sz w:val="20"/>
        </w:rPr>
        <w:t>(Article</w:t>
      </w:r>
      <w:r>
        <w:rPr>
          <w:spacing w:val="-9"/>
          <w:sz w:val="20"/>
        </w:rPr>
        <w:t> </w:t>
      </w:r>
      <w:r>
        <w:rPr>
          <w:sz w:val="20"/>
        </w:rPr>
        <w:t>1).</w:t>
      </w:r>
      <w:r>
        <w:rPr>
          <w:spacing w:val="-10"/>
          <w:sz w:val="20"/>
        </w:rPr>
        <w:t> </w:t>
      </w:r>
      <w:r>
        <w:rPr>
          <w:sz w:val="20"/>
        </w:rPr>
        <w:t>The</w:t>
      </w:r>
      <w:r>
        <w:rPr>
          <w:spacing w:val="-9"/>
          <w:sz w:val="20"/>
        </w:rPr>
        <w:t> </w:t>
      </w:r>
      <w:r>
        <w:rPr>
          <w:sz w:val="20"/>
        </w:rPr>
        <w:t>perspective</w:t>
      </w:r>
      <w:r>
        <w:rPr>
          <w:spacing w:val="-9"/>
          <w:sz w:val="20"/>
        </w:rPr>
        <w:t> </w:t>
      </w:r>
      <w:r>
        <w:rPr>
          <w:sz w:val="20"/>
        </w:rPr>
        <w:t>of</w:t>
      </w:r>
      <w:r>
        <w:rPr>
          <w:spacing w:val="-10"/>
          <w:sz w:val="20"/>
        </w:rPr>
        <w:t> </w:t>
      </w:r>
      <w:r>
        <w:rPr>
          <w:sz w:val="20"/>
        </w:rPr>
        <w:t>specialty,</w:t>
      </w:r>
      <w:r>
        <w:rPr>
          <w:spacing w:val="-9"/>
          <w:sz w:val="20"/>
        </w:rPr>
        <w:t> </w:t>
      </w:r>
      <w:r>
        <w:rPr>
          <w:sz w:val="20"/>
        </w:rPr>
        <w:t>according</w:t>
      </w:r>
      <w:r>
        <w:rPr>
          <w:spacing w:val="-10"/>
          <w:sz w:val="20"/>
        </w:rPr>
        <w:t> </w:t>
      </w:r>
      <w:r>
        <w:rPr>
          <w:sz w:val="20"/>
        </w:rPr>
        <w:t>to</w:t>
      </w:r>
      <w:r>
        <w:rPr>
          <w:spacing w:val="-9"/>
          <w:sz w:val="20"/>
        </w:rPr>
        <w:t> </w:t>
      </w:r>
      <w:r>
        <w:rPr>
          <w:sz w:val="20"/>
        </w:rPr>
        <w:t>the</w:t>
      </w:r>
      <w:r>
        <w:rPr>
          <w:spacing w:val="-9"/>
          <w:sz w:val="20"/>
        </w:rPr>
        <w:t> </w:t>
      </w:r>
      <w:r>
        <w:rPr>
          <w:sz w:val="20"/>
        </w:rPr>
        <w:t>medical</w:t>
      </w:r>
      <w:r>
        <w:rPr>
          <w:spacing w:val="-11"/>
          <w:sz w:val="20"/>
        </w:rPr>
        <w:t> </w:t>
      </w:r>
      <w:r>
        <w:rPr>
          <w:sz w:val="20"/>
        </w:rPr>
        <w:t>model,</w:t>
      </w:r>
      <w:r>
        <w:rPr>
          <w:spacing w:val="-9"/>
          <w:sz w:val="20"/>
        </w:rPr>
        <w:t> </w:t>
      </w:r>
      <w:r>
        <w:rPr>
          <w:sz w:val="20"/>
        </w:rPr>
        <w:t>is</w:t>
      </w:r>
      <w:r>
        <w:rPr>
          <w:spacing w:val="-9"/>
          <w:sz w:val="20"/>
        </w:rPr>
        <w:t> </w:t>
      </w:r>
      <w:r>
        <w:rPr>
          <w:sz w:val="20"/>
        </w:rPr>
        <w:t>also</w:t>
      </w:r>
      <w:r>
        <w:rPr>
          <w:spacing w:val="-9"/>
          <w:sz w:val="20"/>
        </w:rPr>
        <w:t> </w:t>
      </w:r>
      <w:r>
        <w:rPr>
          <w:sz w:val="20"/>
        </w:rPr>
        <w:t>present in other definitions, such as “Special education,” “Rehabilitation,” and “Special Education</w:t>
      </w:r>
      <w:r>
        <w:rPr>
          <w:spacing w:val="-37"/>
          <w:sz w:val="20"/>
        </w:rPr>
        <w:t> </w:t>
      </w:r>
      <w:r>
        <w:rPr>
          <w:sz w:val="20"/>
        </w:rPr>
        <w:t>Institutes.”</w:t>
      </w:r>
    </w:p>
    <w:p>
      <w:pPr>
        <w:spacing w:after="0" w:line="244" w:lineRule="auto"/>
        <w:jc w:val="both"/>
        <w:rPr>
          <w:sz w:val="20"/>
        </w:rPr>
        <w:sectPr>
          <w:pgSz w:w="11910" w:h="16840"/>
          <w:pgMar w:header="0" w:footer="523" w:top="1320" w:bottom="720" w:left="940" w:right="1320"/>
        </w:sectPr>
      </w:pPr>
    </w:p>
    <w:p>
      <w:pPr>
        <w:pStyle w:val="BodyText"/>
        <w:spacing w:before="82"/>
        <w:ind w:left="398" w:right="109"/>
        <w:jc w:val="both"/>
        <w:rPr>
          <w:sz w:val="16"/>
        </w:rPr>
      </w:pPr>
      <w:r>
        <w:rPr/>
        <w:t>on</w:t>
      </w:r>
      <w:r>
        <w:rPr>
          <w:spacing w:val="-12"/>
        </w:rPr>
        <w:t> </w:t>
      </w:r>
      <w:r>
        <w:rPr/>
        <w:t>the</w:t>
      </w:r>
      <w:r>
        <w:rPr>
          <w:spacing w:val="-13"/>
        </w:rPr>
        <w:t> </w:t>
      </w:r>
      <w:r>
        <w:rPr/>
        <w:t>basis</w:t>
      </w:r>
      <w:r>
        <w:rPr>
          <w:spacing w:val="-12"/>
        </w:rPr>
        <w:t> </w:t>
      </w:r>
      <w:r>
        <w:rPr/>
        <w:t>of</w:t>
      </w:r>
      <w:r>
        <w:rPr>
          <w:spacing w:val="-12"/>
        </w:rPr>
        <w:t> </w:t>
      </w:r>
      <w:r>
        <w:rPr/>
        <w:t>their</w:t>
      </w:r>
      <w:r>
        <w:rPr>
          <w:spacing w:val="-13"/>
        </w:rPr>
        <w:t> </w:t>
      </w:r>
      <w:r>
        <w:rPr/>
        <w:t>impairment</w:t>
      </w:r>
      <w:r>
        <w:rPr>
          <w:spacing w:val="-14"/>
        </w:rPr>
        <w:t> </w:t>
      </w:r>
      <w:r>
        <w:rPr/>
        <w:t>as</w:t>
      </w:r>
      <w:r>
        <w:rPr>
          <w:spacing w:val="-12"/>
        </w:rPr>
        <w:t> </w:t>
      </w:r>
      <w:r>
        <w:rPr/>
        <w:t>well</w:t>
      </w:r>
      <w:r>
        <w:rPr>
          <w:spacing w:val="-11"/>
        </w:rPr>
        <w:t> </w:t>
      </w:r>
      <w:r>
        <w:rPr/>
        <w:t>as</w:t>
      </w:r>
      <w:r>
        <w:rPr>
          <w:spacing w:val="-12"/>
        </w:rPr>
        <w:t> </w:t>
      </w:r>
      <w:r>
        <w:rPr/>
        <w:t>the</w:t>
      </w:r>
      <w:r>
        <w:rPr>
          <w:spacing w:val="-12"/>
        </w:rPr>
        <w:t> </w:t>
      </w:r>
      <w:r>
        <w:rPr/>
        <w:t>deprivation</w:t>
      </w:r>
      <w:r>
        <w:rPr>
          <w:spacing w:val="-12"/>
        </w:rPr>
        <w:t> </w:t>
      </w:r>
      <w:r>
        <w:rPr/>
        <w:t>of</w:t>
      </w:r>
      <w:r>
        <w:rPr>
          <w:spacing w:val="-12"/>
        </w:rPr>
        <w:t> </w:t>
      </w:r>
      <w:r>
        <w:rPr/>
        <w:t>liberty</w:t>
      </w:r>
      <w:r>
        <w:rPr>
          <w:spacing w:val="-11"/>
        </w:rPr>
        <w:t> </w:t>
      </w:r>
      <w:r>
        <w:rPr/>
        <w:t>based</w:t>
      </w:r>
      <w:r>
        <w:rPr>
          <w:spacing w:val="-12"/>
        </w:rPr>
        <w:t> </w:t>
      </w:r>
      <w:r>
        <w:rPr/>
        <w:t>on</w:t>
      </w:r>
      <w:r>
        <w:rPr>
          <w:spacing w:val="-12"/>
        </w:rPr>
        <w:t> </w:t>
      </w:r>
      <w:r>
        <w:rPr/>
        <w:t>disability, including intellectual and/or psychosocial</w:t>
      </w:r>
      <w:r>
        <w:rPr>
          <w:spacing w:val="-4"/>
        </w:rPr>
        <w:t> </w:t>
      </w:r>
      <w:r>
        <w:rPr/>
        <w:t>disabilities.</w:t>
      </w:r>
      <w:hyperlink w:history="true" w:anchor="_bookmark70">
        <w:r>
          <w:rPr>
            <w:position w:val="8"/>
            <w:sz w:val="16"/>
          </w:rPr>
          <w:t>70</w:t>
        </w:r>
      </w:hyperlink>
    </w:p>
    <w:p>
      <w:pPr>
        <w:pStyle w:val="BodyText"/>
      </w:pPr>
    </w:p>
    <w:p>
      <w:pPr>
        <w:pStyle w:val="BodyText"/>
        <w:ind w:left="398" w:right="105"/>
        <w:jc w:val="both"/>
      </w:pPr>
      <w:r>
        <w:rPr/>
        <w:t>The Qatari Government reported that the State “does not have specialised institutions for</w:t>
      </w:r>
      <w:r>
        <w:rPr>
          <w:spacing w:val="-21"/>
        </w:rPr>
        <w:t> </w:t>
      </w:r>
      <w:r>
        <w:rPr/>
        <w:t>involuntary</w:t>
      </w:r>
      <w:r>
        <w:rPr>
          <w:spacing w:val="-19"/>
        </w:rPr>
        <w:t> </w:t>
      </w:r>
      <w:r>
        <w:rPr/>
        <w:t>detention</w:t>
      </w:r>
      <w:r>
        <w:rPr>
          <w:spacing w:val="-21"/>
        </w:rPr>
        <w:t> </w:t>
      </w:r>
      <w:r>
        <w:rPr/>
        <w:t>of</w:t>
      </w:r>
      <w:r>
        <w:rPr>
          <w:spacing w:val="-21"/>
        </w:rPr>
        <w:t> </w:t>
      </w:r>
      <w:r>
        <w:rPr/>
        <w:t>persons</w:t>
      </w:r>
      <w:r>
        <w:rPr>
          <w:spacing w:val="-20"/>
        </w:rPr>
        <w:t> </w:t>
      </w:r>
      <w:r>
        <w:rPr/>
        <w:t>with</w:t>
      </w:r>
      <w:r>
        <w:rPr>
          <w:spacing w:val="-21"/>
        </w:rPr>
        <w:t> </w:t>
      </w:r>
      <w:r>
        <w:rPr/>
        <w:t>disabilities.”</w:t>
      </w:r>
      <w:hyperlink w:history="true" w:anchor="_bookmark71">
        <w:r>
          <w:rPr>
            <w:position w:val="8"/>
            <w:sz w:val="16"/>
          </w:rPr>
          <w:t>71</w:t>
        </w:r>
        <w:r>
          <w:rPr>
            <w:spacing w:val="-2"/>
            <w:position w:val="8"/>
            <w:sz w:val="16"/>
          </w:rPr>
          <w:t> </w:t>
        </w:r>
      </w:hyperlink>
      <w:r>
        <w:rPr/>
        <w:t>Despite</w:t>
      </w:r>
      <w:r>
        <w:rPr>
          <w:spacing w:val="-20"/>
        </w:rPr>
        <w:t> </w:t>
      </w:r>
      <w:r>
        <w:rPr/>
        <w:t>this</w:t>
      </w:r>
      <w:r>
        <w:rPr>
          <w:spacing w:val="-20"/>
        </w:rPr>
        <w:t> </w:t>
      </w:r>
      <w:r>
        <w:rPr/>
        <w:t>comment</w:t>
      </w:r>
      <w:r>
        <w:rPr>
          <w:spacing w:val="-21"/>
        </w:rPr>
        <w:t> </w:t>
      </w:r>
      <w:r>
        <w:rPr/>
        <w:t>(although at the time of the CRPD Committee Review Qatar’s authorities had not yet drafted legislation regarding the conditions and the formal proceedings for involuntary admission),</w:t>
      </w:r>
      <w:r>
        <w:rPr>
          <w:spacing w:val="-9"/>
        </w:rPr>
        <w:t> </w:t>
      </w:r>
      <w:r>
        <w:rPr/>
        <w:t>persons</w:t>
      </w:r>
      <w:r>
        <w:rPr>
          <w:spacing w:val="-9"/>
        </w:rPr>
        <w:t> </w:t>
      </w:r>
      <w:r>
        <w:rPr/>
        <w:t>with</w:t>
      </w:r>
      <w:r>
        <w:rPr>
          <w:spacing w:val="-9"/>
        </w:rPr>
        <w:t> </w:t>
      </w:r>
      <w:r>
        <w:rPr/>
        <w:t>psychosocial</w:t>
      </w:r>
      <w:r>
        <w:rPr>
          <w:spacing w:val="-9"/>
        </w:rPr>
        <w:t> </w:t>
      </w:r>
      <w:r>
        <w:rPr/>
        <w:t>disabilities</w:t>
      </w:r>
      <w:r>
        <w:rPr>
          <w:spacing w:val="-9"/>
        </w:rPr>
        <w:t> </w:t>
      </w:r>
      <w:r>
        <w:rPr/>
        <w:t>were</w:t>
      </w:r>
      <w:r>
        <w:rPr>
          <w:spacing w:val="-9"/>
        </w:rPr>
        <w:t> </w:t>
      </w:r>
      <w:r>
        <w:rPr/>
        <w:t>in</w:t>
      </w:r>
      <w:r>
        <w:rPr>
          <w:spacing w:val="-9"/>
        </w:rPr>
        <w:t> </w:t>
      </w:r>
      <w:r>
        <w:rPr/>
        <w:t>fact</w:t>
      </w:r>
      <w:r>
        <w:rPr>
          <w:spacing w:val="-10"/>
        </w:rPr>
        <w:t> </w:t>
      </w:r>
      <w:r>
        <w:rPr/>
        <w:t>involuntarily</w:t>
      </w:r>
      <w:r>
        <w:rPr>
          <w:spacing w:val="-9"/>
        </w:rPr>
        <w:t> </w:t>
      </w:r>
      <w:r>
        <w:rPr/>
        <w:t>hospitalised in mental health facilities, without legal</w:t>
      </w:r>
      <w:r>
        <w:rPr>
          <w:spacing w:val="-2"/>
        </w:rPr>
        <w:t> </w:t>
      </w:r>
      <w:r>
        <w:rPr/>
        <w:t>basis.</w:t>
      </w:r>
    </w:p>
    <w:p>
      <w:pPr>
        <w:pStyle w:val="BodyText"/>
      </w:pPr>
    </w:p>
    <w:p>
      <w:pPr>
        <w:pStyle w:val="BodyText"/>
        <w:ind w:left="397" w:right="105"/>
        <w:jc w:val="both"/>
      </w:pPr>
      <w:r>
        <w:rPr/>
        <w:t>In 2013, Qatar’s National Mental Health Strategy 2013–2018 was approved.</w:t>
      </w:r>
      <w:hyperlink w:history="true" w:anchor="_bookmark72">
        <w:r>
          <w:rPr>
            <w:position w:val="8"/>
            <w:sz w:val="16"/>
          </w:rPr>
          <w:t>72 </w:t>
        </w:r>
      </w:hyperlink>
      <w:r>
        <w:rPr/>
        <w:t>This Strategy aims to reform the mental health system in order to achieve two main objectives: firstly, to raise public awareness and reduce the stigma associated with mental illness, and secondly to provide the best possible inclusive mental health services for the people.</w:t>
      </w:r>
      <w:hyperlink w:history="true" w:anchor="_bookmark73">
        <w:r>
          <w:rPr>
            <w:position w:val="8"/>
            <w:sz w:val="16"/>
          </w:rPr>
          <w:t>73 </w:t>
        </w:r>
      </w:hyperlink>
      <w:r>
        <w:rPr/>
        <w:t>The Strategy requires a shift from the model of care “from patient hospitalised in psychiatric departments” to the model of care lived through community services, and includes among its pledges the drafting of a Mental Health Law to safeguard the human rights of persons with a mental illness.</w:t>
      </w:r>
    </w:p>
    <w:p>
      <w:pPr>
        <w:pStyle w:val="BodyText"/>
      </w:pPr>
    </w:p>
    <w:p>
      <w:pPr>
        <w:pStyle w:val="BodyText"/>
        <w:ind w:left="397" w:right="106"/>
        <w:jc w:val="both"/>
      </w:pPr>
      <w:r>
        <w:rPr/>
        <w:t>The 2015 Annual Report of the National Human Rights Committee (hereafter NHRC) on the Situation of Human Rights in the State of Qatar and the Committee Activities stated that “mental disability constitutes the main challenge, as this group is facing social exclusion” </w:t>
      </w:r>
      <w:hyperlink w:history="true" w:anchor="_bookmark74">
        <w:r>
          <w:rPr>
            <w:position w:val="8"/>
            <w:sz w:val="16"/>
          </w:rPr>
          <w:t>74 </w:t>
        </w:r>
      </w:hyperlink>
      <w:r>
        <w:rPr/>
        <w:t>and included some specific observations about mental patient conditions. These observations denounced some bad practices with regards to involuntary commitments noting a lack of resources, a scarcity of community services and an absence of a legal framework to address the rights of persons with mental disability.</w:t>
      </w:r>
      <w:r>
        <w:rPr>
          <w:spacing w:val="-13"/>
        </w:rPr>
        <w:t> </w:t>
      </w:r>
      <w:r>
        <w:rPr/>
        <w:t>The</w:t>
      </w:r>
      <w:r>
        <w:rPr>
          <w:spacing w:val="-14"/>
        </w:rPr>
        <w:t> </w:t>
      </w:r>
      <w:r>
        <w:rPr/>
        <w:t>NHRC’s</w:t>
      </w:r>
      <w:r>
        <w:rPr>
          <w:spacing w:val="-14"/>
        </w:rPr>
        <w:t> </w:t>
      </w:r>
      <w:r>
        <w:rPr/>
        <w:t>Report</w:t>
      </w:r>
      <w:r>
        <w:rPr>
          <w:spacing w:val="-13"/>
        </w:rPr>
        <w:t> </w:t>
      </w:r>
      <w:r>
        <w:rPr/>
        <w:t>also</w:t>
      </w:r>
      <w:r>
        <w:rPr>
          <w:spacing w:val="-14"/>
        </w:rPr>
        <w:t> </w:t>
      </w:r>
      <w:r>
        <w:rPr/>
        <w:t>recommended</w:t>
      </w:r>
      <w:r>
        <w:rPr>
          <w:spacing w:val="-13"/>
        </w:rPr>
        <w:t> </w:t>
      </w:r>
      <w:r>
        <w:rPr/>
        <w:t>“promptly</w:t>
      </w:r>
      <w:r>
        <w:rPr>
          <w:spacing w:val="-14"/>
        </w:rPr>
        <w:t> </w:t>
      </w:r>
      <w:r>
        <w:rPr/>
        <w:t>issuing</w:t>
      </w:r>
      <w:r>
        <w:rPr>
          <w:spacing w:val="-14"/>
        </w:rPr>
        <w:t> </w:t>
      </w:r>
      <w:r>
        <w:rPr/>
        <w:t>a</w:t>
      </w:r>
      <w:r>
        <w:rPr>
          <w:spacing w:val="-14"/>
        </w:rPr>
        <w:t> </w:t>
      </w:r>
      <w:r>
        <w:rPr/>
        <w:t>law</w:t>
      </w:r>
      <w:r>
        <w:rPr>
          <w:spacing w:val="-14"/>
        </w:rPr>
        <w:t> </w:t>
      </w:r>
      <w:r>
        <w:rPr/>
        <w:t>..</w:t>
      </w:r>
      <w:r>
        <w:rPr>
          <w:spacing w:val="-13"/>
        </w:rPr>
        <w:t> </w:t>
      </w:r>
      <w:r>
        <w:rPr/>
        <w:t>[regulating]</w:t>
      </w:r>
    </w:p>
    <w:p>
      <w:pPr>
        <w:pStyle w:val="BodyText"/>
        <w:spacing w:line="289" w:lineRule="exact"/>
        <w:ind w:left="398"/>
        <w:jc w:val="both"/>
        <w:rPr>
          <w:sz w:val="16"/>
        </w:rPr>
      </w:pPr>
      <w:r>
        <w:rPr/>
        <w:t>.. the mental patient`s rights.”</w:t>
      </w:r>
      <w:hyperlink w:history="true" w:anchor="_bookmark75">
        <w:r>
          <w:rPr>
            <w:position w:val="8"/>
            <w:sz w:val="16"/>
          </w:rPr>
          <w:t>75</w:t>
        </w:r>
      </w:hyperlink>
    </w:p>
    <w:p>
      <w:pPr>
        <w:pStyle w:val="BodyText"/>
      </w:pPr>
    </w:p>
    <w:p>
      <w:pPr>
        <w:pStyle w:val="BodyText"/>
        <w:spacing w:before="1"/>
        <w:ind w:left="397" w:right="105"/>
        <w:jc w:val="both"/>
      </w:pPr>
      <w:r>
        <w:rPr/>
        <w:t>This new law, which according to Qatar’s National Mental Health Strategy, was to be enacted</w:t>
      </w:r>
      <w:r>
        <w:rPr>
          <w:spacing w:val="-4"/>
        </w:rPr>
        <w:t> </w:t>
      </w:r>
      <w:r>
        <w:rPr/>
        <w:t>in</w:t>
      </w:r>
      <w:r>
        <w:rPr>
          <w:spacing w:val="-5"/>
        </w:rPr>
        <w:t> </w:t>
      </w:r>
      <w:r>
        <w:rPr/>
        <w:t>December</w:t>
      </w:r>
      <w:r>
        <w:rPr>
          <w:spacing w:val="-4"/>
        </w:rPr>
        <w:t> </w:t>
      </w:r>
      <w:r>
        <w:rPr/>
        <w:t>2015,</w:t>
      </w:r>
      <w:r>
        <w:rPr>
          <w:spacing w:val="-4"/>
        </w:rPr>
        <w:t> </w:t>
      </w:r>
      <w:r>
        <w:rPr/>
        <w:t>was</w:t>
      </w:r>
      <w:r>
        <w:rPr>
          <w:spacing w:val="-5"/>
        </w:rPr>
        <w:t> </w:t>
      </w:r>
      <w:r>
        <w:rPr/>
        <w:t>finally</w:t>
      </w:r>
      <w:r>
        <w:rPr>
          <w:spacing w:val="-4"/>
        </w:rPr>
        <w:t> </w:t>
      </w:r>
      <w:r>
        <w:rPr/>
        <w:t>approved</w:t>
      </w:r>
      <w:r>
        <w:rPr>
          <w:spacing w:val="-4"/>
        </w:rPr>
        <w:t> </w:t>
      </w:r>
      <w:r>
        <w:rPr/>
        <w:t>more</w:t>
      </w:r>
      <w:r>
        <w:rPr>
          <w:spacing w:val="-6"/>
        </w:rPr>
        <w:t> </w:t>
      </w:r>
      <w:r>
        <w:rPr/>
        <w:t>than</w:t>
      </w:r>
      <w:r>
        <w:rPr>
          <w:spacing w:val="-4"/>
        </w:rPr>
        <w:t> </w:t>
      </w:r>
      <w:r>
        <w:rPr/>
        <w:t>a</w:t>
      </w:r>
      <w:r>
        <w:rPr>
          <w:spacing w:val="-5"/>
        </w:rPr>
        <w:t> </w:t>
      </w:r>
      <w:r>
        <w:rPr/>
        <w:t>year</w:t>
      </w:r>
      <w:r>
        <w:rPr>
          <w:spacing w:val="-5"/>
        </w:rPr>
        <w:t> </w:t>
      </w:r>
      <w:r>
        <w:rPr/>
        <w:t>later.</w:t>
      </w:r>
      <w:r>
        <w:rPr>
          <w:spacing w:val="-3"/>
        </w:rPr>
        <w:t> </w:t>
      </w:r>
      <w:r>
        <w:rPr/>
        <w:t>Law</w:t>
      </w:r>
      <w:r>
        <w:rPr>
          <w:spacing w:val="-6"/>
        </w:rPr>
        <w:t> </w:t>
      </w:r>
      <w:r>
        <w:rPr/>
        <w:t>No.16</w:t>
      </w:r>
      <w:r>
        <w:rPr>
          <w:spacing w:val="-5"/>
        </w:rPr>
        <w:t> </w:t>
      </w:r>
      <w:r>
        <w:rPr/>
        <w:t>of 2016</w:t>
      </w:r>
      <w:r>
        <w:rPr>
          <w:spacing w:val="-18"/>
        </w:rPr>
        <w:t> </w:t>
      </w:r>
      <w:r>
        <w:rPr/>
        <w:t>on</w:t>
      </w:r>
      <w:r>
        <w:rPr>
          <w:spacing w:val="-17"/>
        </w:rPr>
        <w:t> </w:t>
      </w:r>
      <w:r>
        <w:rPr/>
        <w:t>Rights</w:t>
      </w:r>
      <w:r>
        <w:rPr>
          <w:spacing w:val="-19"/>
        </w:rPr>
        <w:t> </w:t>
      </w:r>
      <w:r>
        <w:rPr/>
        <w:t>of</w:t>
      </w:r>
      <w:r>
        <w:rPr>
          <w:spacing w:val="-18"/>
        </w:rPr>
        <w:t> </w:t>
      </w:r>
      <w:r>
        <w:rPr/>
        <w:t>Patients</w:t>
      </w:r>
      <w:r>
        <w:rPr>
          <w:spacing w:val="-18"/>
        </w:rPr>
        <w:t> </w:t>
      </w:r>
      <w:r>
        <w:rPr/>
        <w:t>with</w:t>
      </w:r>
      <w:r>
        <w:rPr>
          <w:spacing w:val="-18"/>
        </w:rPr>
        <w:t> </w:t>
      </w:r>
      <w:r>
        <w:rPr/>
        <w:t>Mental</w:t>
      </w:r>
      <w:r>
        <w:rPr>
          <w:spacing w:val="-18"/>
        </w:rPr>
        <w:t> </w:t>
      </w:r>
      <w:r>
        <w:rPr/>
        <w:t>Illness</w:t>
      </w:r>
      <w:hyperlink w:history="true" w:anchor="_bookmark76">
        <w:r>
          <w:rPr>
            <w:position w:val="8"/>
            <w:sz w:val="16"/>
          </w:rPr>
          <w:t>76</w:t>
        </w:r>
        <w:r>
          <w:rPr>
            <w:spacing w:val="-2"/>
            <w:position w:val="8"/>
            <w:sz w:val="16"/>
          </w:rPr>
          <w:t> </w:t>
        </w:r>
      </w:hyperlink>
      <w:r>
        <w:rPr/>
        <w:t>(hereafter</w:t>
      </w:r>
      <w:r>
        <w:rPr>
          <w:spacing w:val="-17"/>
        </w:rPr>
        <w:t> </w:t>
      </w:r>
      <w:r>
        <w:rPr/>
        <w:t>the</w:t>
      </w:r>
      <w:r>
        <w:rPr>
          <w:spacing w:val="-18"/>
        </w:rPr>
        <w:t> </w:t>
      </w:r>
      <w:r>
        <w:rPr/>
        <w:t>Mental</w:t>
      </w:r>
      <w:r>
        <w:rPr>
          <w:spacing w:val="-17"/>
        </w:rPr>
        <w:t> </w:t>
      </w:r>
      <w:r>
        <w:rPr/>
        <w:t>Health</w:t>
      </w:r>
      <w:r>
        <w:rPr>
          <w:spacing w:val="-18"/>
        </w:rPr>
        <w:t> </w:t>
      </w:r>
      <w:r>
        <w:rPr/>
        <w:t>Law)</w:t>
      </w:r>
      <w:r>
        <w:rPr>
          <w:spacing w:val="-17"/>
        </w:rPr>
        <w:t> </w:t>
      </w:r>
      <w:r>
        <w:rPr/>
        <w:t>gives “psychiatric</w:t>
      </w:r>
      <w:r>
        <w:rPr>
          <w:spacing w:val="15"/>
        </w:rPr>
        <w:t> </w:t>
      </w:r>
      <w:r>
        <w:rPr/>
        <w:t>patients”</w:t>
      </w:r>
      <w:r>
        <w:rPr>
          <w:spacing w:val="15"/>
        </w:rPr>
        <w:t> </w:t>
      </w:r>
      <w:r>
        <w:rPr/>
        <w:t>—</w:t>
      </w:r>
      <w:r>
        <w:rPr>
          <w:spacing w:val="16"/>
        </w:rPr>
        <w:t> </w:t>
      </w:r>
      <w:r>
        <w:rPr/>
        <w:t>defined</w:t>
      </w:r>
      <w:r>
        <w:rPr>
          <w:spacing w:val="13"/>
        </w:rPr>
        <w:t> </w:t>
      </w:r>
      <w:r>
        <w:rPr/>
        <w:t>as</w:t>
      </w:r>
      <w:r>
        <w:rPr>
          <w:spacing w:val="15"/>
        </w:rPr>
        <w:t> </w:t>
      </w:r>
      <w:r>
        <w:rPr/>
        <w:t>persons</w:t>
      </w:r>
      <w:r>
        <w:rPr>
          <w:spacing w:val="15"/>
        </w:rPr>
        <w:t> </w:t>
      </w:r>
      <w:r>
        <w:rPr/>
        <w:t>who</w:t>
      </w:r>
      <w:r>
        <w:rPr>
          <w:spacing w:val="15"/>
        </w:rPr>
        <w:t> </w:t>
      </w:r>
      <w:r>
        <w:rPr/>
        <w:t>“suffer</w:t>
      </w:r>
      <w:r>
        <w:rPr>
          <w:spacing w:val="15"/>
        </w:rPr>
        <w:t> </w:t>
      </w:r>
      <w:r>
        <w:rPr/>
        <w:t>from</w:t>
      </w:r>
      <w:r>
        <w:rPr>
          <w:spacing w:val="15"/>
        </w:rPr>
        <w:t> </w:t>
      </w:r>
      <w:r>
        <w:rPr/>
        <w:t>mental</w:t>
      </w:r>
      <w:r>
        <w:rPr>
          <w:spacing w:val="15"/>
        </w:rPr>
        <w:t> </w:t>
      </w:r>
      <w:r>
        <w:rPr/>
        <w:t>or</w:t>
      </w:r>
      <w:r>
        <w:rPr>
          <w:spacing w:val="15"/>
        </w:rPr>
        <w:t> </w:t>
      </w:r>
      <w:r>
        <w:rPr/>
        <w:t>psychosocial</w:t>
      </w:r>
    </w:p>
    <w:p>
      <w:pPr>
        <w:pStyle w:val="BodyText"/>
        <w:spacing w:before="7"/>
        <w:rPr>
          <w:sz w:val="37"/>
        </w:rPr>
      </w:pPr>
    </w:p>
    <w:p>
      <w:pPr>
        <w:spacing w:before="0"/>
        <w:ind w:left="449" w:right="0" w:hanging="228"/>
        <w:jc w:val="left"/>
        <w:rPr>
          <w:sz w:val="20"/>
        </w:rPr>
      </w:pPr>
      <w:bookmarkStart w:name="_bookmark70" w:id="72"/>
      <w:bookmarkEnd w:id="72"/>
      <w:r>
        <w:rPr/>
      </w:r>
      <w:r>
        <w:rPr>
          <w:position w:val="7"/>
          <w:sz w:val="13"/>
        </w:rPr>
        <w:t>70 </w:t>
      </w:r>
      <w:r>
        <w:rPr>
          <w:sz w:val="20"/>
        </w:rPr>
        <w:t>CRPD Committee, Concluding Observations on the Initial Report of Qatar, para (27). Available at: </w:t>
      </w:r>
      <w:hyperlink r:id="rId21">
        <w:r>
          <w:rPr>
            <w:color w:val="0563C1"/>
            <w:sz w:val="20"/>
            <w:u w:val="single" w:color="0563C1"/>
          </w:rPr>
          <w:t>http://www.refworld.org/docid/55eed9fb4.html</w:t>
        </w:r>
      </w:hyperlink>
    </w:p>
    <w:p>
      <w:pPr>
        <w:spacing w:before="0"/>
        <w:ind w:left="441" w:right="0" w:hanging="220"/>
        <w:jc w:val="left"/>
        <w:rPr>
          <w:sz w:val="20"/>
        </w:rPr>
      </w:pPr>
      <w:bookmarkStart w:name="_bookmark71" w:id="73"/>
      <w:bookmarkEnd w:id="73"/>
      <w:r>
        <w:rPr/>
      </w:r>
      <w:r>
        <w:rPr>
          <w:position w:val="7"/>
          <w:sz w:val="13"/>
        </w:rPr>
        <w:t>71 </w:t>
      </w:r>
      <w:r>
        <w:rPr>
          <w:sz w:val="20"/>
        </w:rPr>
        <w:t>Comments Received from the Competent Authorities of the State of Qatar Regarding the Committee's Concluding Observations. Available at: </w:t>
      </w:r>
      <w:hyperlink r:id="rId22">
        <w:r>
          <w:rPr>
            <w:sz w:val="20"/>
            <w:u w:val="single"/>
          </w:rPr>
          <w:t>http://disabilitycouncilinternational.org/documents/ConcObv/Qatarcomments.doc</w:t>
        </w:r>
      </w:hyperlink>
    </w:p>
    <w:p>
      <w:pPr>
        <w:spacing w:line="228" w:lineRule="auto" w:before="1"/>
        <w:ind w:left="449" w:right="0" w:hanging="228"/>
        <w:jc w:val="left"/>
        <w:rPr>
          <w:sz w:val="20"/>
        </w:rPr>
      </w:pPr>
      <w:bookmarkStart w:name="_bookmark72" w:id="74"/>
      <w:bookmarkEnd w:id="74"/>
      <w:r>
        <w:rPr/>
      </w:r>
      <w:r>
        <w:rPr>
          <w:position w:val="7"/>
          <w:sz w:val="13"/>
        </w:rPr>
        <w:t>72</w:t>
      </w:r>
      <w:r>
        <w:rPr>
          <w:spacing w:val="-16"/>
          <w:position w:val="7"/>
          <w:sz w:val="13"/>
        </w:rPr>
        <w:t> </w:t>
      </w:r>
      <w:r>
        <w:rPr>
          <w:sz w:val="20"/>
        </w:rPr>
        <w:t>General</w:t>
      </w:r>
      <w:r>
        <w:rPr>
          <w:spacing w:val="-32"/>
          <w:sz w:val="20"/>
        </w:rPr>
        <w:t> </w:t>
      </w:r>
      <w:r>
        <w:rPr>
          <w:sz w:val="20"/>
        </w:rPr>
        <w:t>Secretariat,</w:t>
      </w:r>
      <w:r>
        <w:rPr>
          <w:spacing w:val="-32"/>
          <w:sz w:val="20"/>
        </w:rPr>
        <w:t> </w:t>
      </w:r>
      <w:r>
        <w:rPr>
          <w:sz w:val="20"/>
        </w:rPr>
        <w:t>Supreme</w:t>
      </w:r>
      <w:r>
        <w:rPr>
          <w:spacing w:val="-32"/>
          <w:sz w:val="20"/>
        </w:rPr>
        <w:t> </w:t>
      </w:r>
      <w:r>
        <w:rPr>
          <w:sz w:val="20"/>
        </w:rPr>
        <w:t>Council</w:t>
      </w:r>
      <w:r>
        <w:rPr>
          <w:spacing w:val="-32"/>
          <w:sz w:val="20"/>
        </w:rPr>
        <w:t> </w:t>
      </w:r>
      <w:r>
        <w:rPr>
          <w:sz w:val="20"/>
        </w:rPr>
        <w:t>of</w:t>
      </w:r>
      <w:r>
        <w:rPr>
          <w:spacing w:val="-33"/>
          <w:sz w:val="20"/>
        </w:rPr>
        <w:t> </w:t>
      </w:r>
      <w:r>
        <w:rPr>
          <w:sz w:val="20"/>
        </w:rPr>
        <w:t>Health,</w:t>
      </w:r>
      <w:r>
        <w:rPr>
          <w:spacing w:val="-32"/>
          <w:sz w:val="20"/>
        </w:rPr>
        <w:t> </w:t>
      </w:r>
      <w:r>
        <w:rPr>
          <w:sz w:val="20"/>
        </w:rPr>
        <w:t>2013,</w:t>
      </w:r>
      <w:r>
        <w:rPr>
          <w:spacing w:val="-32"/>
          <w:sz w:val="20"/>
        </w:rPr>
        <w:t> </w:t>
      </w:r>
      <w:r>
        <w:rPr>
          <w:i/>
          <w:sz w:val="21"/>
        </w:rPr>
        <w:t>Qatar’s</w:t>
      </w:r>
      <w:r>
        <w:rPr>
          <w:i/>
          <w:spacing w:val="-35"/>
          <w:sz w:val="21"/>
        </w:rPr>
        <w:t> </w:t>
      </w:r>
      <w:r>
        <w:rPr>
          <w:i/>
          <w:sz w:val="21"/>
        </w:rPr>
        <w:t>National</w:t>
      </w:r>
      <w:r>
        <w:rPr>
          <w:i/>
          <w:spacing w:val="-35"/>
          <w:sz w:val="21"/>
        </w:rPr>
        <w:t> </w:t>
      </w:r>
      <w:r>
        <w:rPr>
          <w:i/>
          <w:sz w:val="21"/>
        </w:rPr>
        <w:t>Mental</w:t>
      </w:r>
      <w:r>
        <w:rPr>
          <w:i/>
          <w:spacing w:val="-35"/>
          <w:sz w:val="21"/>
        </w:rPr>
        <w:t> </w:t>
      </w:r>
      <w:r>
        <w:rPr>
          <w:i/>
          <w:sz w:val="21"/>
        </w:rPr>
        <w:t>Health</w:t>
      </w:r>
      <w:r>
        <w:rPr>
          <w:i/>
          <w:spacing w:val="-35"/>
          <w:sz w:val="21"/>
        </w:rPr>
        <w:t> </w:t>
      </w:r>
      <w:r>
        <w:rPr>
          <w:i/>
          <w:sz w:val="21"/>
        </w:rPr>
        <w:t>Strategy.</w:t>
      </w:r>
      <w:r>
        <w:rPr>
          <w:i/>
          <w:spacing w:val="-36"/>
          <w:sz w:val="21"/>
        </w:rPr>
        <w:t> </w:t>
      </w:r>
      <w:r>
        <w:rPr>
          <w:i/>
          <w:sz w:val="21"/>
        </w:rPr>
        <w:t>Changing Minds, Changing Lives</w:t>
      </w:r>
      <w:r>
        <w:rPr>
          <w:sz w:val="20"/>
        </w:rPr>
        <w:t>, 2013–2018. Available at</w:t>
      </w:r>
      <w:r>
        <w:rPr>
          <w:spacing w:val="-29"/>
          <w:sz w:val="20"/>
        </w:rPr>
        <w:t> </w:t>
      </w:r>
      <w:hyperlink r:id="rId23">
        <w:r>
          <w:rPr>
            <w:sz w:val="20"/>
            <w:u w:val="single"/>
          </w:rPr>
          <w:t>http://nhsq.info/app/media/1166</w:t>
        </w:r>
      </w:hyperlink>
    </w:p>
    <w:p>
      <w:pPr>
        <w:spacing w:line="237" w:lineRule="auto" w:before="0"/>
        <w:ind w:left="449" w:right="0" w:hanging="229"/>
        <w:jc w:val="left"/>
        <w:rPr>
          <w:sz w:val="20"/>
        </w:rPr>
      </w:pPr>
      <w:bookmarkStart w:name="_bookmark73" w:id="75"/>
      <w:bookmarkEnd w:id="75"/>
      <w:r>
        <w:rPr/>
      </w:r>
      <w:r>
        <w:rPr>
          <w:position w:val="7"/>
          <w:sz w:val="13"/>
        </w:rPr>
        <w:t>73 </w:t>
      </w:r>
      <w:r>
        <w:rPr>
          <w:sz w:val="20"/>
        </w:rPr>
        <w:t>Sharkey, T., “Mental Health Strategy and Impact Evaluation in Qatar”, </w:t>
      </w:r>
      <w:r>
        <w:rPr>
          <w:i/>
          <w:sz w:val="21"/>
        </w:rPr>
        <w:t>BJPsych International</w:t>
      </w:r>
      <w:r>
        <w:rPr>
          <w:sz w:val="20"/>
        </w:rPr>
        <w:t>, Volume 14, no. 1, February 2017, [18–21].</w:t>
      </w:r>
    </w:p>
    <w:p>
      <w:pPr>
        <w:spacing w:line="230" w:lineRule="auto" w:before="0"/>
        <w:ind w:left="392" w:right="0" w:hanging="171"/>
        <w:jc w:val="left"/>
        <w:rPr>
          <w:sz w:val="20"/>
        </w:rPr>
      </w:pPr>
      <w:bookmarkStart w:name="_bookmark74" w:id="76"/>
      <w:bookmarkEnd w:id="76"/>
      <w:r>
        <w:rPr/>
      </w:r>
      <w:r>
        <w:rPr>
          <w:position w:val="7"/>
          <w:sz w:val="13"/>
        </w:rPr>
        <w:t>74 </w:t>
      </w:r>
      <w:r>
        <w:rPr>
          <w:i/>
          <w:sz w:val="21"/>
        </w:rPr>
        <w:t>2015 Annual Report of the National Human Rights Committee </w:t>
      </w:r>
      <w:r>
        <w:rPr>
          <w:sz w:val="20"/>
        </w:rPr>
        <w:t>(hereafter NHRC) </w:t>
      </w:r>
      <w:r>
        <w:rPr>
          <w:i/>
          <w:sz w:val="21"/>
        </w:rPr>
        <w:t>on the Situation of Human Rights in the State of Qatar and the Committee Activities</w:t>
      </w:r>
      <w:r>
        <w:rPr>
          <w:sz w:val="20"/>
        </w:rPr>
        <w:t>, [73].</w:t>
      </w:r>
    </w:p>
    <w:p>
      <w:pPr>
        <w:spacing w:line="240" w:lineRule="exact" w:before="0"/>
        <w:ind w:left="408" w:right="0" w:firstLine="0"/>
        <w:jc w:val="both"/>
        <w:rPr>
          <w:sz w:val="20"/>
        </w:rPr>
      </w:pPr>
      <w:r>
        <w:rPr>
          <w:sz w:val="20"/>
        </w:rPr>
        <w:t>Available at:</w:t>
      </w:r>
    </w:p>
    <w:p>
      <w:pPr>
        <w:spacing w:line="241" w:lineRule="exact" w:before="0"/>
        <w:ind w:left="408" w:right="0" w:firstLine="0"/>
        <w:jc w:val="both"/>
        <w:rPr>
          <w:sz w:val="20"/>
        </w:rPr>
      </w:pPr>
      <w:hyperlink r:id="rId24">
        <w:r>
          <w:rPr>
            <w:sz w:val="20"/>
            <w:u w:val="single"/>
          </w:rPr>
          <w:t>http://www.nhrc-qa.org/wp-content/uploads/2014/01/93621-National-Human-Rights-English.pdf</w:t>
        </w:r>
      </w:hyperlink>
    </w:p>
    <w:p>
      <w:pPr>
        <w:spacing w:line="241" w:lineRule="exact" w:before="0"/>
        <w:ind w:left="221" w:right="0" w:firstLine="0"/>
        <w:jc w:val="left"/>
        <w:rPr>
          <w:sz w:val="20"/>
        </w:rPr>
      </w:pPr>
      <w:bookmarkStart w:name="_bookmark75" w:id="77"/>
      <w:bookmarkEnd w:id="77"/>
      <w:r>
        <w:rPr/>
      </w:r>
      <w:r>
        <w:rPr>
          <w:position w:val="7"/>
          <w:sz w:val="13"/>
        </w:rPr>
        <w:t>75 </w:t>
      </w:r>
      <w:r>
        <w:rPr>
          <w:sz w:val="20"/>
        </w:rPr>
        <w:t>Ibid, [58].</w:t>
      </w:r>
    </w:p>
    <w:p>
      <w:pPr>
        <w:spacing w:before="0"/>
        <w:ind w:left="221" w:right="0" w:firstLine="0"/>
        <w:jc w:val="left"/>
        <w:rPr>
          <w:sz w:val="20"/>
        </w:rPr>
      </w:pPr>
      <w:bookmarkStart w:name="_bookmark76" w:id="78"/>
      <w:bookmarkEnd w:id="78"/>
      <w:r>
        <w:rPr/>
      </w:r>
      <w:r>
        <w:rPr>
          <w:position w:val="7"/>
          <w:sz w:val="13"/>
        </w:rPr>
        <w:t>76 </w:t>
      </w:r>
      <w:r>
        <w:rPr>
          <w:sz w:val="20"/>
        </w:rPr>
        <w:t>Available at: </w:t>
      </w:r>
      <w:hyperlink r:id="rId25">
        <w:r>
          <w:rPr>
            <w:color w:val="0563C1"/>
            <w:sz w:val="20"/>
            <w:u w:val="single" w:color="0563C1"/>
          </w:rPr>
          <w:t>http://www.ilo.org/dyn/natlex/natlex4.detail?p_lang=en&amp;p_isn=105416&amp;p_country=QAT</w:t>
        </w:r>
      </w:hyperlink>
    </w:p>
    <w:p>
      <w:pPr>
        <w:spacing w:after="0"/>
        <w:jc w:val="left"/>
        <w:rPr>
          <w:sz w:val="20"/>
        </w:rPr>
        <w:sectPr>
          <w:pgSz w:w="11910" w:h="16840"/>
          <w:pgMar w:header="0" w:footer="523" w:top="1320" w:bottom="720" w:left="940" w:right="1320"/>
        </w:sectPr>
      </w:pPr>
    </w:p>
    <w:p>
      <w:pPr>
        <w:pStyle w:val="BodyText"/>
        <w:spacing w:before="82"/>
        <w:ind w:left="397" w:right="105"/>
        <w:jc w:val="both"/>
      </w:pPr>
      <w:r>
        <w:rPr/>
        <w:t>disorders” — specific rights related to being informed about their health condition and their rights;</w:t>
      </w:r>
      <w:hyperlink w:history="true" w:anchor="_bookmark77">
        <w:r>
          <w:rPr>
            <w:position w:val="8"/>
            <w:sz w:val="16"/>
          </w:rPr>
          <w:t>77 </w:t>
        </w:r>
      </w:hyperlink>
      <w:r>
        <w:rPr/>
        <w:t>treatment environment,</w:t>
      </w:r>
      <w:hyperlink w:history="true" w:anchor="_bookmark78">
        <w:r>
          <w:rPr>
            <w:position w:val="8"/>
            <w:sz w:val="16"/>
          </w:rPr>
          <w:t>78 </w:t>
        </w:r>
      </w:hyperlink>
      <w:r>
        <w:rPr/>
        <w:t>medical treatment</w:t>
      </w:r>
      <w:hyperlink w:history="true" w:anchor="_bookmark79">
        <w:r>
          <w:rPr>
            <w:position w:val="8"/>
            <w:sz w:val="16"/>
          </w:rPr>
          <w:t>79 </w:t>
        </w:r>
      </w:hyperlink>
      <w:r>
        <w:rPr/>
        <w:t>and their independence and privacy.</w:t>
      </w:r>
      <w:hyperlink w:history="true" w:anchor="_bookmark80">
        <w:r>
          <w:rPr>
            <w:position w:val="8"/>
            <w:sz w:val="16"/>
          </w:rPr>
          <w:t>80 </w:t>
        </w:r>
      </w:hyperlink>
      <w:r>
        <w:rPr/>
        <w:t>And, for the first time, it regulates “involuntary admission” in a mental health institution.</w:t>
      </w:r>
    </w:p>
    <w:p>
      <w:pPr>
        <w:pStyle w:val="BodyText"/>
      </w:pPr>
    </w:p>
    <w:p>
      <w:pPr>
        <w:pStyle w:val="BodyText"/>
        <w:ind w:left="397" w:right="105"/>
        <w:jc w:val="both"/>
      </w:pPr>
      <w:r>
        <w:rPr/>
        <w:t>As we explained above, before this legal regulation – and according to Sharia law and Islamic traditions </w:t>
      </w:r>
      <w:hyperlink w:history="true" w:anchor="_bookmark81">
        <w:r>
          <w:rPr>
            <w:position w:val="8"/>
            <w:sz w:val="16"/>
          </w:rPr>
          <w:t>81</w:t>
        </w:r>
      </w:hyperlink>
      <w:r>
        <w:rPr>
          <w:position w:val="8"/>
          <w:sz w:val="16"/>
        </w:rPr>
        <w:t> </w:t>
      </w:r>
      <w:r>
        <w:rPr/>
        <w:t>– the involuntary commitment and the involuntary medical treatment of persons with psychosocial disabilities with the approval of their relatives were</w:t>
      </w:r>
      <w:r>
        <w:rPr>
          <w:spacing w:val="-7"/>
        </w:rPr>
        <w:t> </w:t>
      </w:r>
      <w:r>
        <w:rPr/>
        <w:t>accepted</w:t>
      </w:r>
      <w:r>
        <w:rPr>
          <w:spacing w:val="-6"/>
        </w:rPr>
        <w:t> </w:t>
      </w:r>
      <w:r>
        <w:rPr/>
        <w:t>practices</w:t>
      </w:r>
      <w:r>
        <w:rPr>
          <w:spacing w:val="-7"/>
        </w:rPr>
        <w:t> </w:t>
      </w:r>
      <w:r>
        <w:rPr/>
        <w:t>in</w:t>
      </w:r>
      <w:r>
        <w:rPr>
          <w:spacing w:val="-7"/>
        </w:rPr>
        <w:t> </w:t>
      </w:r>
      <w:r>
        <w:rPr/>
        <w:t>Qatar.</w:t>
      </w:r>
      <w:r>
        <w:rPr>
          <w:spacing w:val="-7"/>
        </w:rPr>
        <w:t> </w:t>
      </w:r>
      <w:r>
        <w:rPr/>
        <w:t>At</w:t>
      </w:r>
      <w:r>
        <w:rPr>
          <w:spacing w:val="-6"/>
        </w:rPr>
        <w:t> </w:t>
      </w:r>
      <w:r>
        <w:rPr/>
        <w:t>this</w:t>
      </w:r>
      <w:r>
        <w:rPr>
          <w:spacing w:val="-8"/>
        </w:rPr>
        <w:t> </w:t>
      </w:r>
      <w:r>
        <w:rPr/>
        <w:t>point,</w:t>
      </w:r>
      <w:r>
        <w:rPr>
          <w:spacing w:val="-7"/>
        </w:rPr>
        <w:t> </w:t>
      </w:r>
      <w:r>
        <w:rPr/>
        <w:t>it</w:t>
      </w:r>
      <w:r>
        <w:rPr>
          <w:spacing w:val="-8"/>
        </w:rPr>
        <w:t> </w:t>
      </w:r>
      <w:r>
        <w:rPr/>
        <w:t>is</w:t>
      </w:r>
      <w:r>
        <w:rPr>
          <w:spacing w:val="-7"/>
        </w:rPr>
        <w:t> </w:t>
      </w:r>
      <w:r>
        <w:rPr/>
        <w:t>important</w:t>
      </w:r>
      <w:r>
        <w:rPr>
          <w:spacing w:val="-8"/>
        </w:rPr>
        <w:t> </w:t>
      </w:r>
      <w:r>
        <w:rPr/>
        <w:t>to</w:t>
      </w:r>
      <w:r>
        <w:rPr>
          <w:spacing w:val="-7"/>
        </w:rPr>
        <w:t> </w:t>
      </w:r>
      <w:r>
        <w:rPr/>
        <w:t>note</w:t>
      </w:r>
      <w:r>
        <w:rPr>
          <w:spacing w:val="-7"/>
        </w:rPr>
        <w:t> </w:t>
      </w:r>
      <w:r>
        <w:rPr/>
        <w:t>that</w:t>
      </w:r>
      <w:r>
        <w:rPr>
          <w:spacing w:val="-7"/>
        </w:rPr>
        <w:t> </w:t>
      </w:r>
      <w:r>
        <w:rPr/>
        <w:t>Quranic</w:t>
      </w:r>
      <w:r>
        <w:rPr>
          <w:spacing w:val="-7"/>
        </w:rPr>
        <w:t> </w:t>
      </w:r>
      <w:r>
        <w:rPr/>
        <w:t>and Islamic practice emphasise the provision of care and protection for persons with disabilities</w:t>
      </w:r>
      <w:r>
        <w:rPr>
          <w:spacing w:val="-13"/>
        </w:rPr>
        <w:t> </w:t>
      </w:r>
      <w:r>
        <w:rPr/>
        <w:t>as</w:t>
      </w:r>
      <w:r>
        <w:rPr>
          <w:spacing w:val="-13"/>
        </w:rPr>
        <w:t> </w:t>
      </w:r>
      <w:r>
        <w:rPr/>
        <w:t>a</w:t>
      </w:r>
      <w:r>
        <w:rPr>
          <w:spacing w:val="-12"/>
        </w:rPr>
        <w:t> </w:t>
      </w:r>
      <w:r>
        <w:rPr/>
        <w:t>collective</w:t>
      </w:r>
      <w:r>
        <w:rPr>
          <w:spacing w:val="-13"/>
        </w:rPr>
        <w:t> </w:t>
      </w:r>
      <w:r>
        <w:rPr/>
        <w:t>responsibility</w:t>
      </w:r>
      <w:r>
        <w:rPr>
          <w:spacing w:val="-13"/>
        </w:rPr>
        <w:t> </w:t>
      </w:r>
      <w:r>
        <w:rPr/>
        <w:t>that</w:t>
      </w:r>
      <w:r>
        <w:rPr>
          <w:spacing w:val="-13"/>
        </w:rPr>
        <w:t> </w:t>
      </w:r>
      <w:r>
        <w:rPr/>
        <w:t>extends</w:t>
      </w:r>
      <w:r>
        <w:rPr>
          <w:spacing w:val="-13"/>
        </w:rPr>
        <w:t> </w:t>
      </w:r>
      <w:r>
        <w:rPr/>
        <w:t>to</w:t>
      </w:r>
      <w:r>
        <w:rPr>
          <w:spacing w:val="-12"/>
        </w:rPr>
        <w:t> </w:t>
      </w:r>
      <w:r>
        <w:rPr/>
        <w:t>all</w:t>
      </w:r>
      <w:r>
        <w:rPr>
          <w:spacing w:val="-12"/>
        </w:rPr>
        <w:t> </w:t>
      </w:r>
      <w:r>
        <w:rPr/>
        <w:t>members</w:t>
      </w:r>
      <w:r>
        <w:rPr>
          <w:spacing w:val="-13"/>
        </w:rPr>
        <w:t> </w:t>
      </w:r>
      <w:r>
        <w:rPr/>
        <w:t>of</w:t>
      </w:r>
      <w:r>
        <w:rPr>
          <w:spacing w:val="-13"/>
        </w:rPr>
        <w:t> </w:t>
      </w:r>
      <w:r>
        <w:rPr/>
        <w:t>family.</w:t>
      </w:r>
      <w:r>
        <w:rPr>
          <w:spacing w:val="-13"/>
        </w:rPr>
        <w:t> </w:t>
      </w:r>
      <w:r>
        <w:rPr/>
        <w:t>This</w:t>
      </w:r>
      <w:r>
        <w:rPr>
          <w:spacing w:val="-13"/>
        </w:rPr>
        <w:t> </w:t>
      </w:r>
      <w:r>
        <w:rPr/>
        <w:t>view and the usual collaboration of patients’ families in the commitment of persons with psychosocial – not perceived as involuntary since the consent of the family existed – had obviated the need for elaborate mental health</w:t>
      </w:r>
      <w:r>
        <w:rPr>
          <w:spacing w:val="-4"/>
        </w:rPr>
        <w:t> </w:t>
      </w:r>
      <w:r>
        <w:rPr/>
        <w:t>legislation.</w:t>
      </w:r>
    </w:p>
    <w:p>
      <w:pPr>
        <w:pStyle w:val="BodyText"/>
      </w:pPr>
    </w:p>
    <w:p>
      <w:pPr>
        <w:pStyle w:val="BodyText"/>
        <w:ind w:left="397" w:right="106"/>
        <w:jc w:val="both"/>
      </w:pPr>
      <w:r>
        <w:rPr/>
        <w:t>The formal regulation in the Mental Health Law, in many aspects similar to other national laws, is an advancement in comparison to the previous lack of legislation. Indeed, the Law represents a first step towards recognising the human rights implications of the detention of persons with disabilities and an attempt to satisfy due process requirements, fixing criteria for deprivation of liberty and providing some safeguards. However, it has serious deficiencies in the light of the CRPD.</w:t>
      </w:r>
    </w:p>
    <w:p>
      <w:pPr>
        <w:pStyle w:val="BodyText"/>
      </w:pPr>
    </w:p>
    <w:p>
      <w:pPr>
        <w:pStyle w:val="BodyText"/>
        <w:ind w:left="397" w:right="105"/>
        <w:jc w:val="both"/>
      </w:pPr>
      <w:r>
        <w:rPr/>
        <w:t>The Mental Health Law provides that “involuntary admission” shall only be permissible where a) the patient presents clear symptoms indicative of a psychiatric disease requiring institutional treatment, and its appears that deterioration of health including psychological condition is probable and imminent b) the symptoms of a psychiatric disease</w:t>
      </w:r>
      <w:r>
        <w:rPr>
          <w:spacing w:val="-17"/>
        </w:rPr>
        <w:t> </w:t>
      </w:r>
      <w:r>
        <w:rPr/>
        <w:t>represent</w:t>
      </w:r>
      <w:r>
        <w:rPr>
          <w:spacing w:val="-16"/>
        </w:rPr>
        <w:t> </w:t>
      </w:r>
      <w:r>
        <w:rPr/>
        <w:t>a</w:t>
      </w:r>
      <w:r>
        <w:rPr>
          <w:spacing w:val="-16"/>
        </w:rPr>
        <w:t> </w:t>
      </w:r>
      <w:r>
        <w:rPr/>
        <w:t>serious</w:t>
      </w:r>
      <w:r>
        <w:rPr>
          <w:spacing w:val="-17"/>
        </w:rPr>
        <w:t> </w:t>
      </w:r>
      <w:r>
        <w:rPr/>
        <w:t>and</w:t>
      </w:r>
      <w:r>
        <w:rPr>
          <w:spacing w:val="-17"/>
        </w:rPr>
        <w:t> </w:t>
      </w:r>
      <w:r>
        <w:rPr/>
        <w:t>imminent</w:t>
      </w:r>
      <w:r>
        <w:rPr>
          <w:spacing w:val="-17"/>
        </w:rPr>
        <w:t> </w:t>
      </w:r>
      <w:r>
        <w:rPr/>
        <w:t>danger</w:t>
      </w:r>
      <w:r>
        <w:rPr>
          <w:spacing w:val="-16"/>
        </w:rPr>
        <w:t> </w:t>
      </w:r>
      <w:r>
        <w:rPr/>
        <w:t>to</w:t>
      </w:r>
      <w:r>
        <w:rPr>
          <w:spacing w:val="-17"/>
        </w:rPr>
        <w:t> </w:t>
      </w:r>
      <w:r>
        <w:rPr/>
        <w:t>the</w:t>
      </w:r>
      <w:r>
        <w:rPr>
          <w:spacing w:val="-18"/>
        </w:rPr>
        <w:t> </w:t>
      </w:r>
      <w:r>
        <w:rPr/>
        <w:t>safety</w:t>
      </w:r>
      <w:r>
        <w:rPr>
          <w:spacing w:val="-16"/>
        </w:rPr>
        <w:t> </w:t>
      </w:r>
      <w:r>
        <w:rPr/>
        <w:t>and</w:t>
      </w:r>
      <w:r>
        <w:rPr>
          <w:spacing w:val="-17"/>
        </w:rPr>
        <w:t> </w:t>
      </w:r>
      <w:r>
        <w:rPr/>
        <w:t>health</w:t>
      </w:r>
      <w:r>
        <w:rPr>
          <w:spacing w:val="-17"/>
        </w:rPr>
        <w:t> </w:t>
      </w:r>
      <w:r>
        <w:rPr/>
        <w:t>of</w:t>
      </w:r>
      <w:r>
        <w:rPr>
          <w:spacing w:val="-17"/>
        </w:rPr>
        <w:t> </w:t>
      </w:r>
      <w:r>
        <w:rPr/>
        <w:t>the</w:t>
      </w:r>
      <w:r>
        <w:rPr>
          <w:spacing w:val="-18"/>
        </w:rPr>
        <w:t> </w:t>
      </w:r>
      <w:r>
        <w:rPr/>
        <w:t>patient or other people.</w:t>
      </w:r>
      <w:hyperlink w:history="true" w:anchor="_bookmark82">
        <w:r>
          <w:rPr>
            <w:position w:val="8"/>
            <w:sz w:val="16"/>
          </w:rPr>
          <w:t>82 </w:t>
        </w:r>
      </w:hyperlink>
      <w:r>
        <w:rPr/>
        <w:t>In both cases, involuntary admission requires the approval of the consultant psychiatrist — a psychiatrist “who is duly licensed by the competent body” to</w:t>
      </w:r>
      <w:r>
        <w:rPr>
          <w:spacing w:val="-21"/>
        </w:rPr>
        <w:t> </w:t>
      </w:r>
      <w:r>
        <w:rPr/>
        <w:t>act</w:t>
      </w:r>
      <w:r>
        <w:rPr>
          <w:spacing w:val="-21"/>
        </w:rPr>
        <w:t> </w:t>
      </w:r>
      <w:r>
        <w:rPr/>
        <w:t>in</w:t>
      </w:r>
      <w:r>
        <w:rPr>
          <w:spacing w:val="-21"/>
        </w:rPr>
        <w:t> </w:t>
      </w:r>
      <w:r>
        <w:rPr/>
        <w:t>this</w:t>
      </w:r>
      <w:r>
        <w:rPr>
          <w:spacing w:val="-21"/>
        </w:rPr>
        <w:t> </w:t>
      </w:r>
      <w:r>
        <w:rPr/>
        <w:t>capacity</w:t>
      </w:r>
      <w:r>
        <w:rPr>
          <w:spacing w:val="-22"/>
        </w:rPr>
        <w:t> </w:t>
      </w:r>
      <w:r>
        <w:rPr/>
        <w:t>—</w:t>
      </w:r>
      <w:r>
        <w:rPr>
          <w:spacing w:val="-21"/>
        </w:rPr>
        <w:t> </w:t>
      </w:r>
      <w:r>
        <w:rPr/>
        <w:t>and</w:t>
      </w:r>
      <w:r>
        <w:rPr>
          <w:spacing w:val="-22"/>
        </w:rPr>
        <w:t> </w:t>
      </w:r>
      <w:r>
        <w:rPr/>
        <w:t>notification</w:t>
      </w:r>
      <w:r>
        <w:rPr>
          <w:spacing w:val="-22"/>
        </w:rPr>
        <w:t> </w:t>
      </w:r>
      <w:r>
        <w:rPr/>
        <w:t>to</w:t>
      </w:r>
      <w:r>
        <w:rPr>
          <w:spacing w:val="-21"/>
        </w:rPr>
        <w:t> </w:t>
      </w:r>
      <w:r>
        <w:rPr/>
        <w:t>be</w:t>
      </w:r>
      <w:r>
        <w:rPr>
          <w:spacing w:val="-21"/>
        </w:rPr>
        <w:t> </w:t>
      </w:r>
      <w:r>
        <w:rPr/>
        <w:t>sent</w:t>
      </w:r>
      <w:r>
        <w:rPr>
          <w:spacing w:val="-21"/>
        </w:rPr>
        <w:t> </w:t>
      </w:r>
      <w:r>
        <w:rPr/>
        <w:t>to</w:t>
      </w:r>
      <w:r>
        <w:rPr>
          <w:spacing w:val="-21"/>
        </w:rPr>
        <w:t> </w:t>
      </w:r>
      <w:r>
        <w:rPr/>
        <w:t>the</w:t>
      </w:r>
      <w:r>
        <w:rPr>
          <w:spacing w:val="-21"/>
        </w:rPr>
        <w:t> </w:t>
      </w:r>
      <w:r>
        <w:rPr/>
        <w:t>patient’s</w:t>
      </w:r>
      <w:r>
        <w:rPr>
          <w:spacing w:val="-23"/>
        </w:rPr>
        <w:t> </w:t>
      </w:r>
      <w:r>
        <w:rPr/>
        <w:t>guardian,</w:t>
      </w:r>
      <w:r>
        <w:rPr>
          <w:spacing w:val="-21"/>
        </w:rPr>
        <w:t> </w:t>
      </w:r>
      <w:r>
        <w:rPr/>
        <w:t>the</w:t>
      </w:r>
      <w:r>
        <w:rPr>
          <w:spacing w:val="-21"/>
        </w:rPr>
        <w:t> </w:t>
      </w:r>
      <w:r>
        <w:rPr/>
        <w:t>director of the treatment institution and also to the Ministry of Public Health’s competent administrative body within 24 hours of</w:t>
      </w:r>
      <w:r>
        <w:rPr>
          <w:spacing w:val="-2"/>
        </w:rPr>
        <w:t> </w:t>
      </w:r>
      <w:r>
        <w:rPr/>
        <w:t>admission.</w:t>
      </w:r>
    </w:p>
    <w:p>
      <w:pPr>
        <w:pStyle w:val="BodyText"/>
        <w:rPr>
          <w:sz w:val="28"/>
        </w:rPr>
      </w:pPr>
    </w:p>
    <w:p>
      <w:pPr>
        <w:pStyle w:val="BodyText"/>
        <w:rPr>
          <w:sz w:val="28"/>
        </w:rPr>
      </w:pPr>
    </w:p>
    <w:p>
      <w:pPr>
        <w:pStyle w:val="BodyText"/>
        <w:spacing w:before="8"/>
        <w:rPr>
          <w:sz w:val="25"/>
        </w:rPr>
      </w:pPr>
    </w:p>
    <w:p>
      <w:pPr>
        <w:spacing w:before="0"/>
        <w:ind w:left="449" w:right="106" w:hanging="228"/>
        <w:jc w:val="both"/>
        <w:rPr>
          <w:sz w:val="20"/>
        </w:rPr>
      </w:pPr>
      <w:bookmarkStart w:name="_bookmark77" w:id="79"/>
      <w:bookmarkEnd w:id="79"/>
      <w:r>
        <w:rPr/>
      </w:r>
      <w:r>
        <w:rPr>
          <w:position w:val="7"/>
          <w:sz w:val="13"/>
        </w:rPr>
        <w:t>77</w:t>
      </w:r>
      <w:r>
        <w:rPr>
          <w:spacing w:val="-3"/>
          <w:position w:val="7"/>
          <w:sz w:val="13"/>
        </w:rPr>
        <w:t> </w:t>
      </w:r>
      <w:r>
        <w:rPr>
          <w:sz w:val="20"/>
        </w:rPr>
        <w:t>For</w:t>
      </w:r>
      <w:r>
        <w:rPr>
          <w:spacing w:val="-10"/>
          <w:sz w:val="20"/>
        </w:rPr>
        <w:t> </w:t>
      </w:r>
      <w:r>
        <w:rPr>
          <w:sz w:val="20"/>
        </w:rPr>
        <w:t>example,</w:t>
      </w:r>
      <w:r>
        <w:rPr>
          <w:spacing w:val="-10"/>
          <w:sz w:val="20"/>
        </w:rPr>
        <w:t> </w:t>
      </w:r>
      <w:r>
        <w:rPr>
          <w:sz w:val="20"/>
        </w:rPr>
        <w:t>the</w:t>
      </w:r>
      <w:r>
        <w:rPr>
          <w:spacing w:val="-10"/>
          <w:sz w:val="20"/>
        </w:rPr>
        <w:t> </w:t>
      </w:r>
      <w:r>
        <w:rPr>
          <w:sz w:val="20"/>
        </w:rPr>
        <w:t>right</w:t>
      </w:r>
      <w:r>
        <w:rPr>
          <w:spacing w:val="-9"/>
          <w:sz w:val="20"/>
        </w:rPr>
        <w:t> </w:t>
      </w:r>
      <w:r>
        <w:rPr>
          <w:sz w:val="20"/>
        </w:rPr>
        <w:t>to</w:t>
      </w:r>
      <w:r>
        <w:rPr>
          <w:spacing w:val="-9"/>
          <w:sz w:val="20"/>
        </w:rPr>
        <w:t> </w:t>
      </w:r>
      <w:r>
        <w:rPr>
          <w:sz w:val="20"/>
        </w:rPr>
        <w:t>receive</w:t>
      </w:r>
      <w:r>
        <w:rPr>
          <w:spacing w:val="-10"/>
          <w:sz w:val="20"/>
        </w:rPr>
        <w:t> </w:t>
      </w:r>
      <w:r>
        <w:rPr>
          <w:sz w:val="20"/>
        </w:rPr>
        <w:t>an</w:t>
      </w:r>
      <w:r>
        <w:rPr>
          <w:spacing w:val="-10"/>
          <w:sz w:val="20"/>
        </w:rPr>
        <w:t> </w:t>
      </w:r>
      <w:r>
        <w:rPr>
          <w:sz w:val="20"/>
        </w:rPr>
        <w:t>in-depth</w:t>
      </w:r>
      <w:r>
        <w:rPr>
          <w:spacing w:val="-10"/>
          <w:sz w:val="20"/>
        </w:rPr>
        <w:t> </w:t>
      </w:r>
      <w:r>
        <w:rPr>
          <w:sz w:val="20"/>
        </w:rPr>
        <w:t>explanation,</w:t>
      </w:r>
      <w:r>
        <w:rPr>
          <w:spacing w:val="-9"/>
          <w:sz w:val="20"/>
        </w:rPr>
        <w:t> </w:t>
      </w:r>
      <w:r>
        <w:rPr>
          <w:sz w:val="20"/>
        </w:rPr>
        <w:t>in</w:t>
      </w:r>
      <w:r>
        <w:rPr>
          <w:spacing w:val="-10"/>
          <w:sz w:val="20"/>
        </w:rPr>
        <w:t> </w:t>
      </w:r>
      <w:r>
        <w:rPr>
          <w:sz w:val="20"/>
        </w:rPr>
        <w:t>an</w:t>
      </w:r>
      <w:r>
        <w:rPr>
          <w:spacing w:val="-10"/>
          <w:sz w:val="20"/>
        </w:rPr>
        <w:t> </w:t>
      </w:r>
      <w:r>
        <w:rPr>
          <w:sz w:val="20"/>
        </w:rPr>
        <w:t>understandable</w:t>
      </w:r>
      <w:r>
        <w:rPr>
          <w:spacing w:val="-11"/>
          <w:sz w:val="20"/>
        </w:rPr>
        <w:t> </w:t>
      </w:r>
      <w:r>
        <w:rPr>
          <w:sz w:val="20"/>
        </w:rPr>
        <w:t>way,</w:t>
      </w:r>
      <w:r>
        <w:rPr>
          <w:spacing w:val="-9"/>
          <w:sz w:val="20"/>
        </w:rPr>
        <w:t> </w:t>
      </w:r>
      <w:r>
        <w:rPr>
          <w:sz w:val="20"/>
        </w:rPr>
        <w:t>of</w:t>
      </w:r>
      <w:r>
        <w:rPr>
          <w:spacing w:val="-10"/>
          <w:sz w:val="20"/>
        </w:rPr>
        <w:t> </w:t>
      </w:r>
      <w:r>
        <w:rPr>
          <w:sz w:val="20"/>
        </w:rPr>
        <w:t>all</w:t>
      </w:r>
      <w:r>
        <w:rPr>
          <w:spacing w:val="-10"/>
          <w:sz w:val="20"/>
        </w:rPr>
        <w:t> </w:t>
      </w:r>
      <w:r>
        <w:rPr>
          <w:sz w:val="20"/>
        </w:rPr>
        <w:t>rights</w:t>
      </w:r>
      <w:r>
        <w:rPr>
          <w:spacing w:val="-9"/>
          <w:sz w:val="20"/>
        </w:rPr>
        <w:t> </w:t>
      </w:r>
      <w:r>
        <w:rPr>
          <w:sz w:val="20"/>
        </w:rPr>
        <w:t>set</w:t>
      </w:r>
      <w:r>
        <w:rPr>
          <w:spacing w:val="-10"/>
          <w:sz w:val="20"/>
        </w:rPr>
        <w:t> </w:t>
      </w:r>
      <w:r>
        <w:rPr>
          <w:sz w:val="20"/>
        </w:rPr>
        <w:t>out in the Law immediately after being admitted, including the right to file a complaint in accordance with the applicable</w:t>
      </w:r>
      <w:r>
        <w:rPr>
          <w:spacing w:val="-3"/>
          <w:sz w:val="20"/>
        </w:rPr>
        <w:t> </w:t>
      </w:r>
      <w:r>
        <w:rPr>
          <w:sz w:val="20"/>
        </w:rPr>
        <w:t>procedures.</w:t>
      </w:r>
    </w:p>
    <w:p>
      <w:pPr>
        <w:spacing w:before="0"/>
        <w:ind w:left="449" w:right="106" w:hanging="228"/>
        <w:jc w:val="both"/>
        <w:rPr>
          <w:sz w:val="20"/>
        </w:rPr>
      </w:pPr>
      <w:bookmarkStart w:name="_bookmark78" w:id="80"/>
      <w:bookmarkEnd w:id="80"/>
      <w:r>
        <w:rPr/>
      </w:r>
      <w:r>
        <w:rPr>
          <w:position w:val="7"/>
          <w:sz w:val="13"/>
        </w:rPr>
        <w:t>78 </w:t>
      </w:r>
      <w:r>
        <w:rPr>
          <w:sz w:val="20"/>
        </w:rPr>
        <w:t>The law establishes, for example, that the patient’s individual rights shall be observed by way of providing a health and humanitarian setting that preserves his or her dignity and meets his or her medical and personal rights.</w:t>
      </w:r>
    </w:p>
    <w:p>
      <w:pPr>
        <w:spacing w:before="0"/>
        <w:ind w:left="449" w:right="106" w:hanging="228"/>
        <w:jc w:val="both"/>
        <w:rPr>
          <w:sz w:val="20"/>
        </w:rPr>
      </w:pPr>
      <w:bookmarkStart w:name="_bookmark79" w:id="81"/>
      <w:bookmarkEnd w:id="81"/>
      <w:r>
        <w:rPr/>
      </w:r>
      <w:r>
        <w:rPr>
          <w:position w:val="7"/>
          <w:sz w:val="13"/>
        </w:rPr>
        <w:t>79</w:t>
      </w:r>
      <w:r>
        <w:rPr>
          <w:spacing w:val="-3"/>
          <w:position w:val="7"/>
          <w:sz w:val="13"/>
        </w:rPr>
        <w:t> </w:t>
      </w:r>
      <w:r>
        <w:rPr>
          <w:sz w:val="20"/>
        </w:rPr>
        <w:t>According</w:t>
      </w:r>
      <w:r>
        <w:rPr>
          <w:spacing w:val="-8"/>
          <w:sz w:val="20"/>
        </w:rPr>
        <w:t> </w:t>
      </w:r>
      <w:r>
        <w:rPr>
          <w:sz w:val="20"/>
        </w:rPr>
        <w:t>to</w:t>
      </w:r>
      <w:r>
        <w:rPr>
          <w:spacing w:val="-8"/>
          <w:sz w:val="20"/>
        </w:rPr>
        <w:t> </w:t>
      </w:r>
      <w:r>
        <w:rPr>
          <w:sz w:val="20"/>
        </w:rPr>
        <w:t>the</w:t>
      </w:r>
      <w:r>
        <w:rPr>
          <w:spacing w:val="-7"/>
          <w:sz w:val="20"/>
        </w:rPr>
        <w:t> </w:t>
      </w:r>
      <w:r>
        <w:rPr>
          <w:sz w:val="20"/>
        </w:rPr>
        <w:t>law,</w:t>
      </w:r>
      <w:r>
        <w:rPr>
          <w:spacing w:val="-7"/>
          <w:sz w:val="20"/>
        </w:rPr>
        <w:t> </w:t>
      </w:r>
      <w:r>
        <w:rPr>
          <w:sz w:val="20"/>
        </w:rPr>
        <w:t>the</w:t>
      </w:r>
      <w:r>
        <w:rPr>
          <w:spacing w:val="-7"/>
          <w:sz w:val="20"/>
        </w:rPr>
        <w:t> </w:t>
      </w:r>
      <w:r>
        <w:rPr>
          <w:sz w:val="20"/>
        </w:rPr>
        <w:t>patient</w:t>
      </w:r>
      <w:r>
        <w:rPr>
          <w:spacing w:val="-8"/>
          <w:sz w:val="20"/>
        </w:rPr>
        <w:t> </w:t>
      </w:r>
      <w:r>
        <w:rPr>
          <w:sz w:val="20"/>
        </w:rPr>
        <w:t>shall</w:t>
      </w:r>
      <w:r>
        <w:rPr>
          <w:spacing w:val="-9"/>
          <w:sz w:val="20"/>
        </w:rPr>
        <w:t> </w:t>
      </w:r>
      <w:r>
        <w:rPr>
          <w:sz w:val="20"/>
        </w:rPr>
        <w:t>access</w:t>
      </w:r>
      <w:r>
        <w:rPr>
          <w:spacing w:val="-7"/>
          <w:sz w:val="20"/>
        </w:rPr>
        <w:t> </w:t>
      </w:r>
      <w:r>
        <w:rPr>
          <w:sz w:val="20"/>
        </w:rPr>
        <w:t>the</w:t>
      </w:r>
      <w:r>
        <w:rPr>
          <w:spacing w:val="-7"/>
          <w:sz w:val="20"/>
        </w:rPr>
        <w:t> </w:t>
      </w:r>
      <w:r>
        <w:rPr>
          <w:sz w:val="20"/>
        </w:rPr>
        <w:t>required</w:t>
      </w:r>
      <w:r>
        <w:rPr>
          <w:spacing w:val="-8"/>
          <w:sz w:val="20"/>
        </w:rPr>
        <w:t> </w:t>
      </w:r>
      <w:r>
        <w:rPr>
          <w:sz w:val="20"/>
        </w:rPr>
        <w:t>treatment</w:t>
      </w:r>
      <w:r>
        <w:rPr>
          <w:spacing w:val="-8"/>
          <w:sz w:val="20"/>
        </w:rPr>
        <w:t> </w:t>
      </w:r>
      <w:r>
        <w:rPr>
          <w:sz w:val="20"/>
        </w:rPr>
        <w:t>according</w:t>
      </w:r>
      <w:r>
        <w:rPr>
          <w:spacing w:val="-8"/>
          <w:sz w:val="20"/>
        </w:rPr>
        <w:t> </w:t>
      </w:r>
      <w:r>
        <w:rPr>
          <w:sz w:val="20"/>
        </w:rPr>
        <w:t>to</w:t>
      </w:r>
      <w:r>
        <w:rPr>
          <w:spacing w:val="-8"/>
          <w:sz w:val="20"/>
        </w:rPr>
        <w:t> </w:t>
      </w:r>
      <w:r>
        <w:rPr>
          <w:sz w:val="20"/>
        </w:rPr>
        <w:t>the</w:t>
      </w:r>
      <w:r>
        <w:rPr>
          <w:spacing w:val="-7"/>
          <w:sz w:val="20"/>
        </w:rPr>
        <w:t> </w:t>
      </w:r>
      <w:r>
        <w:rPr>
          <w:sz w:val="20"/>
        </w:rPr>
        <w:t>widely</w:t>
      </w:r>
      <w:r>
        <w:rPr>
          <w:spacing w:val="-8"/>
          <w:sz w:val="20"/>
        </w:rPr>
        <w:t> </w:t>
      </w:r>
      <w:r>
        <w:rPr>
          <w:sz w:val="20"/>
        </w:rPr>
        <w:t>recognized medical</w:t>
      </w:r>
      <w:r>
        <w:rPr>
          <w:spacing w:val="-6"/>
          <w:sz w:val="20"/>
        </w:rPr>
        <w:t> </w:t>
      </w:r>
      <w:r>
        <w:rPr>
          <w:sz w:val="20"/>
        </w:rPr>
        <w:t>standards,</w:t>
      </w:r>
      <w:r>
        <w:rPr>
          <w:spacing w:val="-4"/>
          <w:sz w:val="20"/>
        </w:rPr>
        <w:t> </w:t>
      </w:r>
      <w:r>
        <w:rPr>
          <w:sz w:val="20"/>
        </w:rPr>
        <w:t>shall</w:t>
      </w:r>
      <w:r>
        <w:rPr>
          <w:spacing w:val="-5"/>
          <w:sz w:val="20"/>
        </w:rPr>
        <w:t> </w:t>
      </w:r>
      <w:r>
        <w:rPr>
          <w:sz w:val="20"/>
        </w:rPr>
        <w:t>be</w:t>
      </w:r>
      <w:r>
        <w:rPr>
          <w:spacing w:val="-6"/>
          <w:sz w:val="20"/>
        </w:rPr>
        <w:t> </w:t>
      </w:r>
      <w:r>
        <w:rPr>
          <w:sz w:val="20"/>
        </w:rPr>
        <w:t>provided</w:t>
      </w:r>
      <w:r>
        <w:rPr>
          <w:spacing w:val="-5"/>
          <w:sz w:val="20"/>
        </w:rPr>
        <w:t> </w:t>
      </w:r>
      <w:r>
        <w:rPr>
          <w:sz w:val="20"/>
        </w:rPr>
        <w:t>with</w:t>
      </w:r>
      <w:r>
        <w:rPr>
          <w:spacing w:val="-5"/>
          <w:sz w:val="20"/>
        </w:rPr>
        <w:t> </w:t>
      </w:r>
      <w:r>
        <w:rPr>
          <w:sz w:val="20"/>
        </w:rPr>
        <w:t>the</w:t>
      </w:r>
      <w:r>
        <w:rPr>
          <w:spacing w:val="-6"/>
          <w:sz w:val="20"/>
        </w:rPr>
        <w:t> </w:t>
      </w:r>
      <w:r>
        <w:rPr>
          <w:sz w:val="20"/>
        </w:rPr>
        <w:t>opportunity</w:t>
      </w:r>
      <w:r>
        <w:rPr>
          <w:spacing w:val="-5"/>
          <w:sz w:val="20"/>
        </w:rPr>
        <w:t> </w:t>
      </w:r>
      <w:r>
        <w:rPr>
          <w:sz w:val="20"/>
        </w:rPr>
        <w:t>to</w:t>
      </w:r>
      <w:r>
        <w:rPr>
          <w:spacing w:val="-6"/>
          <w:sz w:val="20"/>
        </w:rPr>
        <w:t> </w:t>
      </w:r>
      <w:r>
        <w:rPr>
          <w:sz w:val="20"/>
        </w:rPr>
        <w:t>be</w:t>
      </w:r>
      <w:r>
        <w:rPr>
          <w:spacing w:val="-5"/>
          <w:sz w:val="20"/>
        </w:rPr>
        <w:t> </w:t>
      </w:r>
      <w:r>
        <w:rPr>
          <w:sz w:val="20"/>
        </w:rPr>
        <w:t>effectively</w:t>
      </w:r>
      <w:r>
        <w:rPr>
          <w:spacing w:val="-6"/>
          <w:sz w:val="20"/>
        </w:rPr>
        <w:t> </w:t>
      </w:r>
      <w:r>
        <w:rPr>
          <w:sz w:val="20"/>
        </w:rPr>
        <w:t>and</w:t>
      </w:r>
      <w:r>
        <w:rPr>
          <w:spacing w:val="-5"/>
          <w:sz w:val="20"/>
        </w:rPr>
        <w:t> </w:t>
      </w:r>
      <w:r>
        <w:rPr>
          <w:sz w:val="20"/>
        </w:rPr>
        <w:t>continuously</w:t>
      </w:r>
      <w:r>
        <w:rPr>
          <w:spacing w:val="-5"/>
          <w:sz w:val="20"/>
        </w:rPr>
        <w:t> </w:t>
      </w:r>
      <w:r>
        <w:rPr>
          <w:sz w:val="20"/>
        </w:rPr>
        <w:t>involved</w:t>
      </w:r>
      <w:r>
        <w:rPr>
          <w:spacing w:val="-5"/>
          <w:sz w:val="20"/>
        </w:rPr>
        <w:t> </w:t>
      </w:r>
      <w:r>
        <w:rPr>
          <w:sz w:val="20"/>
        </w:rPr>
        <w:t>in the treatment process and shall be consulted in all matters related to his or her</w:t>
      </w:r>
      <w:r>
        <w:rPr>
          <w:spacing w:val="-24"/>
          <w:sz w:val="20"/>
        </w:rPr>
        <w:t> </w:t>
      </w:r>
      <w:r>
        <w:rPr>
          <w:sz w:val="20"/>
        </w:rPr>
        <w:t>treatment.</w:t>
      </w:r>
    </w:p>
    <w:p>
      <w:pPr>
        <w:spacing w:before="0"/>
        <w:ind w:left="449" w:right="109" w:hanging="228"/>
        <w:jc w:val="both"/>
        <w:rPr>
          <w:sz w:val="20"/>
        </w:rPr>
      </w:pPr>
      <w:bookmarkStart w:name="_bookmark80" w:id="82"/>
      <w:bookmarkEnd w:id="82"/>
      <w:r>
        <w:rPr/>
      </w:r>
      <w:r>
        <w:rPr>
          <w:position w:val="7"/>
          <w:sz w:val="13"/>
        </w:rPr>
        <w:t>80 </w:t>
      </w:r>
      <w:r>
        <w:rPr>
          <w:sz w:val="20"/>
        </w:rPr>
        <w:t>Including the right to be protected from commercial and sexual exploitation, physical and psychological abuse and humiliating treatment in any way.</w:t>
      </w:r>
    </w:p>
    <w:p>
      <w:pPr>
        <w:spacing w:line="228" w:lineRule="auto" w:before="1"/>
        <w:ind w:left="391" w:right="105" w:hanging="165"/>
        <w:jc w:val="both"/>
        <w:rPr>
          <w:sz w:val="20"/>
        </w:rPr>
      </w:pPr>
      <w:bookmarkStart w:name="_bookmark81" w:id="83"/>
      <w:bookmarkEnd w:id="83"/>
      <w:r>
        <w:rPr/>
      </w:r>
      <w:r>
        <w:rPr>
          <w:position w:val="7"/>
          <w:sz w:val="13"/>
        </w:rPr>
        <w:t>81</w:t>
      </w:r>
      <w:r>
        <w:rPr>
          <w:spacing w:val="-9"/>
          <w:position w:val="7"/>
          <w:sz w:val="13"/>
        </w:rPr>
        <w:t> </w:t>
      </w:r>
      <w:r>
        <w:rPr>
          <w:sz w:val="20"/>
        </w:rPr>
        <w:t>On</w:t>
      </w:r>
      <w:r>
        <w:rPr>
          <w:spacing w:val="-15"/>
          <w:sz w:val="20"/>
        </w:rPr>
        <w:t> </w:t>
      </w:r>
      <w:r>
        <w:rPr>
          <w:sz w:val="20"/>
        </w:rPr>
        <w:t>Islamic</w:t>
      </w:r>
      <w:r>
        <w:rPr>
          <w:spacing w:val="-15"/>
          <w:sz w:val="20"/>
        </w:rPr>
        <w:t> </w:t>
      </w:r>
      <w:r>
        <w:rPr>
          <w:sz w:val="20"/>
        </w:rPr>
        <w:t>tradition</w:t>
      </w:r>
      <w:r>
        <w:rPr>
          <w:spacing w:val="-17"/>
          <w:sz w:val="20"/>
        </w:rPr>
        <w:t> </w:t>
      </w:r>
      <w:r>
        <w:rPr>
          <w:sz w:val="20"/>
        </w:rPr>
        <w:t>and</w:t>
      </w:r>
      <w:r>
        <w:rPr>
          <w:spacing w:val="-16"/>
          <w:sz w:val="20"/>
        </w:rPr>
        <w:t> </w:t>
      </w:r>
      <w:r>
        <w:rPr>
          <w:sz w:val="20"/>
        </w:rPr>
        <w:t>people</w:t>
      </w:r>
      <w:r>
        <w:rPr>
          <w:spacing w:val="-15"/>
          <w:sz w:val="20"/>
        </w:rPr>
        <w:t> </w:t>
      </w:r>
      <w:r>
        <w:rPr>
          <w:sz w:val="20"/>
        </w:rPr>
        <w:t>with</w:t>
      </w:r>
      <w:r>
        <w:rPr>
          <w:spacing w:val="-15"/>
          <w:sz w:val="20"/>
        </w:rPr>
        <w:t> </w:t>
      </w:r>
      <w:r>
        <w:rPr>
          <w:sz w:val="20"/>
        </w:rPr>
        <w:t>disabilities,</w:t>
      </w:r>
      <w:r>
        <w:rPr>
          <w:spacing w:val="-15"/>
          <w:sz w:val="20"/>
        </w:rPr>
        <w:t> </w:t>
      </w:r>
      <w:r>
        <w:rPr>
          <w:sz w:val="20"/>
        </w:rPr>
        <w:t>see</w:t>
      </w:r>
      <w:r>
        <w:rPr>
          <w:spacing w:val="-16"/>
          <w:sz w:val="20"/>
        </w:rPr>
        <w:t> </w:t>
      </w:r>
      <w:r>
        <w:rPr>
          <w:sz w:val="20"/>
        </w:rPr>
        <w:t>––</w:t>
      </w:r>
      <w:r>
        <w:rPr>
          <w:spacing w:val="-15"/>
          <w:sz w:val="20"/>
        </w:rPr>
        <w:t> </w:t>
      </w:r>
      <w:r>
        <w:rPr>
          <w:sz w:val="20"/>
        </w:rPr>
        <w:t>GHALY,</w:t>
      </w:r>
      <w:r>
        <w:rPr>
          <w:spacing w:val="-16"/>
          <w:sz w:val="20"/>
        </w:rPr>
        <w:t> </w:t>
      </w:r>
      <w:r>
        <w:rPr>
          <w:sz w:val="20"/>
        </w:rPr>
        <w:t>M.,</w:t>
      </w:r>
      <w:r>
        <w:rPr>
          <w:spacing w:val="-15"/>
          <w:sz w:val="20"/>
        </w:rPr>
        <w:t> </w:t>
      </w:r>
      <w:r>
        <w:rPr>
          <w:i/>
          <w:sz w:val="21"/>
        </w:rPr>
        <w:t>Islam</w:t>
      </w:r>
      <w:r>
        <w:rPr>
          <w:i/>
          <w:spacing w:val="-20"/>
          <w:sz w:val="21"/>
        </w:rPr>
        <w:t> </w:t>
      </w:r>
      <w:r>
        <w:rPr>
          <w:i/>
          <w:sz w:val="21"/>
        </w:rPr>
        <w:t>and</w:t>
      </w:r>
      <w:r>
        <w:rPr>
          <w:i/>
          <w:spacing w:val="-19"/>
          <w:sz w:val="21"/>
        </w:rPr>
        <w:t> </w:t>
      </w:r>
      <w:r>
        <w:rPr>
          <w:i/>
          <w:sz w:val="21"/>
        </w:rPr>
        <w:t>Disability.</w:t>
      </w:r>
      <w:r>
        <w:rPr>
          <w:i/>
          <w:spacing w:val="-18"/>
          <w:sz w:val="21"/>
        </w:rPr>
        <w:t> </w:t>
      </w:r>
      <w:r>
        <w:rPr>
          <w:i/>
          <w:sz w:val="21"/>
        </w:rPr>
        <w:t>Perspectives</w:t>
      </w:r>
      <w:r>
        <w:rPr>
          <w:i/>
          <w:spacing w:val="-18"/>
          <w:sz w:val="21"/>
        </w:rPr>
        <w:t> </w:t>
      </w:r>
      <w:r>
        <w:rPr>
          <w:i/>
          <w:sz w:val="21"/>
        </w:rPr>
        <w:t>in Theory and jurisprudence, </w:t>
      </w:r>
      <w:r>
        <w:rPr>
          <w:sz w:val="20"/>
        </w:rPr>
        <w:t>(Routledge,</w:t>
      </w:r>
      <w:r>
        <w:rPr>
          <w:spacing w:val="-19"/>
          <w:sz w:val="20"/>
        </w:rPr>
        <w:t> </w:t>
      </w:r>
      <w:r>
        <w:rPr>
          <w:sz w:val="20"/>
        </w:rPr>
        <w:t>2010).</w:t>
      </w:r>
    </w:p>
    <w:p>
      <w:pPr>
        <w:spacing w:line="244" w:lineRule="exact" w:before="0"/>
        <w:ind w:left="221" w:right="0" w:firstLine="0"/>
        <w:jc w:val="left"/>
        <w:rPr>
          <w:sz w:val="20"/>
        </w:rPr>
      </w:pPr>
      <w:bookmarkStart w:name="_bookmark82" w:id="84"/>
      <w:bookmarkEnd w:id="84"/>
      <w:r>
        <w:rPr/>
      </w:r>
      <w:r>
        <w:rPr>
          <w:position w:val="7"/>
          <w:sz w:val="13"/>
        </w:rPr>
        <w:t>82 </w:t>
      </w:r>
      <w:r>
        <w:rPr>
          <w:sz w:val="20"/>
        </w:rPr>
        <w:t>Article 6 of </w:t>
      </w:r>
      <w:r>
        <w:rPr>
          <w:i/>
          <w:sz w:val="21"/>
        </w:rPr>
        <w:t>Law No.16 of 2016 on Mental Health</w:t>
      </w:r>
      <w:r>
        <w:rPr>
          <w:sz w:val="20"/>
        </w:rPr>
        <w:t>.</w:t>
      </w:r>
    </w:p>
    <w:p>
      <w:pPr>
        <w:spacing w:after="0" w:line="244" w:lineRule="exact"/>
        <w:jc w:val="left"/>
        <w:rPr>
          <w:sz w:val="20"/>
        </w:rPr>
        <w:sectPr>
          <w:pgSz w:w="11910" w:h="16840"/>
          <w:pgMar w:header="0" w:footer="523" w:top="1320" w:bottom="720" w:left="940" w:right="1320"/>
        </w:sectPr>
      </w:pPr>
    </w:p>
    <w:p>
      <w:pPr>
        <w:pStyle w:val="BodyText"/>
        <w:spacing w:before="82"/>
        <w:ind w:left="397" w:right="105"/>
        <w:jc w:val="both"/>
      </w:pPr>
      <w:r>
        <w:rPr/>
        <w:t>This Law also lays down the circumstances in which voluntarily admitted patients can be made to remain in the hospital.</w:t>
      </w:r>
      <w:hyperlink w:history="true" w:anchor="_bookmark83">
        <w:r>
          <w:rPr>
            <w:position w:val="8"/>
            <w:sz w:val="16"/>
          </w:rPr>
          <w:t>83 </w:t>
        </w:r>
      </w:hyperlink>
      <w:r>
        <w:rPr/>
        <w:t>In this situation, the treating psychiatrist — the psychiatrist who is in charge of treating and monitoring a psychiatric patient at the institution – can refuse to discharge a patient if they cannot look after themselves</w:t>
      </w:r>
      <w:r>
        <w:rPr>
          <w:spacing w:val="-39"/>
        </w:rPr>
        <w:t> </w:t>
      </w:r>
      <w:r>
        <w:rPr/>
        <w:t>due to the nature or degree of their mental disorder, or if the discharge may involve a “serious possibility of immediate or imminent harm to his/her safety, health, life or</w:t>
      </w:r>
      <w:r>
        <w:rPr>
          <w:spacing w:val="-49"/>
        </w:rPr>
        <w:t> </w:t>
      </w:r>
      <w:r>
        <w:rPr/>
        <w:t>the safety, health or lives of</w:t>
      </w:r>
      <w:r>
        <w:rPr>
          <w:spacing w:val="-5"/>
        </w:rPr>
        <w:t> </w:t>
      </w:r>
      <w:r>
        <w:rPr/>
        <w:t>others”.</w:t>
      </w:r>
    </w:p>
    <w:p>
      <w:pPr>
        <w:pStyle w:val="BodyText"/>
        <w:spacing w:before="12"/>
        <w:rPr>
          <w:sz w:val="23"/>
        </w:rPr>
      </w:pPr>
    </w:p>
    <w:p>
      <w:pPr>
        <w:pStyle w:val="BodyText"/>
        <w:ind w:left="397" w:right="105"/>
        <w:jc w:val="both"/>
        <w:rPr>
          <w:sz w:val="16"/>
        </w:rPr>
      </w:pPr>
      <w:r>
        <w:rPr/>
        <w:t>It</w:t>
      </w:r>
      <w:r>
        <w:rPr>
          <w:spacing w:val="-4"/>
        </w:rPr>
        <w:t> </w:t>
      </w:r>
      <w:r>
        <w:rPr/>
        <w:t>is</w:t>
      </w:r>
      <w:r>
        <w:rPr>
          <w:spacing w:val="-5"/>
        </w:rPr>
        <w:t> </w:t>
      </w:r>
      <w:r>
        <w:rPr/>
        <w:t>worth</w:t>
      </w:r>
      <w:r>
        <w:rPr>
          <w:spacing w:val="-6"/>
        </w:rPr>
        <w:t> </w:t>
      </w:r>
      <w:r>
        <w:rPr/>
        <w:t>mentioning</w:t>
      </w:r>
      <w:r>
        <w:rPr>
          <w:spacing w:val="-5"/>
        </w:rPr>
        <w:t> </w:t>
      </w:r>
      <w:r>
        <w:rPr/>
        <w:t>that</w:t>
      </w:r>
      <w:r>
        <w:rPr>
          <w:spacing w:val="-4"/>
        </w:rPr>
        <w:t> </w:t>
      </w:r>
      <w:r>
        <w:rPr/>
        <w:t>the</w:t>
      </w:r>
      <w:r>
        <w:rPr>
          <w:spacing w:val="-4"/>
        </w:rPr>
        <w:t> </w:t>
      </w:r>
      <w:r>
        <w:rPr/>
        <w:t>admission</w:t>
      </w:r>
      <w:r>
        <w:rPr>
          <w:spacing w:val="-5"/>
        </w:rPr>
        <w:t> </w:t>
      </w:r>
      <w:r>
        <w:rPr/>
        <w:t>of</w:t>
      </w:r>
      <w:r>
        <w:rPr>
          <w:spacing w:val="-5"/>
        </w:rPr>
        <w:t> </w:t>
      </w:r>
      <w:r>
        <w:rPr/>
        <w:t>legally</w:t>
      </w:r>
      <w:r>
        <w:rPr>
          <w:spacing w:val="-4"/>
        </w:rPr>
        <w:t> </w:t>
      </w:r>
      <w:r>
        <w:rPr/>
        <w:t>incompetent</w:t>
      </w:r>
      <w:r>
        <w:rPr>
          <w:spacing w:val="-5"/>
        </w:rPr>
        <w:t> </w:t>
      </w:r>
      <w:r>
        <w:rPr/>
        <w:t>patients</w:t>
      </w:r>
      <w:r>
        <w:rPr>
          <w:spacing w:val="-5"/>
        </w:rPr>
        <w:t> </w:t>
      </w:r>
      <w:r>
        <w:rPr/>
        <w:t>is</w:t>
      </w:r>
      <w:r>
        <w:rPr>
          <w:spacing w:val="-5"/>
        </w:rPr>
        <w:t> </w:t>
      </w:r>
      <w:r>
        <w:rPr/>
        <w:t>considered “voluntary</w:t>
      </w:r>
      <w:r>
        <w:rPr>
          <w:spacing w:val="-8"/>
        </w:rPr>
        <w:t> </w:t>
      </w:r>
      <w:r>
        <w:rPr/>
        <w:t>admission”</w:t>
      </w:r>
      <w:r>
        <w:rPr>
          <w:spacing w:val="-9"/>
        </w:rPr>
        <w:t> </w:t>
      </w:r>
      <w:r>
        <w:rPr/>
        <w:t>if</w:t>
      </w:r>
      <w:r>
        <w:rPr>
          <w:spacing w:val="-6"/>
        </w:rPr>
        <w:t> </w:t>
      </w:r>
      <w:r>
        <w:rPr/>
        <w:t>an</w:t>
      </w:r>
      <w:r>
        <w:rPr>
          <w:spacing w:val="-7"/>
        </w:rPr>
        <w:t> </w:t>
      </w:r>
      <w:r>
        <w:rPr/>
        <w:t>application</w:t>
      </w:r>
      <w:r>
        <w:rPr>
          <w:spacing w:val="-7"/>
        </w:rPr>
        <w:t> </w:t>
      </w:r>
      <w:r>
        <w:rPr/>
        <w:t>for</w:t>
      </w:r>
      <w:r>
        <w:rPr>
          <w:spacing w:val="-8"/>
        </w:rPr>
        <w:t> </w:t>
      </w:r>
      <w:r>
        <w:rPr/>
        <w:t>examination</w:t>
      </w:r>
      <w:r>
        <w:rPr>
          <w:spacing w:val="-8"/>
        </w:rPr>
        <w:t> </w:t>
      </w:r>
      <w:r>
        <w:rPr/>
        <w:t>and</w:t>
      </w:r>
      <w:r>
        <w:rPr>
          <w:spacing w:val="-7"/>
        </w:rPr>
        <w:t> </w:t>
      </w:r>
      <w:r>
        <w:rPr/>
        <w:t>treatment</w:t>
      </w:r>
      <w:r>
        <w:rPr>
          <w:spacing w:val="-6"/>
        </w:rPr>
        <w:t> </w:t>
      </w:r>
      <w:r>
        <w:rPr/>
        <w:t>at</w:t>
      </w:r>
      <w:r>
        <w:rPr>
          <w:spacing w:val="-7"/>
        </w:rPr>
        <w:t> </w:t>
      </w:r>
      <w:r>
        <w:rPr/>
        <w:t>the</w:t>
      </w:r>
      <w:r>
        <w:rPr>
          <w:spacing w:val="-8"/>
        </w:rPr>
        <w:t> </w:t>
      </w:r>
      <w:r>
        <w:rPr/>
        <w:t>institution is submitted by their guardian.</w:t>
      </w:r>
      <w:hyperlink w:history="true" w:anchor="_bookmark84">
        <w:r>
          <w:rPr>
            <w:position w:val="8"/>
            <w:sz w:val="16"/>
          </w:rPr>
          <w:t>84 </w:t>
        </w:r>
      </w:hyperlink>
      <w:r>
        <w:rPr/>
        <w:t>Regarding this issue, Qatar’s Civil Code permits the restriction or deprivation of the legal capacity of persons with psychosocial and intellectual</w:t>
      </w:r>
      <w:r>
        <w:rPr>
          <w:spacing w:val="-22"/>
        </w:rPr>
        <w:t> </w:t>
      </w:r>
      <w:r>
        <w:rPr/>
        <w:t>disabilities</w:t>
      </w:r>
      <w:r>
        <w:rPr>
          <w:spacing w:val="-22"/>
        </w:rPr>
        <w:t> </w:t>
      </w:r>
      <w:r>
        <w:rPr/>
        <w:t>and</w:t>
      </w:r>
      <w:r>
        <w:rPr>
          <w:spacing w:val="-22"/>
        </w:rPr>
        <w:t> </w:t>
      </w:r>
      <w:r>
        <w:rPr/>
        <w:t>it</w:t>
      </w:r>
      <w:r>
        <w:rPr>
          <w:spacing w:val="-21"/>
        </w:rPr>
        <w:t> </w:t>
      </w:r>
      <w:r>
        <w:rPr/>
        <w:t>establishes</w:t>
      </w:r>
      <w:r>
        <w:rPr>
          <w:spacing w:val="-21"/>
        </w:rPr>
        <w:t> </w:t>
      </w:r>
      <w:r>
        <w:rPr/>
        <w:t>a</w:t>
      </w:r>
      <w:r>
        <w:rPr>
          <w:spacing w:val="-20"/>
        </w:rPr>
        <w:t> </w:t>
      </w:r>
      <w:r>
        <w:rPr/>
        <w:t>model</w:t>
      </w:r>
      <w:r>
        <w:rPr>
          <w:spacing w:val="-21"/>
        </w:rPr>
        <w:t> </w:t>
      </w:r>
      <w:r>
        <w:rPr/>
        <w:t>of</w:t>
      </w:r>
      <w:r>
        <w:rPr>
          <w:spacing w:val="-20"/>
        </w:rPr>
        <w:t> </w:t>
      </w:r>
      <w:r>
        <w:rPr/>
        <w:t>substituted</w:t>
      </w:r>
      <w:r>
        <w:rPr>
          <w:spacing w:val="-22"/>
        </w:rPr>
        <w:t> </w:t>
      </w:r>
      <w:r>
        <w:rPr/>
        <w:t>decision-making</w:t>
      </w:r>
      <w:r>
        <w:rPr>
          <w:spacing w:val="-22"/>
        </w:rPr>
        <w:t> </w:t>
      </w:r>
      <w:r>
        <w:rPr/>
        <w:t>in</w:t>
      </w:r>
      <w:r>
        <w:rPr>
          <w:spacing w:val="-22"/>
        </w:rPr>
        <w:t> </w:t>
      </w:r>
      <w:r>
        <w:rPr/>
        <w:t>order to protect their best</w:t>
      </w:r>
      <w:r>
        <w:rPr>
          <w:spacing w:val="-1"/>
        </w:rPr>
        <w:t> </w:t>
      </w:r>
      <w:r>
        <w:rPr/>
        <w:t>interests.</w:t>
      </w:r>
      <w:hyperlink w:history="true" w:anchor="_bookmark85">
        <w:r>
          <w:rPr>
            <w:position w:val="8"/>
            <w:sz w:val="16"/>
          </w:rPr>
          <w:t>85</w:t>
        </w:r>
      </w:hyperlink>
    </w:p>
    <w:p>
      <w:pPr>
        <w:pStyle w:val="BodyText"/>
      </w:pPr>
    </w:p>
    <w:p>
      <w:pPr>
        <w:pStyle w:val="BodyText"/>
        <w:ind w:left="397" w:right="106"/>
        <w:jc w:val="both"/>
      </w:pPr>
      <w:r>
        <w:rPr/>
        <w:t>Article 7 of the Law on Mental Health establishes that the period of involuntary admission shall be three months, renewable by another similar period in accordance with the requirements of the treatment. According to article 12, the patient or their guardian may complain about decisions regarding involuntary admission to the competent administrative body who shall then mandate a consultant psychiatrist from outside the institution to examine the patient’s case. The decision made by the competent body on the complaint shall be deemed a “final” decision.</w:t>
      </w:r>
    </w:p>
    <w:p>
      <w:pPr>
        <w:pStyle w:val="BodyText"/>
        <w:spacing w:before="12"/>
        <w:rPr>
          <w:sz w:val="23"/>
        </w:rPr>
      </w:pPr>
    </w:p>
    <w:p>
      <w:pPr>
        <w:pStyle w:val="BodyText"/>
        <w:ind w:left="398" w:right="106"/>
        <w:jc w:val="both"/>
      </w:pPr>
      <w:r>
        <w:rPr/>
        <w:t>Chapter</w:t>
      </w:r>
      <w:r>
        <w:rPr>
          <w:spacing w:val="-18"/>
        </w:rPr>
        <w:t> </w:t>
      </w:r>
      <w:r>
        <w:rPr/>
        <w:t>VI</w:t>
      </w:r>
      <w:r>
        <w:rPr>
          <w:spacing w:val="-20"/>
        </w:rPr>
        <w:t> </w:t>
      </w:r>
      <w:r>
        <w:rPr/>
        <w:t>of</w:t>
      </w:r>
      <w:r>
        <w:rPr>
          <w:spacing w:val="-18"/>
        </w:rPr>
        <w:t> </w:t>
      </w:r>
      <w:r>
        <w:rPr/>
        <w:t>the</w:t>
      </w:r>
      <w:r>
        <w:rPr>
          <w:spacing w:val="-19"/>
        </w:rPr>
        <w:t> </w:t>
      </w:r>
      <w:r>
        <w:rPr/>
        <w:t>Law</w:t>
      </w:r>
      <w:r>
        <w:rPr>
          <w:spacing w:val="-20"/>
        </w:rPr>
        <w:t> </w:t>
      </w:r>
      <w:r>
        <w:rPr/>
        <w:t>on</w:t>
      </w:r>
      <w:r>
        <w:rPr>
          <w:spacing w:val="-18"/>
        </w:rPr>
        <w:t> </w:t>
      </w:r>
      <w:r>
        <w:rPr/>
        <w:t>Mental</w:t>
      </w:r>
      <w:r>
        <w:rPr>
          <w:spacing w:val="-19"/>
        </w:rPr>
        <w:t> </w:t>
      </w:r>
      <w:r>
        <w:rPr/>
        <w:t>Health</w:t>
      </w:r>
      <w:r>
        <w:rPr>
          <w:spacing w:val="-17"/>
        </w:rPr>
        <w:t> </w:t>
      </w:r>
      <w:r>
        <w:rPr/>
        <w:t>(Psychiatric</w:t>
      </w:r>
      <w:r>
        <w:rPr>
          <w:spacing w:val="-19"/>
        </w:rPr>
        <w:t> </w:t>
      </w:r>
      <w:r>
        <w:rPr/>
        <w:t>Patient</w:t>
      </w:r>
      <w:r>
        <w:rPr>
          <w:spacing w:val="-18"/>
        </w:rPr>
        <w:t> </w:t>
      </w:r>
      <w:r>
        <w:rPr/>
        <w:t>Treatment</w:t>
      </w:r>
      <w:r>
        <w:rPr>
          <w:spacing w:val="-18"/>
        </w:rPr>
        <w:t> </w:t>
      </w:r>
      <w:r>
        <w:rPr/>
        <w:t>and</w:t>
      </w:r>
      <w:r>
        <w:rPr>
          <w:spacing w:val="-18"/>
        </w:rPr>
        <w:t> </w:t>
      </w:r>
      <w:r>
        <w:rPr/>
        <w:t>Care)</w:t>
      </w:r>
      <w:r>
        <w:rPr>
          <w:spacing w:val="-18"/>
        </w:rPr>
        <w:t> </w:t>
      </w:r>
      <w:r>
        <w:rPr/>
        <w:t>seems to assume that voluntarily admitted psychiatric patients can be forced to receive medical treatment.</w:t>
      </w:r>
      <w:hyperlink w:history="true" w:anchor="_bookmark86">
        <w:r>
          <w:rPr>
            <w:position w:val="8"/>
            <w:sz w:val="16"/>
          </w:rPr>
          <w:t>86 </w:t>
        </w:r>
      </w:hyperlink>
      <w:r>
        <w:rPr/>
        <w:t>These patients or their guardian, if they are legally</w:t>
      </w:r>
      <w:r>
        <w:rPr>
          <w:spacing w:val="30"/>
        </w:rPr>
        <w:t> </w:t>
      </w:r>
      <w:r>
        <w:rPr/>
        <w:t>incompetent,</w:t>
      </w:r>
    </w:p>
    <w:p>
      <w:pPr>
        <w:pStyle w:val="BodyText"/>
        <w:spacing w:before="5"/>
        <w:rPr>
          <w:sz w:val="23"/>
        </w:rPr>
      </w:pPr>
    </w:p>
    <w:p>
      <w:pPr>
        <w:spacing w:line="236" w:lineRule="exact" w:before="0"/>
        <w:ind w:left="221" w:right="0" w:firstLine="0"/>
        <w:jc w:val="left"/>
        <w:rPr>
          <w:sz w:val="20"/>
        </w:rPr>
      </w:pPr>
      <w:bookmarkStart w:name="_bookmark83" w:id="85"/>
      <w:bookmarkEnd w:id="85"/>
      <w:r>
        <w:rPr/>
      </w:r>
      <w:r>
        <w:rPr>
          <w:position w:val="7"/>
          <w:sz w:val="13"/>
        </w:rPr>
        <w:t>83 </w:t>
      </w:r>
      <w:r>
        <w:rPr>
          <w:sz w:val="20"/>
        </w:rPr>
        <w:t>Ibid, Article 5.</w:t>
      </w:r>
    </w:p>
    <w:p>
      <w:pPr>
        <w:spacing w:line="242" w:lineRule="exact" w:before="0"/>
        <w:ind w:left="221" w:right="0" w:firstLine="0"/>
        <w:jc w:val="left"/>
        <w:rPr>
          <w:i/>
          <w:sz w:val="21"/>
        </w:rPr>
      </w:pPr>
      <w:bookmarkStart w:name="_bookmark84" w:id="86"/>
      <w:bookmarkEnd w:id="86"/>
      <w:r>
        <w:rPr/>
      </w:r>
      <w:r>
        <w:rPr>
          <w:position w:val="7"/>
          <w:sz w:val="13"/>
        </w:rPr>
        <w:t>84 </w:t>
      </w:r>
      <w:r>
        <w:rPr>
          <w:sz w:val="20"/>
        </w:rPr>
        <w:t>Ibid, Article 4</w:t>
      </w:r>
      <w:r>
        <w:rPr>
          <w:i/>
          <w:sz w:val="21"/>
        </w:rPr>
        <w:t>.</w:t>
      </w:r>
    </w:p>
    <w:p>
      <w:pPr>
        <w:spacing w:line="232" w:lineRule="auto" w:before="1"/>
        <w:ind w:left="391" w:right="106" w:hanging="171"/>
        <w:jc w:val="both"/>
        <w:rPr>
          <w:sz w:val="20"/>
        </w:rPr>
      </w:pPr>
      <w:bookmarkStart w:name="_bookmark85" w:id="87"/>
      <w:bookmarkEnd w:id="87"/>
      <w:r>
        <w:rPr/>
      </w:r>
      <w:r>
        <w:rPr>
          <w:position w:val="7"/>
          <w:sz w:val="13"/>
        </w:rPr>
        <w:t>85</w:t>
      </w:r>
      <w:r>
        <w:rPr>
          <w:spacing w:val="-9"/>
          <w:position w:val="7"/>
          <w:sz w:val="13"/>
        </w:rPr>
        <w:t> </w:t>
      </w:r>
      <w:r>
        <w:rPr>
          <w:sz w:val="20"/>
        </w:rPr>
        <w:t>Article</w:t>
      </w:r>
      <w:r>
        <w:rPr>
          <w:spacing w:val="-17"/>
          <w:sz w:val="20"/>
        </w:rPr>
        <w:t> </w:t>
      </w:r>
      <w:r>
        <w:rPr>
          <w:sz w:val="20"/>
        </w:rPr>
        <w:t>49</w:t>
      </w:r>
      <w:r>
        <w:rPr>
          <w:spacing w:val="-19"/>
          <w:sz w:val="20"/>
        </w:rPr>
        <w:t> </w:t>
      </w:r>
      <w:r>
        <w:rPr>
          <w:sz w:val="20"/>
        </w:rPr>
        <w:t>of</w:t>
      </w:r>
      <w:r>
        <w:rPr>
          <w:spacing w:val="-19"/>
          <w:sz w:val="20"/>
        </w:rPr>
        <w:t> </w:t>
      </w:r>
      <w:r>
        <w:rPr>
          <w:i/>
          <w:sz w:val="21"/>
        </w:rPr>
        <w:t>Law</w:t>
      </w:r>
      <w:r>
        <w:rPr>
          <w:i/>
          <w:spacing w:val="-20"/>
          <w:sz w:val="21"/>
        </w:rPr>
        <w:t> </w:t>
      </w:r>
      <w:r>
        <w:rPr>
          <w:i/>
          <w:sz w:val="21"/>
        </w:rPr>
        <w:t>No.</w:t>
      </w:r>
      <w:r>
        <w:rPr>
          <w:i/>
          <w:spacing w:val="-20"/>
          <w:sz w:val="21"/>
        </w:rPr>
        <w:t> </w:t>
      </w:r>
      <w:r>
        <w:rPr>
          <w:i/>
          <w:sz w:val="21"/>
        </w:rPr>
        <w:t>22</w:t>
      </w:r>
      <w:r>
        <w:rPr>
          <w:i/>
          <w:spacing w:val="-22"/>
          <w:sz w:val="21"/>
        </w:rPr>
        <w:t> </w:t>
      </w:r>
      <w:r>
        <w:rPr>
          <w:i/>
          <w:sz w:val="21"/>
        </w:rPr>
        <w:t>of</w:t>
      </w:r>
      <w:r>
        <w:rPr>
          <w:i/>
          <w:spacing w:val="-22"/>
          <w:sz w:val="21"/>
        </w:rPr>
        <w:t> </w:t>
      </w:r>
      <w:r>
        <w:rPr>
          <w:i/>
          <w:sz w:val="21"/>
        </w:rPr>
        <w:t>2004</w:t>
      </w:r>
      <w:r>
        <w:rPr>
          <w:i/>
          <w:spacing w:val="-21"/>
          <w:sz w:val="21"/>
        </w:rPr>
        <w:t> </w:t>
      </w:r>
      <w:r>
        <w:rPr>
          <w:i/>
          <w:sz w:val="21"/>
        </w:rPr>
        <w:t>Promulgating</w:t>
      </w:r>
      <w:r>
        <w:rPr>
          <w:i/>
          <w:spacing w:val="-21"/>
          <w:sz w:val="21"/>
        </w:rPr>
        <w:t> </w:t>
      </w:r>
      <w:r>
        <w:rPr>
          <w:i/>
          <w:sz w:val="21"/>
        </w:rPr>
        <w:t>the</w:t>
      </w:r>
      <w:r>
        <w:rPr>
          <w:i/>
          <w:spacing w:val="-21"/>
          <w:sz w:val="21"/>
        </w:rPr>
        <w:t> </w:t>
      </w:r>
      <w:r>
        <w:rPr>
          <w:i/>
          <w:sz w:val="21"/>
        </w:rPr>
        <w:t>Civil</w:t>
      </w:r>
      <w:r>
        <w:rPr>
          <w:i/>
          <w:spacing w:val="-21"/>
          <w:sz w:val="21"/>
        </w:rPr>
        <w:t> </w:t>
      </w:r>
      <w:r>
        <w:rPr>
          <w:i/>
          <w:sz w:val="21"/>
        </w:rPr>
        <w:t>Code</w:t>
      </w:r>
      <w:r>
        <w:rPr>
          <w:sz w:val="20"/>
        </w:rPr>
        <w:t>.</w:t>
      </w:r>
      <w:r>
        <w:rPr>
          <w:spacing w:val="-18"/>
          <w:sz w:val="20"/>
        </w:rPr>
        <w:t> </w:t>
      </w:r>
      <w:r>
        <w:rPr>
          <w:sz w:val="20"/>
        </w:rPr>
        <w:t>As</w:t>
      </w:r>
      <w:r>
        <w:rPr>
          <w:spacing w:val="-18"/>
          <w:sz w:val="20"/>
        </w:rPr>
        <w:t> </w:t>
      </w:r>
      <w:r>
        <w:rPr>
          <w:sz w:val="20"/>
        </w:rPr>
        <w:t>laid</w:t>
      </w:r>
      <w:r>
        <w:rPr>
          <w:spacing w:val="-18"/>
          <w:sz w:val="20"/>
        </w:rPr>
        <w:t> </w:t>
      </w:r>
      <w:r>
        <w:rPr>
          <w:sz w:val="20"/>
        </w:rPr>
        <w:t>down</w:t>
      </w:r>
      <w:r>
        <w:rPr>
          <w:spacing w:val="-18"/>
          <w:sz w:val="20"/>
        </w:rPr>
        <w:t> </w:t>
      </w:r>
      <w:r>
        <w:rPr>
          <w:sz w:val="20"/>
        </w:rPr>
        <w:t>in</w:t>
      </w:r>
      <w:r>
        <w:rPr>
          <w:spacing w:val="-19"/>
          <w:sz w:val="20"/>
        </w:rPr>
        <w:t> </w:t>
      </w:r>
      <w:r>
        <w:rPr>
          <w:sz w:val="20"/>
        </w:rPr>
        <w:t>Article</w:t>
      </w:r>
      <w:r>
        <w:rPr>
          <w:spacing w:val="-17"/>
          <w:sz w:val="20"/>
        </w:rPr>
        <w:t> </w:t>
      </w:r>
      <w:r>
        <w:rPr>
          <w:sz w:val="20"/>
        </w:rPr>
        <w:t>52</w:t>
      </w:r>
      <w:r>
        <w:rPr>
          <w:spacing w:val="-19"/>
          <w:sz w:val="20"/>
        </w:rPr>
        <w:t> </w:t>
      </w:r>
      <w:r>
        <w:rPr>
          <w:sz w:val="20"/>
        </w:rPr>
        <w:t>of</w:t>
      </w:r>
      <w:r>
        <w:rPr>
          <w:spacing w:val="-18"/>
          <w:sz w:val="20"/>
        </w:rPr>
        <w:t> </w:t>
      </w:r>
      <w:r>
        <w:rPr>
          <w:sz w:val="20"/>
        </w:rPr>
        <w:t>the</w:t>
      </w:r>
      <w:r>
        <w:rPr>
          <w:spacing w:val="-19"/>
          <w:sz w:val="20"/>
        </w:rPr>
        <w:t> </w:t>
      </w:r>
      <w:r>
        <w:rPr>
          <w:i/>
          <w:sz w:val="21"/>
        </w:rPr>
        <w:t>Civil</w:t>
      </w:r>
      <w:r>
        <w:rPr>
          <w:i/>
          <w:spacing w:val="-21"/>
          <w:sz w:val="21"/>
        </w:rPr>
        <w:t> </w:t>
      </w:r>
      <w:r>
        <w:rPr>
          <w:i/>
          <w:sz w:val="21"/>
        </w:rPr>
        <w:t>Code </w:t>
      </w:r>
      <w:r>
        <w:rPr>
          <w:sz w:val="20"/>
        </w:rPr>
        <w:t>and</w:t>
      </w:r>
      <w:r>
        <w:rPr>
          <w:spacing w:val="-3"/>
          <w:sz w:val="20"/>
        </w:rPr>
        <w:t> </w:t>
      </w:r>
      <w:r>
        <w:rPr>
          <w:sz w:val="20"/>
        </w:rPr>
        <w:t>in</w:t>
      </w:r>
      <w:r>
        <w:rPr>
          <w:spacing w:val="-3"/>
          <w:sz w:val="20"/>
        </w:rPr>
        <w:t> </w:t>
      </w:r>
      <w:r>
        <w:rPr>
          <w:sz w:val="20"/>
        </w:rPr>
        <w:t>Article</w:t>
      </w:r>
      <w:r>
        <w:rPr>
          <w:spacing w:val="-2"/>
          <w:sz w:val="20"/>
        </w:rPr>
        <w:t> </w:t>
      </w:r>
      <w:r>
        <w:rPr>
          <w:sz w:val="20"/>
        </w:rPr>
        <w:t>190</w:t>
      </w:r>
      <w:r>
        <w:rPr>
          <w:spacing w:val="-3"/>
          <w:sz w:val="20"/>
        </w:rPr>
        <w:t> </w:t>
      </w:r>
      <w:r>
        <w:rPr>
          <w:sz w:val="20"/>
        </w:rPr>
        <w:t>of</w:t>
      </w:r>
      <w:r>
        <w:rPr>
          <w:spacing w:val="-3"/>
          <w:sz w:val="20"/>
        </w:rPr>
        <w:t> </w:t>
      </w:r>
      <w:r>
        <w:rPr>
          <w:sz w:val="20"/>
        </w:rPr>
        <w:t>the</w:t>
      </w:r>
      <w:r>
        <w:rPr>
          <w:spacing w:val="-2"/>
          <w:sz w:val="20"/>
        </w:rPr>
        <w:t> </w:t>
      </w:r>
      <w:r>
        <w:rPr>
          <w:i/>
          <w:sz w:val="21"/>
        </w:rPr>
        <w:t>Law</w:t>
      </w:r>
      <w:r>
        <w:rPr>
          <w:i/>
          <w:spacing w:val="-6"/>
          <w:sz w:val="21"/>
        </w:rPr>
        <w:t> </w:t>
      </w:r>
      <w:r>
        <w:rPr>
          <w:i/>
          <w:sz w:val="21"/>
        </w:rPr>
        <w:t>No.</w:t>
      </w:r>
      <w:r>
        <w:rPr>
          <w:i/>
          <w:spacing w:val="-5"/>
          <w:sz w:val="21"/>
        </w:rPr>
        <w:t> </w:t>
      </w:r>
      <w:r>
        <w:rPr>
          <w:i/>
          <w:sz w:val="21"/>
        </w:rPr>
        <w:t>22</w:t>
      </w:r>
      <w:r>
        <w:rPr>
          <w:i/>
          <w:spacing w:val="-6"/>
          <w:sz w:val="21"/>
        </w:rPr>
        <w:t> </w:t>
      </w:r>
      <w:r>
        <w:rPr>
          <w:i/>
          <w:sz w:val="21"/>
        </w:rPr>
        <w:t>of</w:t>
      </w:r>
      <w:r>
        <w:rPr>
          <w:i/>
          <w:spacing w:val="-7"/>
          <w:sz w:val="21"/>
        </w:rPr>
        <w:t> </w:t>
      </w:r>
      <w:r>
        <w:rPr>
          <w:i/>
          <w:sz w:val="21"/>
        </w:rPr>
        <w:t>2006</w:t>
      </w:r>
      <w:r>
        <w:rPr>
          <w:i/>
          <w:spacing w:val="-6"/>
          <w:sz w:val="21"/>
        </w:rPr>
        <w:t> </w:t>
      </w:r>
      <w:r>
        <w:rPr>
          <w:i/>
          <w:sz w:val="21"/>
        </w:rPr>
        <w:t>on</w:t>
      </w:r>
      <w:r>
        <w:rPr>
          <w:i/>
          <w:spacing w:val="-6"/>
          <w:sz w:val="21"/>
        </w:rPr>
        <w:t> </w:t>
      </w:r>
      <w:r>
        <w:rPr>
          <w:i/>
          <w:sz w:val="21"/>
        </w:rPr>
        <w:t>Family</w:t>
      </w:r>
      <w:r>
        <w:rPr>
          <w:i/>
          <w:spacing w:val="-6"/>
          <w:sz w:val="21"/>
        </w:rPr>
        <w:t> </w:t>
      </w:r>
      <w:r>
        <w:rPr>
          <w:i/>
          <w:sz w:val="21"/>
        </w:rPr>
        <w:t>Law</w:t>
      </w:r>
      <w:r>
        <w:rPr>
          <w:i/>
          <w:spacing w:val="-6"/>
          <w:sz w:val="21"/>
        </w:rPr>
        <w:t> </w:t>
      </w:r>
      <w:r>
        <w:rPr>
          <w:sz w:val="20"/>
        </w:rPr>
        <w:t>“persons</w:t>
      </w:r>
      <w:r>
        <w:rPr>
          <w:spacing w:val="-2"/>
          <w:sz w:val="20"/>
        </w:rPr>
        <w:t> </w:t>
      </w:r>
      <w:r>
        <w:rPr>
          <w:sz w:val="20"/>
        </w:rPr>
        <w:t>of</w:t>
      </w:r>
      <w:r>
        <w:rPr>
          <w:spacing w:val="-3"/>
          <w:sz w:val="20"/>
        </w:rPr>
        <w:t> </w:t>
      </w:r>
      <w:r>
        <w:rPr>
          <w:sz w:val="20"/>
        </w:rPr>
        <w:t>no</w:t>
      </w:r>
      <w:r>
        <w:rPr>
          <w:spacing w:val="-2"/>
          <w:sz w:val="20"/>
        </w:rPr>
        <w:t> </w:t>
      </w:r>
      <w:r>
        <w:rPr>
          <w:sz w:val="20"/>
        </w:rPr>
        <w:t>or</w:t>
      </w:r>
      <w:r>
        <w:rPr>
          <w:spacing w:val="-3"/>
          <w:sz w:val="20"/>
        </w:rPr>
        <w:t> </w:t>
      </w:r>
      <w:r>
        <w:rPr>
          <w:sz w:val="20"/>
        </w:rPr>
        <w:t>defective</w:t>
      </w:r>
      <w:r>
        <w:rPr>
          <w:spacing w:val="-2"/>
          <w:sz w:val="20"/>
        </w:rPr>
        <w:t> </w:t>
      </w:r>
      <w:r>
        <w:rPr>
          <w:sz w:val="20"/>
        </w:rPr>
        <w:t>capacity”</w:t>
      </w:r>
      <w:r>
        <w:rPr>
          <w:spacing w:val="-3"/>
          <w:sz w:val="20"/>
        </w:rPr>
        <w:t> </w:t>
      </w:r>
      <w:r>
        <w:rPr>
          <w:sz w:val="20"/>
        </w:rPr>
        <w:t>shall be governed by the provisions of natural or legal guardianship or curatorship as provided for by special laws.</w:t>
      </w:r>
      <w:r>
        <w:rPr>
          <w:spacing w:val="-8"/>
          <w:sz w:val="20"/>
        </w:rPr>
        <w:t> </w:t>
      </w:r>
      <w:r>
        <w:rPr>
          <w:sz w:val="20"/>
        </w:rPr>
        <w:t>The</w:t>
      </w:r>
      <w:r>
        <w:rPr>
          <w:spacing w:val="-9"/>
          <w:sz w:val="20"/>
        </w:rPr>
        <w:t> </w:t>
      </w:r>
      <w:r>
        <w:rPr>
          <w:sz w:val="20"/>
        </w:rPr>
        <w:t>special</w:t>
      </w:r>
      <w:r>
        <w:rPr>
          <w:spacing w:val="-9"/>
          <w:sz w:val="20"/>
        </w:rPr>
        <w:t> </w:t>
      </w:r>
      <w:r>
        <w:rPr>
          <w:sz w:val="20"/>
        </w:rPr>
        <w:t>legal</w:t>
      </w:r>
      <w:r>
        <w:rPr>
          <w:spacing w:val="-9"/>
          <w:sz w:val="20"/>
        </w:rPr>
        <w:t> </w:t>
      </w:r>
      <w:r>
        <w:rPr>
          <w:sz w:val="20"/>
        </w:rPr>
        <w:t>provision</w:t>
      </w:r>
      <w:r>
        <w:rPr>
          <w:spacing w:val="-9"/>
          <w:sz w:val="20"/>
        </w:rPr>
        <w:t> </w:t>
      </w:r>
      <w:r>
        <w:rPr>
          <w:sz w:val="20"/>
        </w:rPr>
        <w:t>governing</w:t>
      </w:r>
      <w:r>
        <w:rPr>
          <w:spacing w:val="-9"/>
          <w:sz w:val="20"/>
        </w:rPr>
        <w:t> </w:t>
      </w:r>
      <w:r>
        <w:rPr>
          <w:sz w:val="20"/>
        </w:rPr>
        <w:t>this</w:t>
      </w:r>
      <w:r>
        <w:rPr>
          <w:spacing w:val="-8"/>
          <w:sz w:val="20"/>
        </w:rPr>
        <w:t> </w:t>
      </w:r>
      <w:r>
        <w:rPr>
          <w:sz w:val="20"/>
        </w:rPr>
        <w:t>matter</w:t>
      </w:r>
      <w:r>
        <w:rPr>
          <w:spacing w:val="-9"/>
          <w:sz w:val="20"/>
        </w:rPr>
        <w:t> </w:t>
      </w:r>
      <w:r>
        <w:rPr>
          <w:sz w:val="20"/>
        </w:rPr>
        <w:t>is</w:t>
      </w:r>
      <w:r>
        <w:rPr>
          <w:spacing w:val="-8"/>
          <w:sz w:val="20"/>
        </w:rPr>
        <w:t> </w:t>
      </w:r>
      <w:r>
        <w:rPr>
          <w:i/>
          <w:sz w:val="21"/>
        </w:rPr>
        <w:t>Law</w:t>
      </w:r>
      <w:r>
        <w:rPr>
          <w:i/>
          <w:spacing w:val="-12"/>
          <w:sz w:val="21"/>
        </w:rPr>
        <w:t> </w:t>
      </w:r>
      <w:r>
        <w:rPr>
          <w:i/>
          <w:sz w:val="21"/>
        </w:rPr>
        <w:t>No.</w:t>
      </w:r>
      <w:r>
        <w:rPr>
          <w:i/>
          <w:spacing w:val="-12"/>
          <w:sz w:val="21"/>
        </w:rPr>
        <w:t> </w:t>
      </w:r>
      <w:r>
        <w:rPr>
          <w:i/>
          <w:sz w:val="21"/>
        </w:rPr>
        <w:t>40</w:t>
      </w:r>
      <w:r>
        <w:rPr>
          <w:i/>
          <w:spacing w:val="-12"/>
          <w:sz w:val="21"/>
        </w:rPr>
        <w:t> </w:t>
      </w:r>
      <w:r>
        <w:rPr>
          <w:i/>
          <w:sz w:val="21"/>
        </w:rPr>
        <w:t>of</w:t>
      </w:r>
      <w:r>
        <w:rPr>
          <w:i/>
          <w:spacing w:val="-12"/>
          <w:sz w:val="21"/>
        </w:rPr>
        <w:t> </w:t>
      </w:r>
      <w:r>
        <w:rPr>
          <w:i/>
          <w:sz w:val="21"/>
        </w:rPr>
        <w:t>2004</w:t>
      </w:r>
      <w:r>
        <w:rPr>
          <w:i/>
          <w:spacing w:val="-12"/>
          <w:sz w:val="21"/>
        </w:rPr>
        <w:t> </w:t>
      </w:r>
      <w:r>
        <w:rPr>
          <w:i/>
          <w:sz w:val="21"/>
        </w:rPr>
        <w:t>on</w:t>
      </w:r>
      <w:r>
        <w:rPr>
          <w:i/>
          <w:spacing w:val="-12"/>
          <w:sz w:val="21"/>
        </w:rPr>
        <w:t> </w:t>
      </w:r>
      <w:r>
        <w:rPr>
          <w:i/>
          <w:sz w:val="21"/>
        </w:rPr>
        <w:t>the</w:t>
      </w:r>
      <w:r>
        <w:rPr>
          <w:i/>
          <w:spacing w:val="-12"/>
          <w:sz w:val="21"/>
        </w:rPr>
        <w:t> </w:t>
      </w:r>
      <w:r>
        <w:rPr>
          <w:i/>
          <w:sz w:val="21"/>
        </w:rPr>
        <w:t>Guardianship</w:t>
      </w:r>
      <w:r>
        <w:rPr>
          <w:i/>
          <w:spacing w:val="-13"/>
          <w:sz w:val="21"/>
        </w:rPr>
        <w:t> </w:t>
      </w:r>
      <w:r>
        <w:rPr>
          <w:i/>
          <w:sz w:val="21"/>
        </w:rPr>
        <w:t>over Minors’</w:t>
      </w:r>
      <w:r>
        <w:rPr>
          <w:i/>
          <w:spacing w:val="-7"/>
          <w:sz w:val="21"/>
        </w:rPr>
        <w:t> </w:t>
      </w:r>
      <w:r>
        <w:rPr>
          <w:i/>
          <w:sz w:val="21"/>
        </w:rPr>
        <w:t>Funds</w:t>
      </w:r>
      <w:r>
        <w:rPr>
          <w:sz w:val="20"/>
        </w:rPr>
        <w:t>.</w:t>
      </w:r>
      <w:r>
        <w:rPr>
          <w:spacing w:val="-3"/>
          <w:sz w:val="20"/>
        </w:rPr>
        <w:t> </w:t>
      </w:r>
      <w:r>
        <w:rPr>
          <w:sz w:val="20"/>
        </w:rPr>
        <w:t>Article</w:t>
      </w:r>
      <w:r>
        <w:rPr>
          <w:spacing w:val="-3"/>
          <w:sz w:val="20"/>
        </w:rPr>
        <w:t> </w:t>
      </w:r>
      <w:r>
        <w:rPr>
          <w:sz w:val="20"/>
        </w:rPr>
        <w:t>33</w:t>
      </w:r>
      <w:r>
        <w:rPr>
          <w:spacing w:val="-3"/>
          <w:sz w:val="20"/>
        </w:rPr>
        <w:t> </w:t>
      </w:r>
      <w:r>
        <w:rPr>
          <w:sz w:val="20"/>
        </w:rPr>
        <w:t>of</w:t>
      </w:r>
      <w:r>
        <w:rPr>
          <w:spacing w:val="-5"/>
          <w:sz w:val="20"/>
        </w:rPr>
        <w:t> </w:t>
      </w:r>
      <w:r>
        <w:rPr>
          <w:sz w:val="20"/>
        </w:rPr>
        <w:t>this</w:t>
      </w:r>
      <w:r>
        <w:rPr>
          <w:spacing w:val="-3"/>
          <w:sz w:val="20"/>
        </w:rPr>
        <w:t> </w:t>
      </w:r>
      <w:r>
        <w:rPr>
          <w:sz w:val="20"/>
        </w:rPr>
        <w:t>Law</w:t>
      </w:r>
      <w:r>
        <w:rPr>
          <w:spacing w:val="-3"/>
          <w:sz w:val="20"/>
        </w:rPr>
        <w:t> </w:t>
      </w:r>
      <w:r>
        <w:rPr>
          <w:sz w:val="20"/>
        </w:rPr>
        <w:t>is</w:t>
      </w:r>
      <w:r>
        <w:rPr>
          <w:spacing w:val="-3"/>
          <w:sz w:val="20"/>
        </w:rPr>
        <w:t> </w:t>
      </w:r>
      <w:r>
        <w:rPr>
          <w:sz w:val="20"/>
        </w:rPr>
        <w:t>worded</w:t>
      </w:r>
      <w:r>
        <w:rPr>
          <w:spacing w:val="-4"/>
          <w:sz w:val="20"/>
        </w:rPr>
        <w:t> </w:t>
      </w:r>
      <w:r>
        <w:rPr>
          <w:sz w:val="20"/>
        </w:rPr>
        <w:t>as</w:t>
      </w:r>
      <w:r>
        <w:rPr>
          <w:spacing w:val="-3"/>
          <w:sz w:val="20"/>
        </w:rPr>
        <w:t> </w:t>
      </w:r>
      <w:r>
        <w:rPr>
          <w:sz w:val="20"/>
        </w:rPr>
        <w:t>follows:</w:t>
      </w:r>
      <w:r>
        <w:rPr>
          <w:spacing w:val="-3"/>
          <w:sz w:val="20"/>
        </w:rPr>
        <w:t> </w:t>
      </w:r>
      <w:r>
        <w:rPr>
          <w:sz w:val="20"/>
        </w:rPr>
        <w:t>“no</w:t>
      </w:r>
      <w:r>
        <w:rPr>
          <w:spacing w:val="-3"/>
          <w:sz w:val="20"/>
        </w:rPr>
        <w:t> </w:t>
      </w:r>
      <w:r>
        <w:rPr>
          <w:sz w:val="20"/>
        </w:rPr>
        <w:t>person</w:t>
      </w:r>
      <w:r>
        <w:rPr>
          <w:spacing w:val="-3"/>
          <w:sz w:val="20"/>
        </w:rPr>
        <w:t> </w:t>
      </w:r>
      <w:r>
        <w:rPr>
          <w:sz w:val="20"/>
        </w:rPr>
        <w:t>above</w:t>
      </w:r>
      <w:r>
        <w:rPr>
          <w:spacing w:val="-3"/>
          <w:sz w:val="20"/>
        </w:rPr>
        <w:t> </w:t>
      </w:r>
      <w:r>
        <w:rPr>
          <w:sz w:val="20"/>
        </w:rPr>
        <w:t>the</w:t>
      </w:r>
      <w:r>
        <w:rPr>
          <w:spacing w:val="-3"/>
          <w:sz w:val="20"/>
        </w:rPr>
        <w:t> </w:t>
      </w:r>
      <w:r>
        <w:rPr>
          <w:sz w:val="20"/>
        </w:rPr>
        <w:t>age</w:t>
      </w:r>
      <w:r>
        <w:rPr>
          <w:spacing w:val="-3"/>
          <w:sz w:val="20"/>
        </w:rPr>
        <w:t> </w:t>
      </w:r>
      <w:r>
        <w:rPr>
          <w:sz w:val="20"/>
        </w:rPr>
        <w:t>of</w:t>
      </w:r>
      <w:r>
        <w:rPr>
          <w:spacing w:val="-3"/>
          <w:sz w:val="20"/>
        </w:rPr>
        <w:t> </w:t>
      </w:r>
      <w:r>
        <w:rPr>
          <w:sz w:val="20"/>
        </w:rPr>
        <w:t>majority</w:t>
      </w:r>
      <w:r>
        <w:rPr>
          <w:spacing w:val="-3"/>
          <w:sz w:val="20"/>
        </w:rPr>
        <w:t> </w:t>
      </w:r>
      <w:r>
        <w:rPr>
          <w:sz w:val="20"/>
        </w:rPr>
        <w:t>who</w:t>
      </w:r>
      <w:r>
        <w:rPr>
          <w:spacing w:val="-3"/>
          <w:sz w:val="20"/>
        </w:rPr>
        <w:t> </w:t>
      </w:r>
      <w:r>
        <w:rPr>
          <w:sz w:val="20"/>
        </w:rPr>
        <w:t>is subject to a habitual state of madness or insanity, or is unconscious, mentally deranged or an</w:t>
      </w:r>
      <w:r>
        <w:rPr>
          <w:spacing w:val="41"/>
          <w:sz w:val="20"/>
        </w:rPr>
        <w:t> </w:t>
      </w:r>
      <w:r>
        <w:rPr>
          <w:sz w:val="20"/>
        </w:rPr>
        <w:t>imbecile</w:t>
      </w:r>
    </w:p>
    <w:p>
      <w:pPr>
        <w:spacing w:line="235" w:lineRule="auto" w:before="4"/>
        <w:ind w:left="391" w:right="105" w:firstLine="0"/>
        <w:jc w:val="both"/>
        <w:rPr>
          <w:sz w:val="20"/>
        </w:rPr>
      </w:pPr>
      <w:r>
        <w:rPr>
          <w:sz w:val="20"/>
        </w:rPr>
        <w:t>… shall be allowed to take charge of his own affairs or to administer his estate.” This Law considers “incapacitated”</w:t>
      </w:r>
      <w:r>
        <w:rPr>
          <w:spacing w:val="-13"/>
          <w:sz w:val="20"/>
        </w:rPr>
        <w:t> </w:t>
      </w:r>
      <w:r>
        <w:rPr>
          <w:sz w:val="20"/>
        </w:rPr>
        <w:t>to</w:t>
      </w:r>
      <w:r>
        <w:rPr>
          <w:spacing w:val="-13"/>
          <w:sz w:val="20"/>
        </w:rPr>
        <w:t> </w:t>
      </w:r>
      <w:r>
        <w:rPr>
          <w:sz w:val="20"/>
        </w:rPr>
        <w:t>mean</w:t>
      </w:r>
      <w:r>
        <w:rPr>
          <w:spacing w:val="-14"/>
          <w:sz w:val="20"/>
        </w:rPr>
        <w:t> </w:t>
      </w:r>
      <w:r>
        <w:rPr>
          <w:sz w:val="20"/>
        </w:rPr>
        <w:t>an</w:t>
      </w:r>
      <w:r>
        <w:rPr>
          <w:spacing w:val="-13"/>
          <w:sz w:val="20"/>
        </w:rPr>
        <w:t> </w:t>
      </w:r>
      <w:r>
        <w:rPr>
          <w:sz w:val="20"/>
        </w:rPr>
        <w:t>incompetent</w:t>
      </w:r>
      <w:r>
        <w:rPr>
          <w:spacing w:val="-13"/>
          <w:sz w:val="20"/>
        </w:rPr>
        <w:t> </w:t>
      </w:r>
      <w:r>
        <w:rPr>
          <w:sz w:val="20"/>
        </w:rPr>
        <w:t>minor</w:t>
      </w:r>
      <w:r>
        <w:rPr>
          <w:spacing w:val="-15"/>
          <w:sz w:val="20"/>
        </w:rPr>
        <w:t> </w:t>
      </w:r>
      <w:r>
        <w:rPr>
          <w:sz w:val="20"/>
        </w:rPr>
        <w:t>or</w:t>
      </w:r>
      <w:r>
        <w:rPr>
          <w:spacing w:val="-15"/>
          <w:sz w:val="20"/>
        </w:rPr>
        <w:t> </w:t>
      </w:r>
      <w:r>
        <w:rPr>
          <w:sz w:val="20"/>
        </w:rPr>
        <w:t>an</w:t>
      </w:r>
      <w:r>
        <w:rPr>
          <w:spacing w:val="-13"/>
          <w:sz w:val="20"/>
        </w:rPr>
        <w:t> </w:t>
      </w:r>
      <w:r>
        <w:rPr>
          <w:sz w:val="20"/>
        </w:rPr>
        <w:t>insane,</w:t>
      </w:r>
      <w:r>
        <w:rPr>
          <w:spacing w:val="-14"/>
          <w:sz w:val="20"/>
        </w:rPr>
        <w:t> </w:t>
      </w:r>
      <w:r>
        <w:rPr>
          <w:sz w:val="20"/>
        </w:rPr>
        <w:t>unconscious,</w:t>
      </w:r>
      <w:r>
        <w:rPr>
          <w:spacing w:val="-14"/>
          <w:sz w:val="20"/>
        </w:rPr>
        <w:t> </w:t>
      </w:r>
      <w:r>
        <w:rPr>
          <w:sz w:val="20"/>
        </w:rPr>
        <w:t>or</w:t>
      </w:r>
      <w:r>
        <w:rPr>
          <w:spacing w:val="-15"/>
          <w:sz w:val="20"/>
        </w:rPr>
        <w:t> </w:t>
      </w:r>
      <w:r>
        <w:rPr>
          <w:sz w:val="20"/>
        </w:rPr>
        <w:t>idiotic</w:t>
      </w:r>
      <w:r>
        <w:rPr>
          <w:spacing w:val="-13"/>
          <w:sz w:val="20"/>
        </w:rPr>
        <w:t> </w:t>
      </w:r>
      <w:r>
        <w:rPr>
          <w:sz w:val="20"/>
        </w:rPr>
        <w:t>person.</w:t>
      </w:r>
      <w:r>
        <w:rPr>
          <w:spacing w:val="-14"/>
          <w:sz w:val="20"/>
        </w:rPr>
        <w:t> </w:t>
      </w:r>
      <w:r>
        <w:rPr>
          <w:sz w:val="20"/>
        </w:rPr>
        <w:t>In</w:t>
      </w:r>
      <w:r>
        <w:rPr>
          <w:spacing w:val="-15"/>
          <w:sz w:val="20"/>
        </w:rPr>
        <w:t> </w:t>
      </w:r>
      <w:r>
        <w:rPr>
          <w:sz w:val="20"/>
        </w:rPr>
        <w:t>its</w:t>
      </w:r>
      <w:r>
        <w:rPr>
          <w:spacing w:val="-13"/>
          <w:sz w:val="20"/>
        </w:rPr>
        <w:t> </w:t>
      </w:r>
      <w:r>
        <w:rPr>
          <w:sz w:val="20"/>
        </w:rPr>
        <w:t>general provisions, the Law defines the meaning of “the insane,” “the unconscious,” “the idiotic,” and “the imbecile”</w:t>
      </w:r>
      <w:r>
        <w:rPr>
          <w:spacing w:val="-11"/>
          <w:sz w:val="20"/>
        </w:rPr>
        <w:t> </w:t>
      </w:r>
      <w:r>
        <w:rPr>
          <w:sz w:val="20"/>
        </w:rPr>
        <w:t>and</w:t>
      </w:r>
      <w:r>
        <w:rPr>
          <w:spacing w:val="-11"/>
          <w:sz w:val="20"/>
        </w:rPr>
        <w:t> </w:t>
      </w:r>
      <w:r>
        <w:rPr>
          <w:sz w:val="20"/>
        </w:rPr>
        <w:t>identifies</w:t>
      </w:r>
      <w:r>
        <w:rPr>
          <w:spacing w:val="-10"/>
          <w:sz w:val="20"/>
        </w:rPr>
        <w:t> </w:t>
      </w:r>
      <w:r>
        <w:rPr>
          <w:sz w:val="20"/>
        </w:rPr>
        <w:t>them</w:t>
      </w:r>
      <w:r>
        <w:rPr>
          <w:spacing w:val="-11"/>
          <w:sz w:val="20"/>
        </w:rPr>
        <w:t> </w:t>
      </w:r>
      <w:r>
        <w:rPr>
          <w:sz w:val="20"/>
        </w:rPr>
        <w:t>as</w:t>
      </w:r>
      <w:r>
        <w:rPr>
          <w:spacing w:val="-10"/>
          <w:sz w:val="20"/>
        </w:rPr>
        <w:t> </w:t>
      </w:r>
      <w:r>
        <w:rPr>
          <w:sz w:val="20"/>
        </w:rPr>
        <w:t>persons</w:t>
      </w:r>
      <w:r>
        <w:rPr>
          <w:spacing w:val="-10"/>
          <w:sz w:val="20"/>
        </w:rPr>
        <w:t> </w:t>
      </w:r>
      <w:r>
        <w:rPr>
          <w:sz w:val="20"/>
        </w:rPr>
        <w:t>with</w:t>
      </w:r>
      <w:r>
        <w:rPr>
          <w:spacing w:val="-11"/>
          <w:sz w:val="20"/>
        </w:rPr>
        <w:t> </w:t>
      </w:r>
      <w:r>
        <w:rPr>
          <w:sz w:val="20"/>
        </w:rPr>
        <w:t>psychosocial</w:t>
      </w:r>
      <w:r>
        <w:rPr>
          <w:spacing w:val="-11"/>
          <w:sz w:val="20"/>
        </w:rPr>
        <w:t> </w:t>
      </w:r>
      <w:r>
        <w:rPr>
          <w:sz w:val="20"/>
        </w:rPr>
        <w:t>or</w:t>
      </w:r>
      <w:r>
        <w:rPr>
          <w:spacing w:val="-11"/>
          <w:sz w:val="20"/>
        </w:rPr>
        <w:t> </w:t>
      </w:r>
      <w:r>
        <w:rPr>
          <w:sz w:val="20"/>
        </w:rPr>
        <w:t>intellectual</w:t>
      </w:r>
      <w:r>
        <w:rPr>
          <w:spacing w:val="-11"/>
          <w:sz w:val="20"/>
        </w:rPr>
        <w:t> </w:t>
      </w:r>
      <w:r>
        <w:rPr>
          <w:sz w:val="20"/>
        </w:rPr>
        <w:t>impairments.</w:t>
      </w:r>
      <w:r>
        <w:rPr>
          <w:spacing w:val="-10"/>
          <w:sz w:val="20"/>
        </w:rPr>
        <w:t> </w:t>
      </w:r>
      <w:r>
        <w:rPr>
          <w:sz w:val="20"/>
        </w:rPr>
        <w:t>In</w:t>
      </w:r>
      <w:r>
        <w:rPr>
          <w:spacing w:val="-11"/>
          <w:sz w:val="20"/>
        </w:rPr>
        <w:t> </w:t>
      </w:r>
      <w:r>
        <w:rPr>
          <w:sz w:val="20"/>
        </w:rPr>
        <w:t>Qatar,</w:t>
      </w:r>
      <w:r>
        <w:rPr>
          <w:spacing w:val="-10"/>
          <w:sz w:val="20"/>
        </w:rPr>
        <w:t> </w:t>
      </w:r>
      <w:r>
        <w:rPr>
          <w:sz w:val="20"/>
        </w:rPr>
        <w:t>persons who are incapacitated are subject to a special system of guardianship (Curation or </w:t>
      </w:r>
      <w:r>
        <w:rPr>
          <w:i/>
          <w:sz w:val="21"/>
        </w:rPr>
        <w:t>Qawama</w:t>
      </w:r>
      <w:r>
        <w:rPr>
          <w:sz w:val="20"/>
        </w:rPr>
        <w:t>) pursuant to which a third person is appointed to manage the incapacitated person’s property and affairs. On the regulation of legal capacity in Qatar, see </w:t>
      </w:r>
      <w:r>
        <w:rPr>
          <w:rFonts w:ascii="Calibri" w:hAnsi="Calibri"/>
          <w:sz w:val="22"/>
        </w:rPr>
        <w:t>–– </w:t>
      </w:r>
      <w:r>
        <w:rPr>
          <w:sz w:val="20"/>
        </w:rPr>
        <w:t>Cuenca Gómez, P. (et aliii), “The impact of Article 12 of the Convention</w:t>
      </w:r>
      <w:r>
        <w:rPr>
          <w:spacing w:val="-9"/>
          <w:sz w:val="20"/>
        </w:rPr>
        <w:t> </w:t>
      </w:r>
      <w:r>
        <w:rPr>
          <w:sz w:val="20"/>
        </w:rPr>
        <w:t>on</w:t>
      </w:r>
      <w:r>
        <w:rPr>
          <w:spacing w:val="-9"/>
          <w:sz w:val="20"/>
        </w:rPr>
        <w:t> </w:t>
      </w:r>
      <w:r>
        <w:rPr>
          <w:sz w:val="20"/>
        </w:rPr>
        <w:t>the</w:t>
      </w:r>
      <w:r>
        <w:rPr>
          <w:spacing w:val="-9"/>
          <w:sz w:val="20"/>
        </w:rPr>
        <w:t> </w:t>
      </w:r>
      <w:r>
        <w:rPr>
          <w:sz w:val="20"/>
        </w:rPr>
        <w:t>Rights</w:t>
      </w:r>
      <w:r>
        <w:rPr>
          <w:spacing w:val="-10"/>
          <w:sz w:val="20"/>
        </w:rPr>
        <w:t> </w:t>
      </w:r>
      <w:r>
        <w:rPr>
          <w:sz w:val="20"/>
        </w:rPr>
        <w:t>of</w:t>
      </w:r>
      <w:r>
        <w:rPr>
          <w:spacing w:val="-9"/>
          <w:sz w:val="20"/>
        </w:rPr>
        <w:t> </w:t>
      </w:r>
      <w:r>
        <w:rPr>
          <w:sz w:val="20"/>
        </w:rPr>
        <w:t>Persons</w:t>
      </w:r>
      <w:r>
        <w:rPr>
          <w:spacing w:val="-8"/>
          <w:sz w:val="20"/>
        </w:rPr>
        <w:t> </w:t>
      </w:r>
      <w:r>
        <w:rPr>
          <w:sz w:val="20"/>
        </w:rPr>
        <w:t>with</w:t>
      </w:r>
      <w:r>
        <w:rPr>
          <w:spacing w:val="-9"/>
          <w:sz w:val="20"/>
        </w:rPr>
        <w:t> </w:t>
      </w:r>
      <w:r>
        <w:rPr>
          <w:sz w:val="20"/>
        </w:rPr>
        <w:t>Disabilities</w:t>
      </w:r>
      <w:r>
        <w:rPr>
          <w:spacing w:val="-9"/>
          <w:sz w:val="20"/>
        </w:rPr>
        <w:t> </w:t>
      </w:r>
      <w:r>
        <w:rPr>
          <w:sz w:val="20"/>
        </w:rPr>
        <w:t>in</w:t>
      </w:r>
      <w:r>
        <w:rPr>
          <w:spacing w:val="-9"/>
          <w:sz w:val="20"/>
        </w:rPr>
        <w:t> </w:t>
      </w:r>
      <w:r>
        <w:rPr>
          <w:sz w:val="20"/>
        </w:rPr>
        <w:t>Qatar-s</w:t>
      </w:r>
      <w:r>
        <w:rPr>
          <w:spacing w:val="-8"/>
          <w:sz w:val="20"/>
        </w:rPr>
        <w:t> </w:t>
      </w:r>
      <w:r>
        <w:rPr>
          <w:sz w:val="20"/>
        </w:rPr>
        <w:t>Private</w:t>
      </w:r>
      <w:r>
        <w:rPr>
          <w:spacing w:val="-8"/>
          <w:sz w:val="20"/>
        </w:rPr>
        <w:t> </w:t>
      </w:r>
      <w:r>
        <w:rPr>
          <w:sz w:val="20"/>
        </w:rPr>
        <w:t>Law”,</w:t>
      </w:r>
      <w:r>
        <w:rPr>
          <w:spacing w:val="-9"/>
          <w:sz w:val="20"/>
        </w:rPr>
        <w:t> </w:t>
      </w:r>
      <w:r>
        <w:rPr>
          <w:i/>
          <w:sz w:val="21"/>
        </w:rPr>
        <w:t>The</w:t>
      </w:r>
      <w:r>
        <w:rPr>
          <w:i/>
          <w:spacing w:val="-11"/>
          <w:sz w:val="21"/>
        </w:rPr>
        <w:t> </w:t>
      </w:r>
      <w:r>
        <w:rPr>
          <w:i/>
          <w:sz w:val="21"/>
        </w:rPr>
        <w:t>Age</w:t>
      </w:r>
      <w:r>
        <w:rPr>
          <w:i/>
          <w:spacing w:val="-11"/>
          <w:sz w:val="21"/>
        </w:rPr>
        <w:t> </w:t>
      </w:r>
      <w:r>
        <w:rPr>
          <w:i/>
          <w:sz w:val="21"/>
        </w:rPr>
        <w:t>of</w:t>
      </w:r>
      <w:r>
        <w:rPr>
          <w:i/>
          <w:spacing w:val="-13"/>
          <w:sz w:val="21"/>
        </w:rPr>
        <w:t> </w:t>
      </w:r>
      <w:r>
        <w:rPr>
          <w:i/>
          <w:sz w:val="21"/>
        </w:rPr>
        <w:t>Human</w:t>
      </w:r>
      <w:r>
        <w:rPr>
          <w:i/>
          <w:spacing w:val="-12"/>
          <w:sz w:val="21"/>
        </w:rPr>
        <w:t> </w:t>
      </w:r>
      <w:r>
        <w:rPr>
          <w:i/>
          <w:sz w:val="21"/>
        </w:rPr>
        <w:t>Rights Journal</w:t>
      </w:r>
      <w:r>
        <w:rPr>
          <w:sz w:val="20"/>
        </w:rPr>
        <w:t>,</w:t>
      </w:r>
      <w:r>
        <w:rPr>
          <w:spacing w:val="-9"/>
          <w:sz w:val="20"/>
        </w:rPr>
        <w:t> </w:t>
      </w:r>
      <w:r>
        <w:rPr>
          <w:sz w:val="20"/>
        </w:rPr>
        <w:t>9,</w:t>
      </w:r>
      <w:r>
        <w:rPr>
          <w:spacing w:val="-9"/>
          <w:sz w:val="20"/>
        </w:rPr>
        <w:t> </w:t>
      </w:r>
      <w:r>
        <w:rPr>
          <w:sz w:val="20"/>
        </w:rPr>
        <w:t>2017,</w:t>
      </w:r>
      <w:r>
        <w:rPr>
          <w:spacing w:val="-9"/>
          <w:sz w:val="20"/>
        </w:rPr>
        <w:t> </w:t>
      </w:r>
      <w:r>
        <w:rPr>
          <w:sz w:val="20"/>
        </w:rPr>
        <w:t>[81-104].</w:t>
      </w:r>
      <w:r>
        <w:rPr>
          <w:spacing w:val="-10"/>
          <w:sz w:val="20"/>
        </w:rPr>
        <w:t> </w:t>
      </w:r>
      <w:r>
        <w:rPr>
          <w:sz w:val="20"/>
        </w:rPr>
        <w:t>All</w:t>
      </w:r>
      <w:r>
        <w:rPr>
          <w:spacing w:val="-9"/>
          <w:sz w:val="20"/>
        </w:rPr>
        <w:t> </w:t>
      </w:r>
      <w:r>
        <w:rPr>
          <w:sz w:val="20"/>
        </w:rPr>
        <w:t>these</w:t>
      </w:r>
      <w:r>
        <w:rPr>
          <w:spacing w:val="-9"/>
          <w:sz w:val="20"/>
        </w:rPr>
        <w:t> </w:t>
      </w:r>
      <w:r>
        <w:rPr>
          <w:sz w:val="20"/>
        </w:rPr>
        <w:t>civil</w:t>
      </w:r>
      <w:r>
        <w:rPr>
          <w:spacing w:val="-11"/>
          <w:sz w:val="20"/>
        </w:rPr>
        <w:t> </w:t>
      </w:r>
      <w:r>
        <w:rPr>
          <w:sz w:val="20"/>
        </w:rPr>
        <w:t>provisions</w:t>
      </w:r>
      <w:r>
        <w:rPr>
          <w:spacing w:val="-9"/>
          <w:sz w:val="20"/>
        </w:rPr>
        <w:t> </w:t>
      </w:r>
      <w:r>
        <w:rPr>
          <w:sz w:val="20"/>
        </w:rPr>
        <w:t>are</w:t>
      </w:r>
      <w:r>
        <w:rPr>
          <w:spacing w:val="-9"/>
          <w:sz w:val="20"/>
        </w:rPr>
        <w:t> </w:t>
      </w:r>
      <w:r>
        <w:rPr>
          <w:sz w:val="20"/>
        </w:rPr>
        <w:t>also</w:t>
      </w:r>
      <w:r>
        <w:rPr>
          <w:spacing w:val="-9"/>
          <w:sz w:val="20"/>
        </w:rPr>
        <w:t> </w:t>
      </w:r>
      <w:r>
        <w:rPr>
          <w:sz w:val="20"/>
        </w:rPr>
        <w:t>inspired</w:t>
      </w:r>
      <w:r>
        <w:rPr>
          <w:spacing w:val="-10"/>
          <w:sz w:val="20"/>
        </w:rPr>
        <w:t> </w:t>
      </w:r>
      <w:r>
        <w:rPr>
          <w:sz w:val="20"/>
        </w:rPr>
        <w:t>in</w:t>
      </w:r>
      <w:r>
        <w:rPr>
          <w:spacing w:val="-10"/>
          <w:sz w:val="20"/>
        </w:rPr>
        <w:t> </w:t>
      </w:r>
      <w:r>
        <w:rPr>
          <w:sz w:val="20"/>
        </w:rPr>
        <w:t>Shari’a</w:t>
      </w:r>
      <w:r>
        <w:rPr>
          <w:spacing w:val="-9"/>
          <w:sz w:val="20"/>
        </w:rPr>
        <w:t> </w:t>
      </w:r>
      <w:r>
        <w:rPr>
          <w:sz w:val="20"/>
        </w:rPr>
        <w:t>law</w:t>
      </w:r>
      <w:r>
        <w:rPr>
          <w:spacing w:val="-9"/>
          <w:sz w:val="20"/>
        </w:rPr>
        <w:t> </w:t>
      </w:r>
      <w:r>
        <w:rPr>
          <w:sz w:val="20"/>
        </w:rPr>
        <w:t>and</w:t>
      </w:r>
      <w:r>
        <w:rPr>
          <w:spacing w:val="-10"/>
          <w:sz w:val="20"/>
        </w:rPr>
        <w:t> </w:t>
      </w:r>
      <w:r>
        <w:rPr>
          <w:sz w:val="20"/>
        </w:rPr>
        <w:t>medieval</w:t>
      </w:r>
      <w:r>
        <w:rPr>
          <w:spacing w:val="-9"/>
          <w:sz w:val="20"/>
        </w:rPr>
        <w:t> </w:t>
      </w:r>
      <w:r>
        <w:rPr>
          <w:sz w:val="20"/>
        </w:rPr>
        <w:t>Islamic thought and practices. For discussion about legal capacity in Islam Law see; Ali Altaf, M., “Mental Disability in Medieval Hanafī Legalism,” </w:t>
      </w:r>
      <w:r>
        <w:rPr>
          <w:i/>
          <w:sz w:val="21"/>
        </w:rPr>
        <w:t>Islamic Studies</w:t>
      </w:r>
      <w:r>
        <w:rPr>
          <w:sz w:val="20"/>
        </w:rPr>
        <w:t>, vol. 51(3), 2012,</w:t>
      </w:r>
      <w:r>
        <w:rPr>
          <w:spacing w:val="-36"/>
          <w:sz w:val="20"/>
        </w:rPr>
        <w:t> </w:t>
      </w:r>
      <w:r>
        <w:rPr>
          <w:sz w:val="20"/>
        </w:rPr>
        <w:t>[247-262].</w:t>
      </w:r>
    </w:p>
    <w:p>
      <w:pPr>
        <w:spacing w:line="240" w:lineRule="auto" w:before="0"/>
        <w:ind w:left="393" w:right="105" w:hanging="227"/>
        <w:jc w:val="both"/>
        <w:rPr>
          <w:sz w:val="20"/>
        </w:rPr>
      </w:pPr>
      <w:bookmarkStart w:name="_bookmark86" w:id="88"/>
      <w:bookmarkEnd w:id="88"/>
      <w:r>
        <w:rPr/>
      </w:r>
      <w:r>
        <w:rPr>
          <w:position w:val="7"/>
          <w:sz w:val="13"/>
        </w:rPr>
        <w:t>86</w:t>
      </w:r>
      <w:r>
        <w:rPr>
          <w:spacing w:val="-9"/>
          <w:position w:val="7"/>
          <w:sz w:val="13"/>
        </w:rPr>
        <w:t> </w:t>
      </w:r>
      <w:r>
        <w:rPr>
          <w:sz w:val="20"/>
        </w:rPr>
        <w:t>According</w:t>
      </w:r>
      <w:r>
        <w:rPr>
          <w:spacing w:val="-24"/>
          <w:sz w:val="20"/>
        </w:rPr>
        <w:t> </w:t>
      </w:r>
      <w:r>
        <w:rPr>
          <w:sz w:val="20"/>
        </w:rPr>
        <w:t>to</w:t>
      </w:r>
      <w:r>
        <w:rPr>
          <w:spacing w:val="-25"/>
          <w:sz w:val="20"/>
        </w:rPr>
        <w:t> </w:t>
      </w:r>
      <w:r>
        <w:rPr>
          <w:sz w:val="20"/>
        </w:rPr>
        <w:t>Article</w:t>
      </w:r>
      <w:r>
        <w:rPr>
          <w:spacing w:val="-24"/>
          <w:sz w:val="20"/>
        </w:rPr>
        <w:t> </w:t>
      </w:r>
      <w:r>
        <w:rPr>
          <w:sz w:val="20"/>
        </w:rPr>
        <w:t>19</w:t>
      </w:r>
      <w:r>
        <w:rPr>
          <w:spacing w:val="-24"/>
          <w:sz w:val="20"/>
        </w:rPr>
        <w:t> </w:t>
      </w:r>
      <w:r>
        <w:rPr>
          <w:sz w:val="20"/>
        </w:rPr>
        <w:t>of</w:t>
      </w:r>
      <w:r>
        <w:rPr>
          <w:spacing w:val="-24"/>
          <w:sz w:val="20"/>
        </w:rPr>
        <w:t> </w:t>
      </w:r>
      <w:r>
        <w:rPr>
          <w:i/>
          <w:sz w:val="21"/>
        </w:rPr>
        <w:t>Law</w:t>
      </w:r>
      <w:r>
        <w:rPr>
          <w:i/>
          <w:spacing w:val="-27"/>
          <w:sz w:val="21"/>
        </w:rPr>
        <w:t> </w:t>
      </w:r>
      <w:r>
        <w:rPr>
          <w:i/>
          <w:sz w:val="21"/>
        </w:rPr>
        <w:t>No.16</w:t>
      </w:r>
      <w:r>
        <w:rPr>
          <w:i/>
          <w:spacing w:val="-27"/>
          <w:sz w:val="21"/>
        </w:rPr>
        <w:t> </w:t>
      </w:r>
      <w:r>
        <w:rPr>
          <w:i/>
          <w:sz w:val="21"/>
        </w:rPr>
        <w:t>of</w:t>
      </w:r>
      <w:r>
        <w:rPr>
          <w:i/>
          <w:spacing w:val="-27"/>
          <w:sz w:val="21"/>
        </w:rPr>
        <w:t> </w:t>
      </w:r>
      <w:r>
        <w:rPr>
          <w:i/>
          <w:sz w:val="21"/>
        </w:rPr>
        <w:t>2016</w:t>
      </w:r>
      <w:r>
        <w:rPr>
          <w:i/>
          <w:spacing w:val="-27"/>
          <w:sz w:val="21"/>
        </w:rPr>
        <w:t> </w:t>
      </w:r>
      <w:r>
        <w:rPr>
          <w:i/>
          <w:sz w:val="21"/>
        </w:rPr>
        <w:t>on</w:t>
      </w:r>
      <w:r>
        <w:rPr>
          <w:i/>
          <w:spacing w:val="-27"/>
          <w:sz w:val="21"/>
        </w:rPr>
        <w:t> </w:t>
      </w:r>
      <w:r>
        <w:rPr>
          <w:i/>
          <w:sz w:val="21"/>
        </w:rPr>
        <w:t>Mental</w:t>
      </w:r>
      <w:r>
        <w:rPr>
          <w:i/>
          <w:spacing w:val="-27"/>
          <w:sz w:val="21"/>
        </w:rPr>
        <w:t> </w:t>
      </w:r>
      <w:r>
        <w:rPr>
          <w:i/>
          <w:sz w:val="21"/>
        </w:rPr>
        <w:t>Health</w:t>
      </w:r>
      <w:r>
        <w:rPr>
          <w:sz w:val="20"/>
        </w:rPr>
        <w:t>,</w:t>
      </w:r>
      <w:r>
        <w:rPr>
          <w:spacing w:val="-23"/>
          <w:sz w:val="20"/>
        </w:rPr>
        <w:t> </w:t>
      </w:r>
      <w:r>
        <w:rPr>
          <w:sz w:val="20"/>
        </w:rPr>
        <w:t>in</w:t>
      </w:r>
      <w:r>
        <w:rPr>
          <w:spacing w:val="-24"/>
          <w:sz w:val="20"/>
        </w:rPr>
        <w:t> </w:t>
      </w:r>
      <w:r>
        <w:rPr>
          <w:sz w:val="20"/>
        </w:rPr>
        <w:t>cases</w:t>
      </w:r>
      <w:r>
        <w:rPr>
          <w:spacing w:val="-23"/>
          <w:sz w:val="20"/>
        </w:rPr>
        <w:t> </w:t>
      </w:r>
      <w:r>
        <w:rPr>
          <w:sz w:val="20"/>
        </w:rPr>
        <w:t>of</w:t>
      </w:r>
      <w:r>
        <w:rPr>
          <w:spacing w:val="-24"/>
          <w:sz w:val="20"/>
        </w:rPr>
        <w:t> </w:t>
      </w:r>
      <w:r>
        <w:rPr>
          <w:sz w:val="20"/>
        </w:rPr>
        <w:t>voluntarily</w:t>
      </w:r>
      <w:r>
        <w:rPr>
          <w:spacing w:val="-24"/>
          <w:sz w:val="20"/>
        </w:rPr>
        <w:t> </w:t>
      </w:r>
      <w:r>
        <w:rPr>
          <w:sz w:val="20"/>
        </w:rPr>
        <w:t>admitted</w:t>
      </w:r>
      <w:r>
        <w:rPr>
          <w:spacing w:val="-25"/>
          <w:sz w:val="20"/>
        </w:rPr>
        <w:t> </w:t>
      </w:r>
      <w:r>
        <w:rPr>
          <w:sz w:val="20"/>
        </w:rPr>
        <w:t>psychiatric patients,</w:t>
      </w:r>
      <w:r>
        <w:rPr>
          <w:spacing w:val="-15"/>
          <w:sz w:val="20"/>
        </w:rPr>
        <w:t> </w:t>
      </w:r>
      <w:r>
        <w:rPr>
          <w:sz w:val="20"/>
        </w:rPr>
        <w:t>to</w:t>
      </w:r>
      <w:r>
        <w:rPr>
          <w:spacing w:val="-15"/>
          <w:sz w:val="20"/>
        </w:rPr>
        <w:t> </w:t>
      </w:r>
      <w:r>
        <w:rPr>
          <w:sz w:val="20"/>
        </w:rPr>
        <w:t>administer</w:t>
      </w:r>
      <w:r>
        <w:rPr>
          <w:spacing w:val="-15"/>
          <w:sz w:val="20"/>
        </w:rPr>
        <w:t> </w:t>
      </w:r>
      <w:r>
        <w:rPr>
          <w:sz w:val="20"/>
        </w:rPr>
        <w:t>treatment</w:t>
      </w:r>
      <w:r>
        <w:rPr>
          <w:spacing w:val="-14"/>
          <w:sz w:val="20"/>
        </w:rPr>
        <w:t> </w:t>
      </w:r>
      <w:r>
        <w:rPr>
          <w:sz w:val="20"/>
        </w:rPr>
        <w:t>without</w:t>
      </w:r>
      <w:r>
        <w:rPr>
          <w:spacing w:val="-14"/>
          <w:sz w:val="20"/>
        </w:rPr>
        <w:t> </w:t>
      </w:r>
      <w:r>
        <w:rPr>
          <w:sz w:val="20"/>
        </w:rPr>
        <w:t>the</w:t>
      </w:r>
      <w:r>
        <w:rPr>
          <w:spacing w:val="-15"/>
          <w:sz w:val="20"/>
        </w:rPr>
        <w:t> </w:t>
      </w:r>
      <w:r>
        <w:rPr>
          <w:sz w:val="20"/>
        </w:rPr>
        <w:t>approval</w:t>
      </w:r>
      <w:r>
        <w:rPr>
          <w:spacing w:val="-16"/>
          <w:sz w:val="20"/>
        </w:rPr>
        <w:t> </w:t>
      </w:r>
      <w:r>
        <w:rPr>
          <w:sz w:val="20"/>
        </w:rPr>
        <w:t>of</w:t>
      </w:r>
      <w:r>
        <w:rPr>
          <w:spacing w:val="-15"/>
          <w:sz w:val="20"/>
        </w:rPr>
        <w:t> </w:t>
      </w:r>
      <w:r>
        <w:rPr>
          <w:sz w:val="20"/>
        </w:rPr>
        <w:t>the</w:t>
      </w:r>
      <w:r>
        <w:rPr>
          <w:spacing w:val="-14"/>
          <w:sz w:val="20"/>
        </w:rPr>
        <w:t> </w:t>
      </w:r>
      <w:r>
        <w:rPr>
          <w:sz w:val="20"/>
        </w:rPr>
        <w:t>patient</w:t>
      </w:r>
      <w:r>
        <w:rPr>
          <w:spacing w:val="-15"/>
          <w:sz w:val="20"/>
        </w:rPr>
        <w:t> </w:t>
      </w:r>
      <w:r>
        <w:rPr>
          <w:sz w:val="20"/>
        </w:rPr>
        <w:t>shall</w:t>
      </w:r>
      <w:r>
        <w:rPr>
          <w:spacing w:val="-14"/>
          <w:sz w:val="20"/>
        </w:rPr>
        <w:t> </w:t>
      </w:r>
      <w:r>
        <w:rPr>
          <w:sz w:val="20"/>
        </w:rPr>
        <w:t>be</w:t>
      </w:r>
      <w:r>
        <w:rPr>
          <w:spacing w:val="-14"/>
          <w:sz w:val="20"/>
        </w:rPr>
        <w:t> </w:t>
      </w:r>
      <w:r>
        <w:rPr>
          <w:sz w:val="20"/>
        </w:rPr>
        <w:t>permissible</w:t>
      </w:r>
      <w:r>
        <w:rPr>
          <w:spacing w:val="-14"/>
          <w:sz w:val="20"/>
        </w:rPr>
        <w:t> </w:t>
      </w:r>
      <w:r>
        <w:rPr>
          <w:sz w:val="20"/>
        </w:rPr>
        <w:t>if</w:t>
      </w:r>
      <w:r>
        <w:rPr>
          <w:spacing w:val="-14"/>
          <w:sz w:val="20"/>
        </w:rPr>
        <w:t> </w:t>
      </w:r>
      <w:r>
        <w:rPr>
          <w:sz w:val="20"/>
        </w:rPr>
        <w:t>it</w:t>
      </w:r>
      <w:r>
        <w:rPr>
          <w:spacing w:val="-14"/>
          <w:sz w:val="20"/>
        </w:rPr>
        <w:t> </w:t>
      </w:r>
      <w:r>
        <w:rPr>
          <w:sz w:val="20"/>
        </w:rPr>
        <w:t>is</w:t>
      </w:r>
      <w:r>
        <w:rPr>
          <w:spacing w:val="-14"/>
          <w:sz w:val="20"/>
        </w:rPr>
        <w:t> </w:t>
      </w:r>
      <w:r>
        <w:rPr>
          <w:sz w:val="20"/>
        </w:rPr>
        <w:t>necessary “to prevent an imminent deterioration of the physical or psychological condition of the patient, or to prevent</w:t>
      </w:r>
      <w:r>
        <w:rPr>
          <w:spacing w:val="-14"/>
          <w:sz w:val="20"/>
        </w:rPr>
        <w:t> </w:t>
      </w:r>
      <w:r>
        <w:rPr>
          <w:sz w:val="20"/>
        </w:rPr>
        <w:t>a</w:t>
      </w:r>
      <w:r>
        <w:rPr>
          <w:spacing w:val="-15"/>
          <w:sz w:val="20"/>
        </w:rPr>
        <w:t> </w:t>
      </w:r>
      <w:r>
        <w:rPr>
          <w:sz w:val="20"/>
        </w:rPr>
        <w:t>significant</w:t>
      </w:r>
      <w:r>
        <w:rPr>
          <w:spacing w:val="-14"/>
          <w:sz w:val="20"/>
        </w:rPr>
        <w:t> </w:t>
      </w:r>
      <w:r>
        <w:rPr>
          <w:sz w:val="20"/>
        </w:rPr>
        <w:t>danger</w:t>
      </w:r>
      <w:r>
        <w:rPr>
          <w:spacing w:val="-15"/>
          <w:sz w:val="20"/>
        </w:rPr>
        <w:t> </w:t>
      </w:r>
      <w:r>
        <w:rPr>
          <w:sz w:val="20"/>
        </w:rPr>
        <w:t>threatening</w:t>
      </w:r>
      <w:r>
        <w:rPr>
          <w:spacing w:val="-15"/>
          <w:sz w:val="20"/>
        </w:rPr>
        <w:t> </w:t>
      </w:r>
      <w:r>
        <w:rPr>
          <w:sz w:val="20"/>
        </w:rPr>
        <w:t>the</w:t>
      </w:r>
      <w:r>
        <w:rPr>
          <w:spacing w:val="-14"/>
          <w:sz w:val="20"/>
        </w:rPr>
        <w:t> </w:t>
      </w:r>
      <w:r>
        <w:rPr>
          <w:sz w:val="20"/>
        </w:rPr>
        <w:t>life</w:t>
      </w:r>
      <w:r>
        <w:rPr>
          <w:spacing w:val="-15"/>
          <w:sz w:val="20"/>
        </w:rPr>
        <w:t> </w:t>
      </w:r>
      <w:r>
        <w:rPr>
          <w:sz w:val="20"/>
        </w:rPr>
        <w:t>or</w:t>
      </w:r>
      <w:r>
        <w:rPr>
          <w:spacing w:val="-15"/>
          <w:sz w:val="20"/>
        </w:rPr>
        <w:t> </w:t>
      </w:r>
      <w:r>
        <w:rPr>
          <w:sz w:val="20"/>
        </w:rPr>
        <w:t>health</w:t>
      </w:r>
      <w:r>
        <w:rPr>
          <w:spacing w:val="-16"/>
          <w:sz w:val="20"/>
        </w:rPr>
        <w:t> </w:t>
      </w:r>
      <w:r>
        <w:rPr>
          <w:sz w:val="20"/>
        </w:rPr>
        <w:t>of</w:t>
      </w:r>
      <w:r>
        <w:rPr>
          <w:spacing w:val="-15"/>
          <w:sz w:val="20"/>
        </w:rPr>
        <w:t> </w:t>
      </w:r>
      <w:r>
        <w:rPr>
          <w:sz w:val="20"/>
        </w:rPr>
        <w:t>the</w:t>
      </w:r>
      <w:r>
        <w:rPr>
          <w:spacing w:val="-15"/>
          <w:sz w:val="20"/>
        </w:rPr>
        <w:t> </w:t>
      </w:r>
      <w:r>
        <w:rPr>
          <w:sz w:val="20"/>
        </w:rPr>
        <w:t>psychiatric</w:t>
      </w:r>
      <w:r>
        <w:rPr>
          <w:spacing w:val="-16"/>
          <w:sz w:val="20"/>
        </w:rPr>
        <w:t> </w:t>
      </w:r>
      <w:r>
        <w:rPr>
          <w:sz w:val="20"/>
        </w:rPr>
        <w:t>patient</w:t>
      </w:r>
      <w:r>
        <w:rPr>
          <w:spacing w:val="-14"/>
          <w:sz w:val="20"/>
        </w:rPr>
        <w:t> </w:t>
      </w:r>
      <w:r>
        <w:rPr>
          <w:sz w:val="20"/>
        </w:rPr>
        <w:t>or</w:t>
      </w:r>
      <w:r>
        <w:rPr>
          <w:spacing w:val="-16"/>
          <w:sz w:val="20"/>
        </w:rPr>
        <w:t> </w:t>
      </w:r>
      <w:r>
        <w:rPr>
          <w:sz w:val="20"/>
        </w:rPr>
        <w:t>others.”</w:t>
      </w:r>
      <w:r>
        <w:rPr>
          <w:spacing w:val="-14"/>
          <w:sz w:val="20"/>
        </w:rPr>
        <w:t> </w:t>
      </w:r>
      <w:r>
        <w:rPr>
          <w:sz w:val="20"/>
        </w:rPr>
        <w:t>The</w:t>
      </w:r>
      <w:r>
        <w:rPr>
          <w:spacing w:val="-14"/>
          <w:sz w:val="20"/>
        </w:rPr>
        <w:t> </w:t>
      </w:r>
      <w:r>
        <w:rPr>
          <w:sz w:val="20"/>
        </w:rPr>
        <w:t>period within which that treatment is taken should not exceed seventy-two</w:t>
      </w:r>
      <w:r>
        <w:rPr>
          <w:spacing w:val="-12"/>
          <w:sz w:val="20"/>
        </w:rPr>
        <w:t> </w:t>
      </w:r>
      <w:r>
        <w:rPr>
          <w:sz w:val="20"/>
        </w:rPr>
        <w:t>hours.</w:t>
      </w:r>
    </w:p>
    <w:p>
      <w:pPr>
        <w:spacing w:after="0" w:line="240" w:lineRule="auto"/>
        <w:jc w:val="both"/>
        <w:rPr>
          <w:sz w:val="20"/>
        </w:rPr>
        <w:sectPr>
          <w:pgSz w:w="11910" w:h="16840"/>
          <w:pgMar w:header="0" w:footer="523" w:top="1320" w:bottom="720" w:left="940" w:right="1320"/>
        </w:sectPr>
      </w:pPr>
    </w:p>
    <w:p>
      <w:pPr>
        <w:pStyle w:val="BodyText"/>
        <w:spacing w:before="82"/>
        <w:ind w:left="397" w:right="106"/>
        <w:jc w:val="both"/>
        <w:rPr>
          <w:sz w:val="16"/>
        </w:rPr>
      </w:pPr>
      <w:r>
        <w:rPr/>
        <w:t>must receive information on any treatment “in terms of medical, psychological, behavioral or electroconvulsive therapy.” But if they refrain from taking the prescribed treatment, “the treatment psychiatrist shall be entitled to oblige him/her to take the treatment.” In this case, the law provides some safeguards: the revision of treatment once</w:t>
      </w:r>
      <w:r>
        <w:rPr>
          <w:spacing w:val="-13"/>
        </w:rPr>
        <w:t> </w:t>
      </w:r>
      <w:r>
        <w:rPr/>
        <w:t>per</w:t>
      </w:r>
      <w:r>
        <w:rPr>
          <w:spacing w:val="-11"/>
        </w:rPr>
        <w:t> </w:t>
      </w:r>
      <w:r>
        <w:rPr/>
        <w:t>thirty</w:t>
      </w:r>
      <w:r>
        <w:rPr>
          <w:spacing w:val="-12"/>
        </w:rPr>
        <w:t> </w:t>
      </w:r>
      <w:r>
        <w:rPr/>
        <w:t>days</w:t>
      </w:r>
      <w:r>
        <w:rPr>
          <w:spacing w:val="-12"/>
        </w:rPr>
        <w:t> </w:t>
      </w:r>
      <w:r>
        <w:rPr/>
        <w:t>at</w:t>
      </w:r>
      <w:r>
        <w:rPr>
          <w:spacing w:val="-12"/>
        </w:rPr>
        <w:t> </w:t>
      </w:r>
      <w:r>
        <w:rPr/>
        <w:t>least;</w:t>
      </w:r>
      <w:r>
        <w:rPr>
          <w:spacing w:val="-12"/>
        </w:rPr>
        <w:t> </w:t>
      </w:r>
      <w:r>
        <w:rPr/>
        <w:t>the</w:t>
      </w:r>
      <w:r>
        <w:rPr>
          <w:spacing w:val="-11"/>
        </w:rPr>
        <w:t> </w:t>
      </w:r>
      <w:r>
        <w:rPr/>
        <w:t>reconsideration</w:t>
      </w:r>
      <w:r>
        <w:rPr>
          <w:spacing w:val="-13"/>
        </w:rPr>
        <w:t> </w:t>
      </w:r>
      <w:r>
        <w:rPr/>
        <w:t>of</w:t>
      </w:r>
      <w:r>
        <w:rPr>
          <w:spacing w:val="-12"/>
        </w:rPr>
        <w:t> </w:t>
      </w:r>
      <w:r>
        <w:rPr/>
        <w:t>such</w:t>
      </w:r>
      <w:r>
        <w:rPr>
          <w:spacing w:val="-13"/>
        </w:rPr>
        <w:t> </w:t>
      </w:r>
      <w:r>
        <w:rPr/>
        <w:t>treatment</w:t>
      </w:r>
      <w:r>
        <w:rPr>
          <w:spacing w:val="-12"/>
        </w:rPr>
        <w:t> </w:t>
      </w:r>
      <w:r>
        <w:rPr/>
        <w:t>when</w:t>
      </w:r>
      <w:r>
        <w:rPr>
          <w:spacing w:val="-11"/>
        </w:rPr>
        <w:t> </w:t>
      </w:r>
      <w:r>
        <w:rPr/>
        <w:t>the</w:t>
      </w:r>
      <w:r>
        <w:rPr>
          <w:spacing w:val="-13"/>
        </w:rPr>
        <w:t> </w:t>
      </w:r>
      <w:r>
        <w:rPr/>
        <w:t>attending psychiatrist makes a fundamental change in the authorised treatment plan; and the necessity</w:t>
      </w:r>
      <w:r>
        <w:rPr>
          <w:spacing w:val="-15"/>
        </w:rPr>
        <w:t> </w:t>
      </w:r>
      <w:r>
        <w:rPr/>
        <w:t>of</w:t>
      </w:r>
      <w:r>
        <w:rPr>
          <w:spacing w:val="-15"/>
        </w:rPr>
        <w:t> </w:t>
      </w:r>
      <w:r>
        <w:rPr/>
        <w:t>an</w:t>
      </w:r>
      <w:r>
        <w:rPr>
          <w:spacing w:val="-17"/>
        </w:rPr>
        <w:t> </w:t>
      </w:r>
      <w:r>
        <w:rPr/>
        <w:t>independent</w:t>
      </w:r>
      <w:r>
        <w:rPr>
          <w:spacing w:val="-17"/>
        </w:rPr>
        <w:t> </w:t>
      </w:r>
      <w:r>
        <w:rPr/>
        <w:t>medical</w:t>
      </w:r>
      <w:r>
        <w:rPr>
          <w:spacing w:val="-16"/>
        </w:rPr>
        <w:t> </w:t>
      </w:r>
      <w:r>
        <w:rPr/>
        <w:t>assessment</w:t>
      </w:r>
      <w:r>
        <w:rPr>
          <w:spacing w:val="-16"/>
        </w:rPr>
        <w:t> </w:t>
      </w:r>
      <w:r>
        <w:rPr/>
        <w:t>if</w:t>
      </w:r>
      <w:r>
        <w:rPr>
          <w:spacing w:val="-17"/>
        </w:rPr>
        <w:t> </w:t>
      </w:r>
      <w:r>
        <w:rPr/>
        <w:t>the</w:t>
      </w:r>
      <w:r>
        <w:rPr>
          <w:spacing w:val="-18"/>
        </w:rPr>
        <w:t> </w:t>
      </w:r>
      <w:r>
        <w:rPr/>
        <w:t>treatment</w:t>
      </w:r>
      <w:r>
        <w:rPr>
          <w:spacing w:val="-17"/>
        </w:rPr>
        <w:t> </w:t>
      </w:r>
      <w:r>
        <w:rPr/>
        <w:t>period</w:t>
      </w:r>
      <w:r>
        <w:rPr>
          <w:spacing w:val="-17"/>
        </w:rPr>
        <w:t> </w:t>
      </w:r>
      <w:r>
        <w:rPr/>
        <w:t>exceeds</w:t>
      </w:r>
      <w:r>
        <w:rPr>
          <w:spacing w:val="-16"/>
        </w:rPr>
        <w:t> </w:t>
      </w:r>
      <w:r>
        <w:rPr/>
        <w:t>ninety days.</w:t>
      </w:r>
      <w:hyperlink w:history="true" w:anchor="_bookmark87">
        <w:r>
          <w:rPr>
            <w:position w:val="8"/>
            <w:sz w:val="16"/>
          </w:rPr>
          <w:t>87</w:t>
        </w:r>
      </w:hyperlink>
    </w:p>
    <w:p>
      <w:pPr>
        <w:pStyle w:val="BodyText"/>
        <w:spacing w:before="11"/>
        <w:rPr>
          <w:sz w:val="23"/>
        </w:rPr>
      </w:pPr>
    </w:p>
    <w:p>
      <w:pPr>
        <w:pStyle w:val="BodyText"/>
        <w:ind w:left="397" w:right="105"/>
        <w:jc w:val="both"/>
        <w:rPr>
          <w:sz w:val="16"/>
        </w:rPr>
      </w:pPr>
      <w:r>
        <w:rPr/>
        <w:t>The Law allows the placement of a “psychiatric patient” in an isolation room when it</w:t>
      </w:r>
      <w:r>
        <w:rPr>
          <w:spacing w:val="-40"/>
        </w:rPr>
        <w:t> </w:t>
      </w:r>
      <w:r>
        <w:rPr/>
        <w:t>is determined necessary by the attending psychiatrist. </w:t>
      </w:r>
      <w:hyperlink w:history="true" w:anchor="_bookmark88">
        <w:r>
          <w:rPr>
            <w:position w:val="8"/>
            <w:sz w:val="16"/>
          </w:rPr>
          <w:t>88 </w:t>
        </w:r>
      </w:hyperlink>
      <w:r>
        <w:rPr/>
        <w:t>It also establishes that the patient may be subject to scientific research, with his or her written approval; or the approval</w:t>
      </w:r>
      <w:r>
        <w:rPr>
          <w:spacing w:val="-5"/>
        </w:rPr>
        <w:t> </w:t>
      </w:r>
      <w:r>
        <w:rPr/>
        <w:t>of</w:t>
      </w:r>
      <w:r>
        <w:rPr>
          <w:spacing w:val="-5"/>
        </w:rPr>
        <w:t> </w:t>
      </w:r>
      <w:r>
        <w:rPr/>
        <w:t>the</w:t>
      </w:r>
      <w:r>
        <w:rPr>
          <w:spacing w:val="-6"/>
        </w:rPr>
        <w:t> </w:t>
      </w:r>
      <w:r>
        <w:rPr/>
        <w:t>guardian,</w:t>
      </w:r>
      <w:r>
        <w:rPr>
          <w:spacing w:val="-5"/>
        </w:rPr>
        <w:t> </w:t>
      </w:r>
      <w:r>
        <w:rPr/>
        <w:t>or</w:t>
      </w:r>
      <w:r>
        <w:rPr>
          <w:spacing w:val="-4"/>
        </w:rPr>
        <w:t> </w:t>
      </w:r>
      <w:r>
        <w:rPr/>
        <w:t>the</w:t>
      </w:r>
      <w:r>
        <w:rPr>
          <w:spacing w:val="-4"/>
        </w:rPr>
        <w:t> </w:t>
      </w:r>
      <w:r>
        <w:rPr/>
        <w:t>competent</w:t>
      </w:r>
      <w:r>
        <w:rPr>
          <w:spacing w:val="-5"/>
        </w:rPr>
        <w:t> </w:t>
      </w:r>
      <w:r>
        <w:rPr/>
        <w:t>bodies</w:t>
      </w:r>
      <w:r>
        <w:rPr>
          <w:spacing w:val="-6"/>
        </w:rPr>
        <w:t> </w:t>
      </w:r>
      <w:r>
        <w:rPr/>
        <w:t>of</w:t>
      </w:r>
      <w:r>
        <w:rPr>
          <w:spacing w:val="-5"/>
        </w:rPr>
        <w:t> </w:t>
      </w:r>
      <w:r>
        <w:rPr/>
        <w:t>the</w:t>
      </w:r>
      <w:r>
        <w:rPr>
          <w:spacing w:val="-5"/>
        </w:rPr>
        <w:t> </w:t>
      </w:r>
      <w:r>
        <w:rPr/>
        <w:t>State</w:t>
      </w:r>
      <w:r>
        <w:rPr>
          <w:spacing w:val="-5"/>
        </w:rPr>
        <w:t> </w:t>
      </w:r>
      <w:r>
        <w:rPr/>
        <w:t>(if</w:t>
      </w:r>
      <w:r>
        <w:rPr>
          <w:spacing w:val="-5"/>
        </w:rPr>
        <w:t> </w:t>
      </w:r>
      <w:r>
        <w:rPr/>
        <w:t>the</w:t>
      </w:r>
      <w:r>
        <w:rPr>
          <w:spacing w:val="-4"/>
        </w:rPr>
        <w:t> </w:t>
      </w:r>
      <w:r>
        <w:rPr/>
        <w:t>patient</w:t>
      </w:r>
      <w:r>
        <w:rPr>
          <w:spacing w:val="-5"/>
        </w:rPr>
        <w:t> </w:t>
      </w:r>
      <w:r>
        <w:rPr/>
        <w:t>does</w:t>
      </w:r>
      <w:r>
        <w:rPr>
          <w:spacing w:val="-5"/>
        </w:rPr>
        <w:t> </w:t>
      </w:r>
      <w:r>
        <w:rPr/>
        <w:t>not have a guardian).</w:t>
      </w:r>
      <w:hyperlink w:history="true" w:anchor="_bookmark89">
        <w:r>
          <w:rPr>
            <w:position w:val="8"/>
            <w:sz w:val="16"/>
          </w:rPr>
          <w:t>89 </w:t>
        </w:r>
      </w:hyperlink>
      <w:r>
        <w:rPr/>
        <w:t>Electroconvulsive therapy is permitted, “under general anesthesia” and using a muscle relaxant. Written consent must be obtained from the patients or their guardians, if they are legally incompetent, after providing information about the nature</w:t>
      </w:r>
      <w:r>
        <w:rPr>
          <w:spacing w:val="-15"/>
        </w:rPr>
        <w:t> </w:t>
      </w:r>
      <w:r>
        <w:rPr/>
        <w:t>of</w:t>
      </w:r>
      <w:r>
        <w:rPr>
          <w:spacing w:val="-15"/>
        </w:rPr>
        <w:t> </w:t>
      </w:r>
      <w:r>
        <w:rPr/>
        <w:t>the</w:t>
      </w:r>
      <w:r>
        <w:rPr>
          <w:spacing w:val="-14"/>
        </w:rPr>
        <w:t> </w:t>
      </w:r>
      <w:r>
        <w:rPr/>
        <w:t>treatment,</w:t>
      </w:r>
      <w:r>
        <w:rPr>
          <w:spacing w:val="-15"/>
        </w:rPr>
        <w:t> </w:t>
      </w:r>
      <w:r>
        <w:rPr/>
        <w:t>its</w:t>
      </w:r>
      <w:r>
        <w:rPr>
          <w:spacing w:val="-15"/>
        </w:rPr>
        <w:t> </w:t>
      </w:r>
      <w:r>
        <w:rPr/>
        <w:t>purpose</w:t>
      </w:r>
      <w:r>
        <w:rPr>
          <w:spacing w:val="-14"/>
        </w:rPr>
        <w:t> </w:t>
      </w:r>
      <w:r>
        <w:rPr/>
        <w:t>and</w:t>
      </w:r>
      <w:r>
        <w:rPr>
          <w:spacing w:val="-15"/>
        </w:rPr>
        <w:t> </w:t>
      </w:r>
      <w:r>
        <w:rPr/>
        <w:t>its</w:t>
      </w:r>
      <w:r>
        <w:rPr>
          <w:spacing w:val="-17"/>
        </w:rPr>
        <w:t> </w:t>
      </w:r>
      <w:r>
        <w:rPr/>
        <w:t>negative</w:t>
      </w:r>
      <w:r>
        <w:rPr>
          <w:spacing w:val="-15"/>
        </w:rPr>
        <w:t> </w:t>
      </w:r>
      <w:r>
        <w:rPr/>
        <w:t>effects.</w:t>
      </w:r>
      <w:r>
        <w:rPr>
          <w:spacing w:val="-13"/>
        </w:rPr>
        <w:t> </w:t>
      </w:r>
      <w:r>
        <w:rPr/>
        <w:t>The</w:t>
      </w:r>
      <w:r>
        <w:rPr>
          <w:spacing w:val="-15"/>
        </w:rPr>
        <w:t> </w:t>
      </w:r>
      <w:r>
        <w:rPr/>
        <w:t>law</w:t>
      </w:r>
      <w:r>
        <w:rPr>
          <w:spacing w:val="-14"/>
        </w:rPr>
        <w:t> </w:t>
      </w:r>
      <w:r>
        <w:rPr/>
        <w:t>adds</w:t>
      </w:r>
      <w:r>
        <w:rPr>
          <w:spacing w:val="-14"/>
        </w:rPr>
        <w:t> </w:t>
      </w:r>
      <w:r>
        <w:rPr/>
        <w:t>that</w:t>
      </w:r>
      <w:r>
        <w:rPr>
          <w:spacing w:val="-14"/>
        </w:rPr>
        <w:t> </w:t>
      </w:r>
      <w:r>
        <w:rPr/>
        <w:t>in</w:t>
      </w:r>
      <w:r>
        <w:rPr>
          <w:spacing w:val="-15"/>
        </w:rPr>
        <w:t> </w:t>
      </w:r>
      <w:r>
        <w:rPr/>
        <w:t>cases where an involuntarily admitted “psychiatric patient” or their guardian refuses this treatment,</w:t>
      </w:r>
      <w:r>
        <w:rPr>
          <w:spacing w:val="-20"/>
        </w:rPr>
        <w:t> </w:t>
      </w:r>
      <w:r>
        <w:rPr/>
        <w:t>even</w:t>
      </w:r>
      <w:r>
        <w:rPr>
          <w:spacing w:val="-18"/>
        </w:rPr>
        <w:t> </w:t>
      </w:r>
      <w:r>
        <w:rPr/>
        <w:t>though</w:t>
      </w:r>
      <w:r>
        <w:rPr>
          <w:spacing w:val="-19"/>
        </w:rPr>
        <w:t> </w:t>
      </w:r>
      <w:r>
        <w:rPr/>
        <w:t>it</w:t>
      </w:r>
      <w:r>
        <w:rPr>
          <w:spacing w:val="-19"/>
        </w:rPr>
        <w:t> </w:t>
      </w:r>
      <w:r>
        <w:rPr/>
        <w:t>is</w:t>
      </w:r>
      <w:r>
        <w:rPr>
          <w:spacing w:val="-20"/>
        </w:rPr>
        <w:t> </w:t>
      </w:r>
      <w:r>
        <w:rPr/>
        <w:t>deemed</w:t>
      </w:r>
      <w:r>
        <w:rPr>
          <w:spacing w:val="-19"/>
        </w:rPr>
        <w:t> </w:t>
      </w:r>
      <w:r>
        <w:rPr/>
        <w:t>necessary</w:t>
      </w:r>
      <w:r>
        <w:rPr>
          <w:spacing w:val="-18"/>
        </w:rPr>
        <w:t> </w:t>
      </w:r>
      <w:r>
        <w:rPr/>
        <w:t>for</w:t>
      </w:r>
      <w:r>
        <w:rPr>
          <w:spacing w:val="-20"/>
        </w:rPr>
        <w:t> </w:t>
      </w:r>
      <w:r>
        <w:rPr/>
        <w:t>their</w:t>
      </w:r>
      <w:r>
        <w:rPr>
          <w:spacing w:val="-21"/>
        </w:rPr>
        <w:t> </w:t>
      </w:r>
      <w:r>
        <w:rPr/>
        <w:t>condition,</w:t>
      </w:r>
      <w:r>
        <w:rPr>
          <w:spacing w:val="-19"/>
        </w:rPr>
        <w:t> </w:t>
      </w:r>
      <w:r>
        <w:rPr/>
        <w:t>he/she</w:t>
      </w:r>
      <w:r>
        <w:rPr>
          <w:spacing w:val="-19"/>
        </w:rPr>
        <w:t> </w:t>
      </w:r>
      <w:r>
        <w:rPr/>
        <w:t>can</w:t>
      </w:r>
      <w:r>
        <w:rPr>
          <w:spacing w:val="-19"/>
        </w:rPr>
        <w:t> </w:t>
      </w:r>
      <w:r>
        <w:rPr/>
        <w:t>be</w:t>
      </w:r>
      <w:r>
        <w:rPr>
          <w:spacing w:val="-19"/>
        </w:rPr>
        <w:t> </w:t>
      </w:r>
      <w:r>
        <w:rPr/>
        <w:t>forced to receive it after an independent medical</w:t>
      </w:r>
      <w:r>
        <w:rPr>
          <w:spacing w:val="-3"/>
        </w:rPr>
        <w:t> </w:t>
      </w:r>
      <w:r>
        <w:rPr/>
        <w:t>evaluation.</w:t>
      </w:r>
      <w:hyperlink w:history="true" w:anchor="_bookmark90">
        <w:r>
          <w:rPr>
            <w:position w:val="8"/>
            <w:sz w:val="16"/>
          </w:rPr>
          <w:t>90</w:t>
        </w:r>
      </w:hyperlink>
    </w:p>
    <w:p>
      <w:pPr>
        <w:pStyle w:val="BodyText"/>
      </w:pPr>
    </w:p>
    <w:p>
      <w:pPr>
        <w:pStyle w:val="BodyText"/>
        <w:ind w:left="398" w:right="106"/>
        <w:jc w:val="both"/>
      </w:pPr>
      <w:r>
        <w:rPr/>
        <w:t>The regulation of involuntary admission in the Mental Health Law is contrary to the CRPD Committee’s interpretation of the Art 14 since it implies a special regime of deprivation of liberty based on psychosocial disability linked to additional factors (such as</w:t>
      </w:r>
      <w:r>
        <w:rPr>
          <w:spacing w:val="-5"/>
        </w:rPr>
        <w:t> </w:t>
      </w:r>
      <w:r>
        <w:rPr/>
        <w:t>the</w:t>
      </w:r>
      <w:r>
        <w:rPr>
          <w:spacing w:val="-4"/>
        </w:rPr>
        <w:t> </w:t>
      </w:r>
      <w:r>
        <w:rPr/>
        <w:t>need</w:t>
      </w:r>
      <w:r>
        <w:rPr>
          <w:spacing w:val="-4"/>
        </w:rPr>
        <w:t> </w:t>
      </w:r>
      <w:r>
        <w:rPr/>
        <w:t>for</w:t>
      </w:r>
      <w:r>
        <w:rPr>
          <w:spacing w:val="-4"/>
        </w:rPr>
        <w:t> </w:t>
      </w:r>
      <w:r>
        <w:rPr/>
        <w:t>treatment</w:t>
      </w:r>
      <w:r>
        <w:rPr>
          <w:spacing w:val="-4"/>
        </w:rPr>
        <w:t> </w:t>
      </w:r>
      <w:r>
        <w:rPr/>
        <w:t>or</w:t>
      </w:r>
      <w:r>
        <w:rPr>
          <w:spacing w:val="-4"/>
        </w:rPr>
        <w:t> </w:t>
      </w:r>
      <w:r>
        <w:rPr/>
        <w:t>care;</w:t>
      </w:r>
      <w:r>
        <w:rPr>
          <w:spacing w:val="-4"/>
        </w:rPr>
        <w:t> </w:t>
      </w:r>
      <w:r>
        <w:rPr/>
        <w:t>protection</w:t>
      </w:r>
      <w:r>
        <w:rPr>
          <w:spacing w:val="-4"/>
        </w:rPr>
        <w:t> </w:t>
      </w:r>
      <w:r>
        <w:rPr/>
        <w:t>of</w:t>
      </w:r>
      <w:r>
        <w:rPr>
          <w:spacing w:val="-5"/>
        </w:rPr>
        <w:t> </w:t>
      </w:r>
      <w:r>
        <w:rPr/>
        <w:t>the</w:t>
      </w:r>
      <w:r>
        <w:rPr>
          <w:spacing w:val="-4"/>
        </w:rPr>
        <w:t> </w:t>
      </w:r>
      <w:r>
        <w:rPr/>
        <w:t>safety,</w:t>
      </w:r>
      <w:r>
        <w:rPr>
          <w:spacing w:val="-4"/>
        </w:rPr>
        <w:t> </w:t>
      </w:r>
      <w:r>
        <w:rPr/>
        <w:t>the</w:t>
      </w:r>
      <w:r>
        <w:rPr>
          <w:spacing w:val="-4"/>
        </w:rPr>
        <w:t> </w:t>
      </w:r>
      <w:r>
        <w:rPr/>
        <w:t>right</w:t>
      </w:r>
      <w:r>
        <w:rPr>
          <w:spacing w:val="-4"/>
        </w:rPr>
        <w:t> </w:t>
      </w:r>
      <w:r>
        <w:rPr/>
        <w:t>to</w:t>
      </w:r>
      <w:r>
        <w:rPr>
          <w:spacing w:val="-5"/>
        </w:rPr>
        <w:t> </w:t>
      </w:r>
      <w:r>
        <w:rPr/>
        <w:t>life</w:t>
      </w:r>
      <w:r>
        <w:rPr>
          <w:spacing w:val="-5"/>
        </w:rPr>
        <w:t> </w:t>
      </w:r>
      <w:r>
        <w:rPr/>
        <w:t>or</w:t>
      </w:r>
      <w:r>
        <w:rPr>
          <w:spacing w:val="-5"/>
        </w:rPr>
        <w:t> </w:t>
      </w:r>
      <w:r>
        <w:rPr/>
        <w:t>the</w:t>
      </w:r>
      <w:r>
        <w:rPr>
          <w:spacing w:val="-4"/>
        </w:rPr>
        <w:t> </w:t>
      </w:r>
      <w:r>
        <w:rPr/>
        <w:t>right to health of the patient or of other persons; or the risk of harm to self or others</w:t>
      </w:r>
      <w:hyperlink w:history="true" w:anchor="_bookmark91">
        <w:r>
          <w:rPr>
            <w:position w:val="8"/>
            <w:sz w:val="16"/>
          </w:rPr>
          <w:t>91</w:t>
        </w:r>
      </w:hyperlink>
      <w:r>
        <w:rPr/>
        <w:t>). These</w:t>
      </w:r>
      <w:r>
        <w:rPr>
          <w:spacing w:val="-19"/>
        </w:rPr>
        <w:t> </w:t>
      </w:r>
      <w:r>
        <w:rPr/>
        <w:t>justifications</w:t>
      </w:r>
      <w:r>
        <w:rPr>
          <w:spacing w:val="-20"/>
        </w:rPr>
        <w:t> </w:t>
      </w:r>
      <w:r>
        <w:rPr/>
        <w:t>for</w:t>
      </w:r>
      <w:r>
        <w:rPr>
          <w:spacing w:val="-19"/>
        </w:rPr>
        <w:t> </w:t>
      </w:r>
      <w:r>
        <w:rPr/>
        <w:t>special</w:t>
      </w:r>
      <w:r>
        <w:rPr>
          <w:spacing w:val="-18"/>
        </w:rPr>
        <w:t> </w:t>
      </w:r>
      <w:r>
        <w:rPr/>
        <w:t>detention</w:t>
      </w:r>
      <w:r>
        <w:rPr>
          <w:spacing w:val="-18"/>
        </w:rPr>
        <w:t> </w:t>
      </w:r>
      <w:r>
        <w:rPr/>
        <w:t>of</w:t>
      </w:r>
      <w:r>
        <w:rPr>
          <w:spacing w:val="-18"/>
        </w:rPr>
        <w:t> </w:t>
      </w:r>
      <w:r>
        <w:rPr/>
        <w:t>persons</w:t>
      </w:r>
      <w:r>
        <w:rPr>
          <w:spacing w:val="-19"/>
        </w:rPr>
        <w:t> </w:t>
      </w:r>
      <w:r>
        <w:rPr/>
        <w:t>with</w:t>
      </w:r>
      <w:r>
        <w:rPr>
          <w:spacing w:val="-19"/>
        </w:rPr>
        <w:t> </w:t>
      </w:r>
      <w:r>
        <w:rPr/>
        <w:t>psychosocial</w:t>
      </w:r>
      <w:r>
        <w:rPr>
          <w:spacing w:val="-18"/>
        </w:rPr>
        <w:t> </w:t>
      </w:r>
      <w:r>
        <w:rPr/>
        <w:t>disabilities</w:t>
      </w:r>
      <w:r>
        <w:rPr>
          <w:spacing w:val="-19"/>
        </w:rPr>
        <w:t> </w:t>
      </w:r>
      <w:r>
        <w:rPr/>
        <w:t>should be</w:t>
      </w:r>
      <w:r>
        <w:rPr>
          <w:spacing w:val="-1"/>
        </w:rPr>
        <w:t> </w:t>
      </w:r>
      <w:r>
        <w:rPr/>
        <w:t>questioned.</w:t>
      </w:r>
    </w:p>
    <w:p>
      <w:pPr>
        <w:pStyle w:val="BodyText"/>
        <w:spacing w:before="1"/>
      </w:pPr>
    </w:p>
    <w:p>
      <w:pPr>
        <w:pStyle w:val="BodyText"/>
        <w:ind w:left="397" w:right="106"/>
        <w:jc w:val="both"/>
      </w:pPr>
      <w:r>
        <w:rPr/>
        <w:t>In cases where protection of the individual’s life or health is required (danger to the person), treatment and support should be provided through less restrictive and more effective</w:t>
      </w:r>
      <w:r>
        <w:rPr>
          <w:spacing w:val="-20"/>
        </w:rPr>
        <w:t> </w:t>
      </w:r>
      <w:r>
        <w:rPr/>
        <w:t>means</w:t>
      </w:r>
      <w:r>
        <w:rPr>
          <w:spacing w:val="-20"/>
        </w:rPr>
        <w:t> </w:t>
      </w:r>
      <w:r>
        <w:rPr/>
        <w:t>than</w:t>
      </w:r>
      <w:r>
        <w:rPr>
          <w:spacing w:val="-20"/>
        </w:rPr>
        <w:t> </w:t>
      </w:r>
      <w:r>
        <w:rPr/>
        <w:t>deprivation</w:t>
      </w:r>
      <w:r>
        <w:rPr>
          <w:spacing w:val="-20"/>
        </w:rPr>
        <w:t> </w:t>
      </w:r>
      <w:r>
        <w:rPr/>
        <w:t>of</w:t>
      </w:r>
      <w:r>
        <w:rPr>
          <w:spacing w:val="-19"/>
        </w:rPr>
        <w:t> </w:t>
      </w:r>
      <w:r>
        <w:rPr/>
        <w:t>liberty</w:t>
      </w:r>
      <w:r>
        <w:rPr>
          <w:spacing w:val="-20"/>
        </w:rPr>
        <w:t> </w:t>
      </w:r>
      <w:r>
        <w:rPr/>
        <w:t>in</w:t>
      </w:r>
      <w:r>
        <w:rPr>
          <w:spacing w:val="-21"/>
        </w:rPr>
        <w:t> </w:t>
      </w:r>
      <w:r>
        <w:rPr/>
        <w:t>psychiatric</w:t>
      </w:r>
      <w:r>
        <w:rPr>
          <w:spacing w:val="-21"/>
        </w:rPr>
        <w:t> </w:t>
      </w:r>
      <w:r>
        <w:rPr/>
        <w:t>facilities</w:t>
      </w:r>
      <w:r>
        <w:rPr>
          <w:spacing w:val="-21"/>
        </w:rPr>
        <w:t> </w:t>
      </w:r>
      <w:r>
        <w:rPr/>
        <w:t>,</w:t>
      </w:r>
      <w:r>
        <w:rPr>
          <w:spacing w:val="-19"/>
        </w:rPr>
        <w:t> </w:t>
      </w:r>
      <w:r>
        <w:rPr/>
        <w:t>within</w:t>
      </w:r>
      <w:r>
        <w:rPr>
          <w:spacing w:val="-19"/>
        </w:rPr>
        <w:t> </w:t>
      </w:r>
      <w:r>
        <w:rPr/>
        <w:t>the</w:t>
      </w:r>
      <w:r>
        <w:rPr>
          <w:spacing w:val="-20"/>
        </w:rPr>
        <w:t> </w:t>
      </w:r>
      <w:r>
        <w:rPr/>
        <w:t>framework of community-based mental health services in line with the requirements of Article 19 of the </w:t>
      </w:r>
      <w:r>
        <w:rPr>
          <w:spacing w:val="1"/>
        </w:rPr>
        <w:t>CRPD.</w:t>
      </w:r>
      <w:hyperlink w:history="true" w:anchor="_bookmark92">
        <w:r>
          <w:rPr>
            <w:spacing w:val="1"/>
            <w:position w:val="8"/>
            <w:sz w:val="16"/>
          </w:rPr>
          <w:t>92</w:t>
        </w:r>
      </w:hyperlink>
      <w:r>
        <w:rPr>
          <w:spacing w:val="1"/>
        </w:rPr>
        <w:t>At </w:t>
      </w:r>
      <w:r>
        <w:rPr/>
        <w:t>this point, it is important to note that in Qatar, Hamad Medical Corporation (HMC) has recently launched services to implement the National</w:t>
      </w:r>
      <w:r>
        <w:rPr>
          <w:spacing w:val="40"/>
        </w:rPr>
        <w:t> </w:t>
      </w:r>
      <w:r>
        <w:rPr/>
        <w:t>Strategy</w:t>
      </w:r>
    </w:p>
    <w:p>
      <w:pPr>
        <w:pStyle w:val="BodyText"/>
        <w:spacing w:before="10"/>
        <w:rPr>
          <w:sz w:val="28"/>
        </w:rPr>
      </w:pPr>
    </w:p>
    <w:p>
      <w:pPr>
        <w:spacing w:line="247" w:lineRule="exact" w:before="0"/>
        <w:ind w:left="228" w:right="0" w:firstLine="0"/>
        <w:jc w:val="left"/>
        <w:rPr>
          <w:i/>
          <w:sz w:val="21"/>
        </w:rPr>
      </w:pPr>
      <w:bookmarkStart w:name="_bookmark87" w:id="89"/>
      <w:bookmarkEnd w:id="89"/>
      <w:r>
        <w:rPr/>
      </w:r>
      <w:r>
        <w:rPr>
          <w:position w:val="7"/>
          <w:sz w:val="13"/>
        </w:rPr>
        <w:t>87 </w:t>
      </w:r>
      <w:r>
        <w:rPr>
          <w:sz w:val="20"/>
        </w:rPr>
        <w:t>Article 20 of </w:t>
      </w:r>
      <w:r>
        <w:rPr>
          <w:i/>
          <w:sz w:val="21"/>
        </w:rPr>
        <w:t>Law No.16 of 2016 on Mental Health.</w:t>
      </w:r>
    </w:p>
    <w:p>
      <w:pPr>
        <w:spacing w:line="247" w:lineRule="exact" w:before="0"/>
        <w:ind w:left="221" w:right="0" w:firstLine="0"/>
        <w:jc w:val="left"/>
        <w:rPr>
          <w:i/>
          <w:sz w:val="21"/>
        </w:rPr>
      </w:pPr>
      <w:bookmarkStart w:name="_bookmark88" w:id="90"/>
      <w:bookmarkEnd w:id="90"/>
      <w:r>
        <w:rPr/>
      </w:r>
      <w:r>
        <w:rPr>
          <w:position w:val="7"/>
          <w:sz w:val="13"/>
        </w:rPr>
        <w:t>88 </w:t>
      </w:r>
      <w:r>
        <w:rPr>
          <w:sz w:val="20"/>
        </w:rPr>
        <w:t>Article 3 </w:t>
      </w:r>
      <w:r>
        <w:rPr>
          <w:i/>
          <w:sz w:val="21"/>
        </w:rPr>
        <w:t>Law No.16 of 2016 on Mental Health.</w:t>
      </w:r>
    </w:p>
    <w:p>
      <w:pPr>
        <w:spacing w:line="241" w:lineRule="exact" w:before="0"/>
        <w:ind w:left="221" w:right="0" w:firstLine="0"/>
        <w:jc w:val="left"/>
        <w:rPr>
          <w:sz w:val="20"/>
        </w:rPr>
      </w:pPr>
      <w:bookmarkStart w:name="_bookmark89" w:id="91"/>
      <w:bookmarkEnd w:id="91"/>
      <w:r>
        <w:rPr/>
      </w:r>
      <w:r>
        <w:rPr>
          <w:position w:val="7"/>
          <w:sz w:val="13"/>
        </w:rPr>
        <w:t>89 </w:t>
      </w:r>
      <w:r>
        <w:rPr>
          <w:sz w:val="20"/>
        </w:rPr>
        <w:t>Ibid.</w:t>
      </w:r>
    </w:p>
    <w:p>
      <w:pPr>
        <w:spacing w:line="236" w:lineRule="exact" w:before="0"/>
        <w:ind w:left="221" w:right="0" w:firstLine="0"/>
        <w:jc w:val="left"/>
        <w:rPr>
          <w:sz w:val="20"/>
        </w:rPr>
      </w:pPr>
      <w:bookmarkStart w:name="_bookmark90" w:id="92"/>
      <w:bookmarkEnd w:id="92"/>
      <w:r>
        <w:rPr/>
      </w:r>
      <w:r>
        <w:rPr>
          <w:position w:val="7"/>
          <w:sz w:val="13"/>
        </w:rPr>
        <w:t>90 </w:t>
      </w:r>
      <w:r>
        <w:rPr>
          <w:sz w:val="20"/>
        </w:rPr>
        <w:t>Ibid, Article 21.</w:t>
      </w:r>
    </w:p>
    <w:p>
      <w:pPr>
        <w:spacing w:line="247" w:lineRule="exact" w:before="0"/>
        <w:ind w:left="221" w:right="0" w:firstLine="0"/>
        <w:jc w:val="left"/>
        <w:rPr>
          <w:i/>
          <w:sz w:val="21"/>
        </w:rPr>
      </w:pPr>
      <w:bookmarkStart w:name="_bookmark91" w:id="93"/>
      <w:bookmarkEnd w:id="93"/>
      <w:r>
        <w:rPr/>
      </w:r>
      <w:r>
        <w:rPr>
          <w:position w:val="7"/>
          <w:sz w:val="13"/>
        </w:rPr>
        <w:t>91 </w:t>
      </w:r>
      <w:r>
        <w:rPr>
          <w:sz w:val="20"/>
        </w:rPr>
        <w:t>Ibid, Articles 5 and 6</w:t>
      </w:r>
      <w:r>
        <w:rPr>
          <w:i/>
          <w:sz w:val="21"/>
        </w:rPr>
        <w:t>.</w:t>
      </w:r>
    </w:p>
    <w:p>
      <w:pPr>
        <w:spacing w:line="237" w:lineRule="auto" w:before="1"/>
        <w:ind w:left="391" w:right="106" w:hanging="170"/>
        <w:jc w:val="both"/>
        <w:rPr>
          <w:sz w:val="20"/>
        </w:rPr>
      </w:pPr>
      <w:bookmarkStart w:name="_bookmark92" w:id="94"/>
      <w:bookmarkEnd w:id="94"/>
      <w:r>
        <w:rPr/>
      </w:r>
      <w:r>
        <w:rPr>
          <w:position w:val="7"/>
          <w:sz w:val="13"/>
        </w:rPr>
        <w:t>92</w:t>
      </w:r>
      <w:r>
        <w:rPr>
          <w:spacing w:val="-3"/>
          <w:position w:val="7"/>
          <w:sz w:val="13"/>
        </w:rPr>
        <w:t> </w:t>
      </w:r>
      <w:r>
        <w:rPr>
          <w:sz w:val="20"/>
        </w:rPr>
        <w:t>Although</w:t>
      </w:r>
      <w:r>
        <w:rPr>
          <w:spacing w:val="-18"/>
          <w:sz w:val="20"/>
        </w:rPr>
        <w:t> </w:t>
      </w:r>
      <w:r>
        <w:rPr>
          <w:sz w:val="20"/>
        </w:rPr>
        <w:t>in</w:t>
      </w:r>
      <w:r>
        <w:rPr>
          <w:spacing w:val="-18"/>
          <w:sz w:val="20"/>
        </w:rPr>
        <w:t> </w:t>
      </w:r>
      <w:r>
        <w:rPr>
          <w:sz w:val="20"/>
        </w:rPr>
        <w:t>Qatar</w:t>
      </w:r>
      <w:r>
        <w:rPr>
          <w:spacing w:val="-18"/>
          <w:sz w:val="20"/>
        </w:rPr>
        <w:t> </w:t>
      </w:r>
      <w:r>
        <w:rPr>
          <w:sz w:val="20"/>
        </w:rPr>
        <w:t>there</w:t>
      </w:r>
      <w:r>
        <w:rPr>
          <w:spacing w:val="-18"/>
          <w:sz w:val="20"/>
        </w:rPr>
        <w:t> </w:t>
      </w:r>
      <w:r>
        <w:rPr>
          <w:sz w:val="20"/>
        </w:rPr>
        <w:t>are</w:t>
      </w:r>
      <w:r>
        <w:rPr>
          <w:spacing w:val="-18"/>
          <w:sz w:val="20"/>
        </w:rPr>
        <w:t> </w:t>
      </w:r>
      <w:r>
        <w:rPr>
          <w:sz w:val="20"/>
        </w:rPr>
        <w:t>several</w:t>
      </w:r>
      <w:r>
        <w:rPr>
          <w:spacing w:val="-18"/>
          <w:sz w:val="20"/>
        </w:rPr>
        <w:t> </w:t>
      </w:r>
      <w:r>
        <w:rPr>
          <w:sz w:val="20"/>
        </w:rPr>
        <w:t>services</w:t>
      </w:r>
      <w:r>
        <w:rPr>
          <w:spacing w:val="-17"/>
          <w:sz w:val="20"/>
        </w:rPr>
        <w:t> </w:t>
      </w:r>
      <w:r>
        <w:rPr>
          <w:sz w:val="20"/>
        </w:rPr>
        <w:t>and</w:t>
      </w:r>
      <w:r>
        <w:rPr>
          <w:spacing w:val="-18"/>
          <w:sz w:val="20"/>
        </w:rPr>
        <w:t> </w:t>
      </w:r>
      <w:r>
        <w:rPr>
          <w:sz w:val="20"/>
        </w:rPr>
        <w:t>programs</w:t>
      </w:r>
      <w:r>
        <w:rPr>
          <w:spacing w:val="-17"/>
          <w:sz w:val="20"/>
        </w:rPr>
        <w:t> </w:t>
      </w:r>
      <w:r>
        <w:rPr>
          <w:sz w:val="20"/>
        </w:rPr>
        <w:t>for</w:t>
      </w:r>
      <w:r>
        <w:rPr>
          <w:spacing w:val="-18"/>
          <w:sz w:val="20"/>
        </w:rPr>
        <w:t> </w:t>
      </w:r>
      <w:r>
        <w:rPr>
          <w:sz w:val="20"/>
        </w:rPr>
        <w:t>persons</w:t>
      </w:r>
      <w:r>
        <w:rPr>
          <w:spacing w:val="-17"/>
          <w:sz w:val="20"/>
        </w:rPr>
        <w:t> </w:t>
      </w:r>
      <w:r>
        <w:rPr>
          <w:sz w:val="20"/>
        </w:rPr>
        <w:t>with</w:t>
      </w:r>
      <w:r>
        <w:rPr>
          <w:spacing w:val="-18"/>
          <w:sz w:val="20"/>
        </w:rPr>
        <w:t> </w:t>
      </w:r>
      <w:r>
        <w:rPr>
          <w:sz w:val="20"/>
        </w:rPr>
        <w:t>disabilities,</w:t>
      </w:r>
      <w:r>
        <w:rPr>
          <w:spacing w:val="-17"/>
          <w:sz w:val="20"/>
        </w:rPr>
        <w:t> </w:t>
      </w:r>
      <w:r>
        <w:rPr>
          <w:sz w:val="20"/>
        </w:rPr>
        <w:t>they</w:t>
      </w:r>
      <w:r>
        <w:rPr>
          <w:spacing w:val="-19"/>
          <w:sz w:val="20"/>
        </w:rPr>
        <w:t> </w:t>
      </w:r>
      <w:r>
        <w:rPr>
          <w:sz w:val="20"/>
        </w:rPr>
        <w:t>are</w:t>
      </w:r>
      <w:r>
        <w:rPr>
          <w:spacing w:val="-18"/>
          <w:sz w:val="20"/>
        </w:rPr>
        <w:t> </w:t>
      </w:r>
      <w:r>
        <w:rPr>
          <w:sz w:val="20"/>
        </w:rPr>
        <w:t>designed from</w:t>
      </w:r>
      <w:r>
        <w:rPr>
          <w:spacing w:val="-5"/>
          <w:sz w:val="20"/>
        </w:rPr>
        <w:t> </w:t>
      </w:r>
      <w:r>
        <w:rPr>
          <w:sz w:val="20"/>
        </w:rPr>
        <w:t>the</w:t>
      </w:r>
      <w:r>
        <w:rPr>
          <w:spacing w:val="-5"/>
          <w:sz w:val="20"/>
        </w:rPr>
        <w:t> </w:t>
      </w:r>
      <w:r>
        <w:rPr>
          <w:sz w:val="20"/>
        </w:rPr>
        <w:t>point</w:t>
      </w:r>
      <w:r>
        <w:rPr>
          <w:spacing w:val="-5"/>
          <w:sz w:val="20"/>
        </w:rPr>
        <w:t> </w:t>
      </w:r>
      <w:r>
        <w:rPr>
          <w:sz w:val="20"/>
        </w:rPr>
        <w:t>of</w:t>
      </w:r>
      <w:r>
        <w:rPr>
          <w:spacing w:val="-5"/>
          <w:sz w:val="20"/>
        </w:rPr>
        <w:t> </w:t>
      </w:r>
      <w:r>
        <w:rPr>
          <w:sz w:val="20"/>
        </w:rPr>
        <w:t>view</w:t>
      </w:r>
      <w:r>
        <w:rPr>
          <w:spacing w:val="-5"/>
          <w:sz w:val="20"/>
        </w:rPr>
        <w:t> </w:t>
      </w:r>
      <w:r>
        <w:rPr>
          <w:sz w:val="20"/>
        </w:rPr>
        <w:t>of</w:t>
      </w:r>
      <w:r>
        <w:rPr>
          <w:spacing w:val="-6"/>
          <w:sz w:val="20"/>
        </w:rPr>
        <w:t> </w:t>
      </w:r>
      <w:r>
        <w:rPr>
          <w:sz w:val="20"/>
        </w:rPr>
        <w:t>assistencialism</w:t>
      </w:r>
      <w:r>
        <w:rPr>
          <w:spacing w:val="-6"/>
          <w:sz w:val="20"/>
        </w:rPr>
        <w:t> </w:t>
      </w:r>
      <w:r>
        <w:rPr>
          <w:sz w:val="20"/>
        </w:rPr>
        <w:t>rather</w:t>
      </w:r>
      <w:r>
        <w:rPr>
          <w:spacing w:val="-6"/>
          <w:sz w:val="20"/>
        </w:rPr>
        <w:t> </w:t>
      </w:r>
      <w:r>
        <w:rPr>
          <w:sz w:val="20"/>
        </w:rPr>
        <w:t>than</w:t>
      </w:r>
      <w:r>
        <w:rPr>
          <w:spacing w:val="-6"/>
          <w:sz w:val="20"/>
        </w:rPr>
        <w:t> </w:t>
      </w:r>
      <w:r>
        <w:rPr>
          <w:sz w:val="20"/>
        </w:rPr>
        <w:t>the</w:t>
      </w:r>
      <w:r>
        <w:rPr>
          <w:spacing w:val="-5"/>
          <w:sz w:val="20"/>
        </w:rPr>
        <w:t> </w:t>
      </w:r>
      <w:r>
        <w:rPr>
          <w:sz w:val="20"/>
        </w:rPr>
        <w:t>perspective</w:t>
      </w:r>
      <w:r>
        <w:rPr>
          <w:spacing w:val="-5"/>
          <w:sz w:val="20"/>
        </w:rPr>
        <w:t> </w:t>
      </w:r>
      <w:r>
        <w:rPr>
          <w:sz w:val="20"/>
        </w:rPr>
        <w:t>of</w:t>
      </w:r>
      <w:r>
        <w:rPr>
          <w:spacing w:val="-5"/>
          <w:sz w:val="20"/>
        </w:rPr>
        <w:t> </w:t>
      </w:r>
      <w:r>
        <w:rPr>
          <w:sz w:val="20"/>
        </w:rPr>
        <w:t>independent</w:t>
      </w:r>
      <w:r>
        <w:rPr>
          <w:spacing w:val="-4"/>
          <w:sz w:val="20"/>
        </w:rPr>
        <w:t> </w:t>
      </w:r>
      <w:r>
        <w:rPr>
          <w:sz w:val="20"/>
        </w:rPr>
        <w:t>living,</w:t>
      </w:r>
      <w:r>
        <w:rPr>
          <w:spacing w:val="-5"/>
          <w:sz w:val="20"/>
        </w:rPr>
        <w:t> </w:t>
      </w:r>
      <w:r>
        <w:rPr>
          <w:sz w:val="20"/>
        </w:rPr>
        <w:t>and</w:t>
      </w:r>
      <w:r>
        <w:rPr>
          <w:spacing w:val="-5"/>
          <w:sz w:val="20"/>
        </w:rPr>
        <w:t> </w:t>
      </w:r>
      <w:r>
        <w:rPr>
          <w:sz w:val="20"/>
        </w:rPr>
        <w:t>they</w:t>
      </w:r>
      <w:r>
        <w:rPr>
          <w:spacing w:val="-5"/>
          <w:sz w:val="20"/>
        </w:rPr>
        <w:t> </w:t>
      </w:r>
      <w:r>
        <w:rPr>
          <w:sz w:val="20"/>
        </w:rPr>
        <w:t>are not enough to ensure that persons with disabilities can choose where and with whom they wish to live. The</w:t>
      </w:r>
      <w:r>
        <w:rPr>
          <w:spacing w:val="-17"/>
          <w:sz w:val="20"/>
        </w:rPr>
        <w:t> </w:t>
      </w:r>
      <w:r>
        <w:rPr>
          <w:sz w:val="20"/>
        </w:rPr>
        <w:t>CRPD</w:t>
      </w:r>
      <w:r>
        <w:rPr>
          <w:spacing w:val="-17"/>
          <w:sz w:val="20"/>
        </w:rPr>
        <w:t> </w:t>
      </w:r>
      <w:r>
        <w:rPr>
          <w:sz w:val="20"/>
        </w:rPr>
        <w:t>Committee</w:t>
      </w:r>
      <w:r>
        <w:rPr>
          <w:spacing w:val="-17"/>
          <w:sz w:val="20"/>
        </w:rPr>
        <w:t> </w:t>
      </w:r>
      <w:r>
        <w:rPr>
          <w:sz w:val="20"/>
        </w:rPr>
        <w:t>in</w:t>
      </w:r>
      <w:r>
        <w:rPr>
          <w:spacing w:val="-17"/>
          <w:sz w:val="20"/>
        </w:rPr>
        <w:t> </w:t>
      </w:r>
      <w:r>
        <w:rPr>
          <w:sz w:val="20"/>
        </w:rPr>
        <w:t>its</w:t>
      </w:r>
      <w:r>
        <w:rPr>
          <w:spacing w:val="-17"/>
          <w:sz w:val="20"/>
        </w:rPr>
        <w:t> </w:t>
      </w:r>
      <w:r>
        <w:rPr>
          <w:i/>
          <w:sz w:val="21"/>
        </w:rPr>
        <w:t>Concluding</w:t>
      </w:r>
      <w:r>
        <w:rPr>
          <w:i/>
          <w:spacing w:val="-21"/>
          <w:sz w:val="21"/>
        </w:rPr>
        <w:t> </w:t>
      </w:r>
      <w:r>
        <w:rPr>
          <w:i/>
          <w:sz w:val="21"/>
        </w:rPr>
        <w:t>Observations</w:t>
      </w:r>
      <w:r>
        <w:rPr>
          <w:i/>
          <w:spacing w:val="-20"/>
          <w:sz w:val="21"/>
        </w:rPr>
        <w:t> </w:t>
      </w:r>
      <w:r>
        <w:rPr>
          <w:i/>
          <w:sz w:val="21"/>
        </w:rPr>
        <w:t>on</w:t>
      </w:r>
      <w:r>
        <w:rPr>
          <w:i/>
          <w:spacing w:val="-20"/>
          <w:sz w:val="21"/>
        </w:rPr>
        <w:t> </w:t>
      </w:r>
      <w:r>
        <w:rPr>
          <w:i/>
          <w:sz w:val="21"/>
        </w:rPr>
        <w:t>the</w:t>
      </w:r>
      <w:r>
        <w:rPr>
          <w:i/>
          <w:spacing w:val="-20"/>
          <w:sz w:val="21"/>
        </w:rPr>
        <w:t> </w:t>
      </w:r>
      <w:r>
        <w:rPr>
          <w:i/>
          <w:sz w:val="21"/>
        </w:rPr>
        <w:t>Initial</w:t>
      </w:r>
      <w:r>
        <w:rPr>
          <w:i/>
          <w:spacing w:val="-21"/>
          <w:sz w:val="21"/>
        </w:rPr>
        <w:t> </w:t>
      </w:r>
      <w:r>
        <w:rPr>
          <w:i/>
          <w:sz w:val="21"/>
        </w:rPr>
        <w:t>Report</w:t>
      </w:r>
      <w:r>
        <w:rPr>
          <w:i/>
          <w:spacing w:val="-21"/>
          <w:sz w:val="21"/>
        </w:rPr>
        <w:t> </w:t>
      </w:r>
      <w:r>
        <w:rPr>
          <w:i/>
          <w:sz w:val="21"/>
        </w:rPr>
        <w:t>of</w:t>
      </w:r>
      <w:r>
        <w:rPr>
          <w:i/>
          <w:spacing w:val="-20"/>
          <w:sz w:val="21"/>
        </w:rPr>
        <w:t> </w:t>
      </w:r>
      <w:r>
        <w:rPr>
          <w:i/>
          <w:sz w:val="21"/>
        </w:rPr>
        <w:t>Qatar</w:t>
      </w:r>
      <w:r>
        <w:rPr>
          <w:sz w:val="20"/>
        </w:rPr>
        <w:t>,</w:t>
      </w:r>
      <w:r>
        <w:rPr>
          <w:spacing w:val="-17"/>
          <w:sz w:val="20"/>
        </w:rPr>
        <w:t> </w:t>
      </w:r>
      <w:r>
        <w:rPr>
          <w:sz w:val="20"/>
        </w:rPr>
        <w:t>para</w:t>
      </w:r>
      <w:r>
        <w:rPr>
          <w:spacing w:val="-17"/>
          <w:sz w:val="20"/>
        </w:rPr>
        <w:t> </w:t>
      </w:r>
      <w:r>
        <w:rPr>
          <w:sz w:val="20"/>
        </w:rPr>
        <w:t>(37)</w:t>
      </w:r>
      <w:r>
        <w:rPr>
          <w:spacing w:val="-18"/>
          <w:sz w:val="20"/>
        </w:rPr>
        <w:t> </w:t>
      </w:r>
      <w:r>
        <w:rPr>
          <w:sz w:val="20"/>
        </w:rPr>
        <w:t>expressed its concern “about the absence of a strategy to promote the rights of persons with disabilities to live independently and be included in the community and the lack of systematic provision of information by the State party to persons with disabilities and their families on how to claim support services and assistance to which they are</w:t>
      </w:r>
      <w:r>
        <w:rPr>
          <w:spacing w:val="-4"/>
          <w:sz w:val="20"/>
        </w:rPr>
        <w:t> </w:t>
      </w:r>
      <w:r>
        <w:rPr>
          <w:sz w:val="20"/>
        </w:rPr>
        <w:t>entitled”.</w:t>
      </w:r>
    </w:p>
    <w:p>
      <w:pPr>
        <w:spacing w:after="0" w:line="237" w:lineRule="auto"/>
        <w:jc w:val="both"/>
        <w:rPr>
          <w:sz w:val="20"/>
        </w:rPr>
        <w:sectPr>
          <w:pgSz w:w="11910" w:h="16840"/>
          <w:pgMar w:header="0" w:footer="523" w:top="1320" w:bottom="720" w:left="940" w:right="1320"/>
        </w:sectPr>
      </w:pPr>
    </w:p>
    <w:p>
      <w:pPr>
        <w:pStyle w:val="BodyText"/>
        <w:spacing w:before="82"/>
        <w:ind w:left="397" w:right="106"/>
        <w:jc w:val="both"/>
      </w:pPr>
      <w:r>
        <w:rPr/>
        <w:t>on Mental Health,</w:t>
      </w:r>
      <w:hyperlink w:history="true" w:anchor="_bookmark93">
        <w:r>
          <w:rPr>
            <w:position w:val="8"/>
            <w:sz w:val="16"/>
          </w:rPr>
          <w:t>93 </w:t>
        </w:r>
      </w:hyperlink>
      <w:r>
        <w:rPr/>
        <w:t>focused on in-home, residential and community support. The next stage, involving the creation of a network of community-based specialised mental health centers and the implementation of a new policy of mental health home care, also aims to improve community mental health care facilities.</w:t>
      </w:r>
    </w:p>
    <w:p>
      <w:pPr>
        <w:pStyle w:val="BodyText"/>
      </w:pPr>
    </w:p>
    <w:p>
      <w:pPr>
        <w:pStyle w:val="BodyText"/>
        <w:ind w:left="397" w:right="105"/>
        <w:jc w:val="both"/>
      </w:pPr>
      <w:r>
        <w:rPr/>
        <w:t>As</w:t>
      </w:r>
      <w:r>
        <w:rPr>
          <w:spacing w:val="-12"/>
        </w:rPr>
        <w:t> </w:t>
      </w:r>
      <w:r>
        <w:rPr/>
        <w:t>we</w:t>
      </w:r>
      <w:r>
        <w:rPr>
          <w:spacing w:val="-12"/>
        </w:rPr>
        <w:t> </w:t>
      </w:r>
      <w:r>
        <w:rPr/>
        <w:t>explained</w:t>
      </w:r>
      <w:r>
        <w:rPr>
          <w:spacing w:val="-12"/>
        </w:rPr>
        <w:t> </w:t>
      </w:r>
      <w:r>
        <w:rPr/>
        <w:t>above,</w:t>
      </w:r>
      <w:r>
        <w:rPr>
          <w:spacing w:val="-11"/>
        </w:rPr>
        <w:t> </w:t>
      </w:r>
      <w:r>
        <w:rPr/>
        <w:t>cases</w:t>
      </w:r>
      <w:r>
        <w:rPr>
          <w:spacing w:val="-12"/>
        </w:rPr>
        <w:t> </w:t>
      </w:r>
      <w:r>
        <w:rPr/>
        <w:t>involving</w:t>
      </w:r>
      <w:r>
        <w:rPr>
          <w:spacing w:val="-12"/>
        </w:rPr>
        <w:t> </w:t>
      </w:r>
      <w:r>
        <w:rPr/>
        <w:t>potential</w:t>
      </w:r>
      <w:r>
        <w:rPr>
          <w:spacing w:val="-12"/>
        </w:rPr>
        <w:t> </w:t>
      </w:r>
      <w:r>
        <w:rPr/>
        <w:t>danger</w:t>
      </w:r>
      <w:r>
        <w:rPr>
          <w:spacing w:val="-11"/>
        </w:rPr>
        <w:t> </w:t>
      </w:r>
      <w:r>
        <w:rPr/>
        <w:t>to</w:t>
      </w:r>
      <w:r>
        <w:rPr>
          <w:spacing w:val="-12"/>
        </w:rPr>
        <w:t> </w:t>
      </w:r>
      <w:r>
        <w:rPr/>
        <w:t>others</w:t>
      </w:r>
      <w:r>
        <w:rPr>
          <w:spacing w:val="-13"/>
        </w:rPr>
        <w:t> </w:t>
      </w:r>
      <w:r>
        <w:rPr/>
        <w:t>should</w:t>
      </w:r>
      <w:r>
        <w:rPr>
          <w:spacing w:val="-12"/>
        </w:rPr>
        <w:t> </w:t>
      </w:r>
      <w:r>
        <w:rPr/>
        <w:t>be</w:t>
      </w:r>
      <w:r>
        <w:rPr>
          <w:spacing w:val="-12"/>
        </w:rPr>
        <w:t> </w:t>
      </w:r>
      <w:r>
        <w:rPr/>
        <w:t>addressed through the criminal justice system which implies the application of stronger safeguards. Moreover, according to the CRPD procedural accommodations should be adopted in order to ensure the effective participation of persons with psychosocial disabilities</w:t>
      </w:r>
      <w:r>
        <w:rPr>
          <w:spacing w:val="-8"/>
        </w:rPr>
        <w:t> </w:t>
      </w:r>
      <w:r>
        <w:rPr/>
        <w:t>during</w:t>
      </w:r>
      <w:r>
        <w:rPr>
          <w:spacing w:val="-6"/>
        </w:rPr>
        <w:t> </w:t>
      </w:r>
      <w:r>
        <w:rPr/>
        <w:t>judicial</w:t>
      </w:r>
      <w:r>
        <w:rPr>
          <w:spacing w:val="-6"/>
        </w:rPr>
        <w:t> </w:t>
      </w:r>
      <w:r>
        <w:rPr/>
        <w:t>proceedings.</w:t>
      </w:r>
      <w:r>
        <w:rPr>
          <w:spacing w:val="-6"/>
        </w:rPr>
        <w:t> </w:t>
      </w:r>
      <w:r>
        <w:rPr/>
        <w:t>Obviously,</w:t>
      </w:r>
      <w:r>
        <w:rPr>
          <w:spacing w:val="-6"/>
        </w:rPr>
        <w:t> </w:t>
      </w:r>
      <w:r>
        <w:rPr/>
        <w:t>if</w:t>
      </w:r>
      <w:r>
        <w:rPr>
          <w:spacing w:val="-6"/>
        </w:rPr>
        <w:t> </w:t>
      </w:r>
      <w:r>
        <w:rPr/>
        <w:t>the</w:t>
      </w:r>
      <w:r>
        <w:rPr>
          <w:spacing w:val="-6"/>
        </w:rPr>
        <w:t> </w:t>
      </w:r>
      <w:r>
        <w:rPr/>
        <w:t>standard</w:t>
      </w:r>
      <w:r>
        <w:rPr>
          <w:spacing w:val="-7"/>
        </w:rPr>
        <w:t> </w:t>
      </w:r>
      <w:r>
        <w:rPr/>
        <w:t>of</w:t>
      </w:r>
      <w:r>
        <w:rPr>
          <w:spacing w:val="-6"/>
        </w:rPr>
        <w:t> </w:t>
      </w:r>
      <w:r>
        <w:rPr/>
        <w:t>“danger</w:t>
      </w:r>
      <w:r>
        <w:rPr>
          <w:spacing w:val="-6"/>
        </w:rPr>
        <w:t> </w:t>
      </w:r>
      <w:r>
        <w:rPr/>
        <w:t>to</w:t>
      </w:r>
      <w:r>
        <w:rPr>
          <w:spacing w:val="-6"/>
        </w:rPr>
        <w:t> </w:t>
      </w:r>
      <w:r>
        <w:rPr/>
        <w:t>others” is accepted as a valid ground for imposing preemptive detention — something problematic from the point of view of the principles of the rule of law — it should be applied to all persons with and without disabilities in equal</w:t>
      </w:r>
      <w:r>
        <w:rPr>
          <w:spacing w:val="-10"/>
        </w:rPr>
        <w:t> </w:t>
      </w:r>
      <w:r>
        <w:rPr/>
        <w:t>measure.</w:t>
      </w:r>
    </w:p>
    <w:p>
      <w:pPr>
        <w:pStyle w:val="BodyText"/>
        <w:spacing w:before="11"/>
        <w:rPr>
          <w:sz w:val="23"/>
        </w:rPr>
      </w:pPr>
    </w:p>
    <w:p>
      <w:pPr>
        <w:pStyle w:val="BodyText"/>
        <w:ind w:left="398" w:right="106"/>
        <w:jc w:val="both"/>
      </w:pPr>
      <w:r>
        <w:rPr/>
        <w:t>From</w:t>
      </w:r>
      <w:r>
        <w:rPr>
          <w:spacing w:val="-15"/>
        </w:rPr>
        <w:t> </w:t>
      </w:r>
      <w:r>
        <w:rPr/>
        <w:t>our</w:t>
      </w:r>
      <w:r>
        <w:rPr>
          <w:spacing w:val="-15"/>
        </w:rPr>
        <w:t> </w:t>
      </w:r>
      <w:r>
        <w:rPr/>
        <w:t>exposition</w:t>
      </w:r>
      <w:r>
        <w:rPr>
          <w:spacing w:val="-16"/>
        </w:rPr>
        <w:t> </w:t>
      </w:r>
      <w:r>
        <w:rPr/>
        <w:t>of</w:t>
      </w:r>
      <w:r>
        <w:rPr>
          <w:spacing w:val="-16"/>
        </w:rPr>
        <w:t> </w:t>
      </w:r>
      <w:r>
        <w:rPr/>
        <w:t>the</w:t>
      </w:r>
      <w:r>
        <w:rPr>
          <w:spacing w:val="-15"/>
        </w:rPr>
        <w:t> </w:t>
      </w:r>
      <w:r>
        <w:rPr/>
        <w:t>Mental</w:t>
      </w:r>
      <w:r>
        <w:rPr>
          <w:spacing w:val="-16"/>
        </w:rPr>
        <w:t> </w:t>
      </w:r>
      <w:r>
        <w:rPr/>
        <w:t>Health</w:t>
      </w:r>
      <w:r>
        <w:rPr>
          <w:spacing w:val="-16"/>
        </w:rPr>
        <w:t> </w:t>
      </w:r>
      <w:r>
        <w:rPr/>
        <w:t>Law</w:t>
      </w:r>
      <w:r>
        <w:rPr>
          <w:spacing w:val="-15"/>
        </w:rPr>
        <w:t> </w:t>
      </w:r>
      <w:r>
        <w:rPr/>
        <w:t>it</w:t>
      </w:r>
      <w:r>
        <w:rPr>
          <w:spacing w:val="-15"/>
        </w:rPr>
        <w:t> </w:t>
      </w:r>
      <w:r>
        <w:rPr/>
        <w:t>is</w:t>
      </w:r>
      <w:r>
        <w:rPr>
          <w:spacing w:val="-15"/>
        </w:rPr>
        <w:t> </w:t>
      </w:r>
      <w:r>
        <w:rPr/>
        <w:t>quite</w:t>
      </w:r>
      <w:r>
        <w:rPr>
          <w:spacing w:val="-17"/>
        </w:rPr>
        <w:t> </w:t>
      </w:r>
      <w:r>
        <w:rPr/>
        <w:t>clear</w:t>
      </w:r>
      <w:r>
        <w:rPr>
          <w:spacing w:val="-15"/>
        </w:rPr>
        <w:t> </w:t>
      </w:r>
      <w:r>
        <w:rPr/>
        <w:t>that</w:t>
      </w:r>
      <w:r>
        <w:rPr>
          <w:spacing w:val="-15"/>
        </w:rPr>
        <w:t> </w:t>
      </w:r>
      <w:r>
        <w:rPr/>
        <w:t>some</w:t>
      </w:r>
      <w:r>
        <w:rPr>
          <w:spacing w:val="-15"/>
        </w:rPr>
        <w:t> </w:t>
      </w:r>
      <w:r>
        <w:rPr/>
        <w:t>of</w:t>
      </w:r>
      <w:r>
        <w:rPr>
          <w:spacing w:val="-16"/>
        </w:rPr>
        <w:t> </w:t>
      </w:r>
      <w:r>
        <w:rPr/>
        <w:t>its</w:t>
      </w:r>
      <w:r>
        <w:rPr>
          <w:spacing w:val="-15"/>
        </w:rPr>
        <w:t> </w:t>
      </w:r>
      <w:r>
        <w:rPr/>
        <w:t>provisions violate</w:t>
      </w:r>
      <w:r>
        <w:rPr>
          <w:spacing w:val="-20"/>
        </w:rPr>
        <w:t> </w:t>
      </w:r>
      <w:r>
        <w:rPr/>
        <w:t>Articles</w:t>
      </w:r>
      <w:r>
        <w:rPr>
          <w:spacing w:val="-20"/>
        </w:rPr>
        <w:t> </w:t>
      </w:r>
      <w:r>
        <w:rPr/>
        <w:t>12</w:t>
      </w:r>
      <w:r>
        <w:rPr>
          <w:spacing w:val="-21"/>
        </w:rPr>
        <w:t> </w:t>
      </w:r>
      <w:r>
        <w:rPr/>
        <w:t>(equal</w:t>
      </w:r>
      <w:r>
        <w:rPr>
          <w:spacing w:val="-21"/>
        </w:rPr>
        <w:t> </w:t>
      </w:r>
      <w:r>
        <w:rPr/>
        <w:t>legal</w:t>
      </w:r>
      <w:r>
        <w:rPr>
          <w:spacing w:val="-21"/>
        </w:rPr>
        <w:t> </w:t>
      </w:r>
      <w:r>
        <w:rPr/>
        <w:t>capacity),</w:t>
      </w:r>
      <w:r>
        <w:rPr>
          <w:spacing w:val="-20"/>
        </w:rPr>
        <w:t> </w:t>
      </w:r>
      <w:r>
        <w:rPr/>
        <w:t>17</w:t>
      </w:r>
      <w:r>
        <w:rPr>
          <w:spacing w:val="-21"/>
        </w:rPr>
        <w:t> </w:t>
      </w:r>
      <w:r>
        <w:rPr/>
        <w:t>(protection</w:t>
      </w:r>
      <w:r>
        <w:rPr>
          <w:spacing w:val="-22"/>
        </w:rPr>
        <w:t> </w:t>
      </w:r>
      <w:r>
        <w:rPr/>
        <w:t>of</w:t>
      </w:r>
      <w:r>
        <w:rPr>
          <w:spacing w:val="-20"/>
        </w:rPr>
        <w:t> </w:t>
      </w:r>
      <w:r>
        <w:rPr/>
        <w:t>physical</w:t>
      </w:r>
      <w:r>
        <w:rPr>
          <w:spacing w:val="-22"/>
        </w:rPr>
        <w:t> </w:t>
      </w:r>
      <w:r>
        <w:rPr/>
        <w:t>and</w:t>
      </w:r>
      <w:r>
        <w:rPr>
          <w:spacing w:val="-20"/>
        </w:rPr>
        <w:t> </w:t>
      </w:r>
      <w:r>
        <w:rPr/>
        <w:t>mental</w:t>
      </w:r>
      <w:r>
        <w:rPr>
          <w:spacing w:val="-21"/>
        </w:rPr>
        <w:t> </w:t>
      </w:r>
      <w:r>
        <w:rPr/>
        <w:t>integrity) and</w:t>
      </w:r>
      <w:r>
        <w:rPr>
          <w:spacing w:val="-15"/>
        </w:rPr>
        <w:t> </w:t>
      </w:r>
      <w:r>
        <w:rPr/>
        <w:t>25</w:t>
      </w:r>
      <w:r>
        <w:rPr>
          <w:spacing w:val="-15"/>
        </w:rPr>
        <w:t> </w:t>
      </w:r>
      <w:r>
        <w:rPr/>
        <w:t>(principle</w:t>
      </w:r>
      <w:r>
        <w:rPr>
          <w:spacing w:val="-16"/>
        </w:rPr>
        <w:t> </w:t>
      </w:r>
      <w:r>
        <w:rPr/>
        <w:t>of</w:t>
      </w:r>
      <w:r>
        <w:rPr>
          <w:spacing w:val="-16"/>
        </w:rPr>
        <w:t> </w:t>
      </w:r>
      <w:r>
        <w:rPr/>
        <w:t>free</w:t>
      </w:r>
      <w:r>
        <w:rPr>
          <w:spacing w:val="-15"/>
        </w:rPr>
        <w:t> </w:t>
      </w:r>
      <w:r>
        <w:rPr/>
        <w:t>and</w:t>
      </w:r>
      <w:r>
        <w:rPr>
          <w:spacing w:val="-16"/>
        </w:rPr>
        <w:t> </w:t>
      </w:r>
      <w:r>
        <w:rPr/>
        <w:t>informed</w:t>
      </w:r>
      <w:r>
        <w:rPr>
          <w:spacing w:val="-14"/>
        </w:rPr>
        <w:t> </w:t>
      </w:r>
      <w:r>
        <w:rPr/>
        <w:t>consent</w:t>
      </w:r>
      <w:r>
        <w:rPr>
          <w:spacing w:val="-16"/>
        </w:rPr>
        <w:t> </w:t>
      </w:r>
      <w:r>
        <w:rPr/>
        <w:t>of</w:t>
      </w:r>
      <w:r>
        <w:rPr>
          <w:spacing w:val="-16"/>
        </w:rPr>
        <w:t> </w:t>
      </w:r>
      <w:r>
        <w:rPr/>
        <w:t>the</w:t>
      </w:r>
      <w:r>
        <w:rPr>
          <w:spacing w:val="-16"/>
        </w:rPr>
        <w:t> </w:t>
      </w:r>
      <w:r>
        <w:rPr/>
        <w:t>person</w:t>
      </w:r>
      <w:r>
        <w:rPr>
          <w:spacing w:val="-14"/>
        </w:rPr>
        <w:t> </w:t>
      </w:r>
      <w:r>
        <w:rPr/>
        <w:t>concerned</w:t>
      </w:r>
      <w:r>
        <w:rPr>
          <w:spacing w:val="-16"/>
        </w:rPr>
        <w:t> </w:t>
      </w:r>
      <w:r>
        <w:rPr/>
        <w:t>for</w:t>
      </w:r>
      <w:r>
        <w:rPr>
          <w:spacing w:val="-16"/>
        </w:rPr>
        <w:t> </w:t>
      </w:r>
      <w:r>
        <w:rPr/>
        <w:t>health</w:t>
      </w:r>
      <w:r>
        <w:rPr>
          <w:spacing w:val="-14"/>
        </w:rPr>
        <w:t> </w:t>
      </w:r>
      <w:r>
        <w:rPr/>
        <w:t>care) as they allow substituted decision-making and do not adequately protect the interests of persons with psychosocial disabilities surrounding non-consensual medical treatment.</w:t>
      </w:r>
      <w:r>
        <w:rPr>
          <w:spacing w:val="-14"/>
        </w:rPr>
        <w:t> </w:t>
      </w:r>
      <w:r>
        <w:rPr/>
        <w:t>Qatar</w:t>
      </w:r>
      <w:r>
        <w:rPr>
          <w:spacing w:val="-14"/>
        </w:rPr>
        <w:t> </w:t>
      </w:r>
      <w:r>
        <w:rPr/>
        <w:t>should</w:t>
      </w:r>
      <w:r>
        <w:rPr>
          <w:spacing w:val="-13"/>
        </w:rPr>
        <w:t> </w:t>
      </w:r>
      <w:r>
        <w:rPr/>
        <w:t>also</w:t>
      </w:r>
      <w:r>
        <w:rPr>
          <w:spacing w:val="-13"/>
        </w:rPr>
        <w:t> </w:t>
      </w:r>
      <w:r>
        <w:rPr/>
        <w:t>review</w:t>
      </w:r>
      <w:r>
        <w:rPr>
          <w:spacing w:val="-14"/>
        </w:rPr>
        <w:t> </w:t>
      </w:r>
      <w:r>
        <w:rPr/>
        <w:t>this</w:t>
      </w:r>
      <w:r>
        <w:rPr>
          <w:spacing w:val="-15"/>
        </w:rPr>
        <w:t> </w:t>
      </w:r>
      <w:r>
        <w:rPr/>
        <w:t>regulation</w:t>
      </w:r>
      <w:r>
        <w:rPr>
          <w:spacing w:val="-14"/>
        </w:rPr>
        <w:t> </w:t>
      </w:r>
      <w:r>
        <w:rPr/>
        <w:t>in</w:t>
      </w:r>
      <w:r>
        <w:rPr>
          <w:spacing w:val="-14"/>
        </w:rPr>
        <w:t> </w:t>
      </w:r>
      <w:r>
        <w:rPr/>
        <w:t>order</w:t>
      </w:r>
      <w:r>
        <w:rPr>
          <w:spacing w:val="-14"/>
        </w:rPr>
        <w:t> </w:t>
      </w:r>
      <w:r>
        <w:rPr/>
        <w:t>to</w:t>
      </w:r>
      <w:r>
        <w:rPr>
          <w:spacing w:val="-14"/>
        </w:rPr>
        <w:t> </w:t>
      </w:r>
      <w:r>
        <w:rPr/>
        <w:t>ensure</w:t>
      </w:r>
      <w:r>
        <w:rPr>
          <w:spacing w:val="-14"/>
        </w:rPr>
        <w:t> </w:t>
      </w:r>
      <w:r>
        <w:rPr/>
        <w:t>that</w:t>
      </w:r>
      <w:r>
        <w:rPr>
          <w:spacing w:val="-15"/>
        </w:rPr>
        <w:t> </w:t>
      </w:r>
      <w:r>
        <w:rPr/>
        <w:t>persons</w:t>
      </w:r>
      <w:r>
        <w:rPr>
          <w:spacing w:val="-14"/>
        </w:rPr>
        <w:t> </w:t>
      </w:r>
      <w:r>
        <w:rPr/>
        <w:t>with psychosocial disabilities can make their own decisions — with whatever support they may require — concerning their health and care. With respect to this issue, some current policies of the Hamad Medical Corporation, such as the Policy on Informed Consent (CL 7226) and the Policy on the Care of the Vulnerable Patient Population (Policy</w:t>
      </w:r>
      <w:r>
        <w:rPr>
          <w:spacing w:val="-14"/>
        </w:rPr>
        <w:t> </w:t>
      </w:r>
      <w:r>
        <w:rPr/>
        <w:t>CL</w:t>
      </w:r>
      <w:r>
        <w:rPr>
          <w:spacing w:val="-14"/>
        </w:rPr>
        <w:t> </w:t>
      </w:r>
      <w:r>
        <w:rPr/>
        <w:t>7221),</w:t>
      </w:r>
      <w:r>
        <w:rPr>
          <w:spacing w:val="-13"/>
        </w:rPr>
        <w:t> </w:t>
      </w:r>
      <w:r>
        <w:rPr/>
        <w:t>that</w:t>
      </w:r>
      <w:r>
        <w:rPr>
          <w:spacing w:val="-13"/>
        </w:rPr>
        <w:t> </w:t>
      </w:r>
      <w:r>
        <w:rPr/>
        <w:t>refer</w:t>
      </w:r>
      <w:r>
        <w:rPr>
          <w:spacing w:val="-14"/>
        </w:rPr>
        <w:t> </w:t>
      </w:r>
      <w:r>
        <w:rPr/>
        <w:t>explicitly</w:t>
      </w:r>
      <w:r>
        <w:rPr>
          <w:spacing w:val="-13"/>
        </w:rPr>
        <w:t> </w:t>
      </w:r>
      <w:r>
        <w:rPr/>
        <w:t>to</w:t>
      </w:r>
      <w:r>
        <w:rPr>
          <w:spacing w:val="-13"/>
        </w:rPr>
        <w:t> </w:t>
      </w:r>
      <w:r>
        <w:rPr/>
        <w:t>“patients</w:t>
      </w:r>
      <w:r>
        <w:rPr>
          <w:spacing w:val="-14"/>
        </w:rPr>
        <w:t> </w:t>
      </w:r>
      <w:r>
        <w:rPr/>
        <w:t>with</w:t>
      </w:r>
      <w:r>
        <w:rPr>
          <w:spacing w:val="-14"/>
        </w:rPr>
        <w:t> </w:t>
      </w:r>
      <w:r>
        <w:rPr/>
        <w:t>emotional</w:t>
      </w:r>
      <w:r>
        <w:rPr>
          <w:spacing w:val="-15"/>
        </w:rPr>
        <w:t> </w:t>
      </w:r>
      <w:r>
        <w:rPr/>
        <w:t>or</w:t>
      </w:r>
      <w:r>
        <w:rPr>
          <w:spacing w:val="-15"/>
        </w:rPr>
        <w:t> </w:t>
      </w:r>
      <w:r>
        <w:rPr/>
        <w:t>mental</w:t>
      </w:r>
      <w:r>
        <w:rPr>
          <w:spacing w:val="-15"/>
        </w:rPr>
        <w:t> </w:t>
      </w:r>
      <w:r>
        <w:rPr/>
        <w:t>illness,”</w:t>
      </w:r>
      <w:r>
        <w:rPr>
          <w:spacing w:val="-14"/>
        </w:rPr>
        <w:t> </w:t>
      </w:r>
      <w:r>
        <w:rPr/>
        <w:t>may be</w:t>
      </w:r>
      <w:r>
        <w:rPr>
          <w:spacing w:val="-9"/>
        </w:rPr>
        <w:t> </w:t>
      </w:r>
      <w:r>
        <w:rPr/>
        <w:t>interpreted</w:t>
      </w:r>
      <w:r>
        <w:rPr>
          <w:spacing w:val="-8"/>
        </w:rPr>
        <w:t> </w:t>
      </w:r>
      <w:r>
        <w:rPr/>
        <w:t>in</w:t>
      </w:r>
      <w:r>
        <w:rPr>
          <w:spacing w:val="-8"/>
        </w:rPr>
        <w:t> </w:t>
      </w:r>
      <w:r>
        <w:rPr/>
        <w:t>the</w:t>
      </w:r>
      <w:r>
        <w:rPr>
          <w:spacing w:val="-9"/>
        </w:rPr>
        <w:t> </w:t>
      </w:r>
      <w:r>
        <w:rPr/>
        <w:t>light</w:t>
      </w:r>
      <w:r>
        <w:rPr>
          <w:spacing w:val="-10"/>
        </w:rPr>
        <w:t> </w:t>
      </w:r>
      <w:r>
        <w:rPr/>
        <w:t>of</w:t>
      </w:r>
      <w:r>
        <w:rPr>
          <w:spacing w:val="-8"/>
        </w:rPr>
        <w:t> </w:t>
      </w:r>
      <w:r>
        <w:rPr/>
        <w:t>the</w:t>
      </w:r>
      <w:r>
        <w:rPr>
          <w:spacing w:val="-10"/>
        </w:rPr>
        <w:t> </w:t>
      </w:r>
      <w:r>
        <w:rPr/>
        <w:t>CRPD,</w:t>
      </w:r>
      <w:r>
        <w:rPr>
          <w:spacing w:val="-8"/>
        </w:rPr>
        <w:t> </w:t>
      </w:r>
      <w:r>
        <w:rPr/>
        <w:t>incorporating</w:t>
      </w:r>
      <w:r>
        <w:rPr>
          <w:spacing w:val="-8"/>
        </w:rPr>
        <w:t> </w:t>
      </w:r>
      <w:r>
        <w:rPr/>
        <w:t>assistance</w:t>
      </w:r>
      <w:r>
        <w:rPr>
          <w:spacing w:val="-9"/>
        </w:rPr>
        <w:t> </w:t>
      </w:r>
      <w:r>
        <w:rPr/>
        <w:t>mechanisms</w:t>
      </w:r>
      <w:r>
        <w:rPr>
          <w:spacing w:val="-9"/>
        </w:rPr>
        <w:t> </w:t>
      </w:r>
      <w:r>
        <w:rPr/>
        <w:t>in</w:t>
      </w:r>
      <w:r>
        <w:rPr>
          <w:spacing w:val="-8"/>
        </w:rPr>
        <w:t> </w:t>
      </w:r>
      <w:r>
        <w:rPr/>
        <w:t>mental health</w:t>
      </w:r>
      <w:r>
        <w:rPr>
          <w:spacing w:val="-7"/>
        </w:rPr>
        <w:t> </w:t>
      </w:r>
      <w:r>
        <w:rPr/>
        <w:t>decision-making</w:t>
      </w:r>
      <w:r>
        <w:rPr>
          <w:spacing w:val="-6"/>
        </w:rPr>
        <w:t> </w:t>
      </w:r>
      <w:r>
        <w:rPr/>
        <w:t>until</w:t>
      </w:r>
      <w:r>
        <w:rPr>
          <w:spacing w:val="-7"/>
        </w:rPr>
        <w:t> </w:t>
      </w:r>
      <w:r>
        <w:rPr/>
        <w:t>the</w:t>
      </w:r>
      <w:r>
        <w:rPr>
          <w:spacing w:val="-8"/>
        </w:rPr>
        <w:t> </w:t>
      </w:r>
      <w:r>
        <w:rPr/>
        <w:t>necessary</w:t>
      </w:r>
      <w:r>
        <w:rPr>
          <w:spacing w:val="-6"/>
        </w:rPr>
        <w:t> </w:t>
      </w:r>
      <w:r>
        <w:rPr/>
        <w:t>(and</w:t>
      </w:r>
      <w:r>
        <w:rPr>
          <w:spacing w:val="-6"/>
        </w:rPr>
        <w:t> </w:t>
      </w:r>
      <w:r>
        <w:rPr/>
        <w:t>complex)</w:t>
      </w:r>
      <w:r>
        <w:rPr>
          <w:spacing w:val="-6"/>
        </w:rPr>
        <w:t> </w:t>
      </w:r>
      <w:r>
        <w:rPr/>
        <w:t>legal</w:t>
      </w:r>
      <w:r>
        <w:rPr>
          <w:spacing w:val="-7"/>
        </w:rPr>
        <w:t> </w:t>
      </w:r>
      <w:r>
        <w:rPr/>
        <w:t>reform</w:t>
      </w:r>
      <w:r>
        <w:rPr>
          <w:spacing w:val="-6"/>
        </w:rPr>
        <w:t> </w:t>
      </w:r>
      <w:r>
        <w:rPr/>
        <w:t>—</w:t>
      </w:r>
      <w:r>
        <w:rPr>
          <w:spacing w:val="-6"/>
        </w:rPr>
        <w:t> </w:t>
      </w:r>
      <w:r>
        <w:rPr/>
        <w:t>that</w:t>
      </w:r>
      <w:r>
        <w:rPr>
          <w:spacing w:val="-7"/>
        </w:rPr>
        <w:t> </w:t>
      </w:r>
      <w:r>
        <w:rPr/>
        <w:t>requires the modification of the general framework on legal capacity — has been</w:t>
      </w:r>
      <w:r>
        <w:rPr>
          <w:spacing w:val="-23"/>
        </w:rPr>
        <w:t> </w:t>
      </w:r>
      <w:r>
        <w:rPr/>
        <w:t>undertaken.</w:t>
      </w:r>
    </w:p>
    <w:p>
      <w:pPr>
        <w:pStyle w:val="BodyText"/>
        <w:spacing w:before="1"/>
      </w:pPr>
    </w:p>
    <w:p>
      <w:pPr>
        <w:pStyle w:val="BodyText"/>
        <w:ind w:left="397" w:right="106"/>
        <w:jc w:val="both"/>
      </w:pPr>
      <w:r>
        <w:rPr/>
        <w:t>The coercive measures included in the Mental Health Law regarding involuntary admission are incompatible with Art 17 of the CRPD. Nonconsensual electroconvulsive therapy and scientific research represent a breach of article 15 which prohibits torture and inhuman or degrading treatments. These practices should be prohibited in order to respect the dignity of persons with psychosocial disabilities.</w:t>
      </w:r>
    </w:p>
    <w:p>
      <w:pPr>
        <w:pStyle w:val="BodyText"/>
      </w:pPr>
    </w:p>
    <w:p>
      <w:pPr>
        <w:pStyle w:val="BodyText"/>
        <w:ind w:left="397" w:right="105"/>
        <w:jc w:val="both"/>
      </w:pPr>
      <w:r>
        <w:rPr/>
        <w:t>As discussed above, the Mental Health Law imposes procedural safeguards on involuntary commitment and forced medical treatment, eg the authorisation and supervision of the competent administrative body and compulsory expert medical assessment. However, judicial control and independent monitoring are not</w:t>
      </w:r>
      <w:r>
        <w:rPr>
          <w:spacing w:val="-49"/>
        </w:rPr>
        <w:t> </w:t>
      </w:r>
      <w:r>
        <w:rPr/>
        <w:t>mentioned. Regarding the first issue, it is fundamentally important to stress that should decisions on involuntary admission be judicially appealed, persons with psychosocial disabilities would</w:t>
      </w:r>
      <w:r>
        <w:rPr>
          <w:spacing w:val="-17"/>
        </w:rPr>
        <w:t> </w:t>
      </w:r>
      <w:r>
        <w:rPr/>
        <w:t>face</w:t>
      </w:r>
      <w:r>
        <w:rPr>
          <w:spacing w:val="-19"/>
        </w:rPr>
        <w:t> </w:t>
      </w:r>
      <w:r>
        <w:rPr/>
        <w:t>barriers</w:t>
      </w:r>
      <w:r>
        <w:rPr>
          <w:spacing w:val="-16"/>
        </w:rPr>
        <w:t> </w:t>
      </w:r>
      <w:r>
        <w:rPr/>
        <w:t>to</w:t>
      </w:r>
      <w:r>
        <w:rPr>
          <w:spacing w:val="-18"/>
        </w:rPr>
        <w:t> </w:t>
      </w:r>
      <w:r>
        <w:rPr/>
        <w:t>accessing</w:t>
      </w:r>
      <w:r>
        <w:rPr>
          <w:spacing w:val="-16"/>
        </w:rPr>
        <w:t> </w:t>
      </w:r>
      <w:r>
        <w:rPr/>
        <w:t>the</w:t>
      </w:r>
      <w:r>
        <w:rPr>
          <w:spacing w:val="-16"/>
        </w:rPr>
        <w:t> </w:t>
      </w:r>
      <w:r>
        <w:rPr/>
        <w:t>justice</w:t>
      </w:r>
      <w:r>
        <w:rPr>
          <w:spacing w:val="-16"/>
        </w:rPr>
        <w:t> </w:t>
      </w:r>
      <w:r>
        <w:rPr/>
        <w:t>system</w:t>
      </w:r>
      <w:r>
        <w:rPr>
          <w:spacing w:val="-16"/>
        </w:rPr>
        <w:t> </w:t>
      </w:r>
      <w:r>
        <w:rPr/>
        <w:t>given</w:t>
      </w:r>
      <w:r>
        <w:rPr>
          <w:spacing w:val="-16"/>
        </w:rPr>
        <w:t> </w:t>
      </w:r>
      <w:r>
        <w:rPr/>
        <w:t>the</w:t>
      </w:r>
      <w:r>
        <w:rPr>
          <w:spacing w:val="-16"/>
        </w:rPr>
        <w:t> </w:t>
      </w:r>
      <w:r>
        <w:rPr/>
        <w:t>requirement</w:t>
      </w:r>
      <w:r>
        <w:rPr>
          <w:spacing w:val="-16"/>
        </w:rPr>
        <w:t> </w:t>
      </w:r>
      <w:r>
        <w:rPr/>
        <w:t>of</w:t>
      </w:r>
      <w:r>
        <w:rPr>
          <w:spacing w:val="-17"/>
        </w:rPr>
        <w:t> </w:t>
      </w:r>
      <w:r>
        <w:rPr/>
        <w:t>possessing</w:t>
      </w:r>
    </w:p>
    <w:p>
      <w:pPr>
        <w:pStyle w:val="BodyText"/>
        <w:rPr>
          <w:sz w:val="28"/>
        </w:rPr>
      </w:pPr>
    </w:p>
    <w:p>
      <w:pPr>
        <w:pStyle w:val="BodyText"/>
        <w:spacing w:before="8"/>
        <w:rPr>
          <w:sz w:val="33"/>
        </w:rPr>
      </w:pPr>
    </w:p>
    <w:p>
      <w:pPr>
        <w:spacing w:line="241" w:lineRule="exact" w:before="0"/>
        <w:ind w:left="221" w:right="0" w:firstLine="0"/>
        <w:jc w:val="left"/>
        <w:rPr>
          <w:sz w:val="20"/>
        </w:rPr>
      </w:pPr>
      <w:bookmarkStart w:name="_bookmark93" w:id="95"/>
      <w:bookmarkEnd w:id="95"/>
      <w:r>
        <w:rPr/>
      </w:r>
      <w:r>
        <w:rPr>
          <w:position w:val="7"/>
          <w:sz w:val="13"/>
        </w:rPr>
        <w:t>93 </w:t>
      </w:r>
      <w:r>
        <w:rPr>
          <w:sz w:val="20"/>
        </w:rPr>
        <w:t>Available at:</w:t>
      </w:r>
    </w:p>
    <w:p>
      <w:pPr>
        <w:spacing w:before="0"/>
        <w:ind w:left="391" w:right="2308" w:firstLine="22"/>
        <w:jc w:val="left"/>
        <w:rPr>
          <w:sz w:val="20"/>
        </w:rPr>
      </w:pPr>
      <w:r>
        <w:rPr/>
        <w:pict>
          <v:rect style="position:absolute;margin-left:384.359985pt;margin-top:22.904884pt;width:3.06pt;height:.66pt;mso-position-horizontal-relative:page;mso-position-vertical-relative:paragraph;z-index:1072" filled="true" fillcolor="#000000" stroked="false">
            <v:fill type="solid"/>
            <w10:wrap type="none"/>
          </v:rect>
        </w:pict>
      </w:r>
      <w:hyperlink r:id="rId26">
        <w:r>
          <w:rPr>
            <w:color w:val="0563C1"/>
            <w:sz w:val="20"/>
            <w:u w:val="single" w:color="0563C1"/>
          </w:rPr>
          <w:t>https://www.hamad.qa/EN/hospitals-and-services/Rumailah-Hospital/Hospital-</w:t>
        </w:r>
      </w:hyperlink>
      <w:r>
        <w:rPr>
          <w:color w:val="0563C1"/>
          <w:sz w:val="20"/>
        </w:rPr>
        <w:t> </w:t>
      </w:r>
      <w:hyperlink r:id="rId26">
        <w:r>
          <w:rPr>
            <w:color w:val="0563C1"/>
            <w:sz w:val="20"/>
            <w:u w:val="single" w:color="0563C1"/>
          </w:rPr>
          <w:t>Services/Clinical%20Departments/Pages/Department-of-Psychiatry.aspx</w:t>
        </w:r>
      </w:hyperlink>
      <w:r>
        <w:rPr>
          <w:sz w:val="20"/>
        </w:rPr>
        <w:t>.</w:t>
      </w:r>
    </w:p>
    <w:p>
      <w:pPr>
        <w:spacing w:after="0"/>
        <w:jc w:val="left"/>
        <w:rPr>
          <w:sz w:val="20"/>
        </w:rPr>
        <w:sectPr>
          <w:pgSz w:w="11910" w:h="16840"/>
          <w:pgMar w:header="0" w:footer="523" w:top="1320" w:bottom="720" w:left="940" w:right="1320"/>
        </w:sectPr>
      </w:pPr>
    </w:p>
    <w:p>
      <w:pPr>
        <w:pStyle w:val="BodyText"/>
        <w:spacing w:before="82"/>
        <w:ind w:left="398" w:right="106"/>
        <w:jc w:val="both"/>
        <w:rPr>
          <w:sz w:val="16"/>
        </w:rPr>
      </w:pPr>
      <w:r>
        <w:rPr/>
        <w:t>legal capacity to take part in judicial proceedings </w:t>
      </w:r>
      <w:hyperlink w:history="true" w:anchor="_bookmark94">
        <w:r>
          <w:rPr>
            <w:position w:val="8"/>
            <w:sz w:val="16"/>
          </w:rPr>
          <w:t>94 </w:t>
        </w:r>
      </w:hyperlink>
      <w:r>
        <w:rPr/>
        <w:t>and the lack of accessibility measures and reasonable accommodations.</w:t>
      </w:r>
      <w:hyperlink w:history="true" w:anchor="_bookmark95">
        <w:r>
          <w:rPr>
            <w:position w:val="8"/>
            <w:sz w:val="16"/>
          </w:rPr>
          <w:t>95</w:t>
        </w:r>
      </w:hyperlink>
    </w:p>
    <w:p>
      <w:pPr>
        <w:pStyle w:val="BodyText"/>
      </w:pPr>
    </w:p>
    <w:p>
      <w:pPr>
        <w:pStyle w:val="BodyText"/>
        <w:ind w:left="397" w:right="106"/>
        <w:jc w:val="both"/>
        <w:rPr>
          <w:sz w:val="16"/>
        </w:rPr>
      </w:pPr>
      <w:r>
        <w:rPr/>
        <w:t>With</w:t>
      </w:r>
      <w:r>
        <w:rPr>
          <w:spacing w:val="-5"/>
        </w:rPr>
        <w:t> </w:t>
      </w:r>
      <w:r>
        <w:rPr/>
        <w:t>regard</w:t>
      </w:r>
      <w:r>
        <w:rPr>
          <w:spacing w:val="-5"/>
        </w:rPr>
        <w:t> </w:t>
      </w:r>
      <w:r>
        <w:rPr/>
        <w:t>to</w:t>
      </w:r>
      <w:r>
        <w:rPr>
          <w:spacing w:val="-6"/>
        </w:rPr>
        <w:t> </w:t>
      </w:r>
      <w:r>
        <w:rPr/>
        <w:t>independent</w:t>
      </w:r>
      <w:r>
        <w:rPr>
          <w:spacing w:val="-6"/>
        </w:rPr>
        <w:t> </w:t>
      </w:r>
      <w:r>
        <w:rPr/>
        <w:t>monitoring,</w:t>
      </w:r>
      <w:r>
        <w:rPr>
          <w:spacing w:val="-6"/>
        </w:rPr>
        <w:t> </w:t>
      </w:r>
      <w:r>
        <w:rPr/>
        <w:t>according</w:t>
      </w:r>
      <w:r>
        <w:rPr>
          <w:spacing w:val="-6"/>
        </w:rPr>
        <w:t> </w:t>
      </w:r>
      <w:r>
        <w:rPr/>
        <w:t>to</w:t>
      </w:r>
      <w:r>
        <w:rPr>
          <w:spacing w:val="-7"/>
        </w:rPr>
        <w:t> </w:t>
      </w:r>
      <w:r>
        <w:rPr/>
        <w:t>Law</w:t>
      </w:r>
      <w:r>
        <w:rPr>
          <w:spacing w:val="-6"/>
        </w:rPr>
        <w:t> </w:t>
      </w:r>
      <w:r>
        <w:rPr/>
        <w:t>No.</w:t>
      </w:r>
      <w:r>
        <w:rPr>
          <w:spacing w:val="-5"/>
        </w:rPr>
        <w:t> </w:t>
      </w:r>
      <w:r>
        <w:rPr/>
        <w:t>10</w:t>
      </w:r>
      <w:r>
        <w:rPr>
          <w:spacing w:val="-8"/>
        </w:rPr>
        <w:t> </w:t>
      </w:r>
      <w:r>
        <w:rPr/>
        <w:t>of</w:t>
      </w:r>
      <w:r>
        <w:rPr>
          <w:spacing w:val="-6"/>
        </w:rPr>
        <w:t> </w:t>
      </w:r>
      <w:r>
        <w:rPr/>
        <w:t>2002</w:t>
      </w:r>
      <w:r>
        <w:rPr>
          <w:spacing w:val="-6"/>
        </w:rPr>
        <w:t> </w:t>
      </w:r>
      <w:r>
        <w:rPr/>
        <w:t>on</w:t>
      </w:r>
      <w:r>
        <w:rPr>
          <w:spacing w:val="-7"/>
        </w:rPr>
        <w:t> </w:t>
      </w:r>
      <w:r>
        <w:rPr/>
        <w:t>the</w:t>
      </w:r>
      <w:r>
        <w:rPr>
          <w:spacing w:val="-6"/>
        </w:rPr>
        <w:t> </w:t>
      </w:r>
      <w:r>
        <w:rPr/>
        <w:t>Public Prosecution,</w:t>
      </w:r>
      <w:r>
        <w:rPr>
          <w:spacing w:val="-7"/>
        </w:rPr>
        <w:t> </w:t>
      </w:r>
      <w:r>
        <w:rPr/>
        <w:t>in</w:t>
      </w:r>
      <w:r>
        <w:rPr>
          <w:spacing w:val="-7"/>
        </w:rPr>
        <w:t> </w:t>
      </w:r>
      <w:r>
        <w:rPr/>
        <w:t>theory</w:t>
      </w:r>
      <w:r>
        <w:rPr>
          <w:spacing w:val="-7"/>
        </w:rPr>
        <w:t> </w:t>
      </w:r>
      <w:r>
        <w:rPr/>
        <w:t>in</w:t>
      </w:r>
      <w:r>
        <w:rPr>
          <w:spacing w:val="-7"/>
        </w:rPr>
        <w:t> </w:t>
      </w:r>
      <w:r>
        <w:rPr/>
        <w:t>Qatar</w:t>
      </w:r>
      <w:r>
        <w:rPr>
          <w:spacing w:val="-9"/>
        </w:rPr>
        <w:t> </w:t>
      </w:r>
      <w:r>
        <w:rPr/>
        <w:t>prosecutors</w:t>
      </w:r>
      <w:r>
        <w:rPr>
          <w:spacing w:val="-8"/>
        </w:rPr>
        <w:t> </w:t>
      </w:r>
      <w:r>
        <w:rPr/>
        <w:t>have</w:t>
      </w:r>
      <w:r>
        <w:rPr>
          <w:spacing w:val="-8"/>
        </w:rPr>
        <w:t> </w:t>
      </w:r>
      <w:r>
        <w:rPr/>
        <w:t>competence</w:t>
      </w:r>
      <w:r>
        <w:rPr>
          <w:spacing w:val="-8"/>
        </w:rPr>
        <w:t> </w:t>
      </w:r>
      <w:r>
        <w:rPr/>
        <w:t>to</w:t>
      </w:r>
      <w:r>
        <w:rPr>
          <w:spacing w:val="-7"/>
        </w:rPr>
        <w:t> </w:t>
      </w:r>
      <w:r>
        <w:rPr/>
        <w:t>monitor</w:t>
      </w:r>
      <w:r>
        <w:rPr>
          <w:spacing w:val="-8"/>
        </w:rPr>
        <w:t> </w:t>
      </w:r>
      <w:r>
        <w:rPr/>
        <w:t>mental</w:t>
      </w:r>
      <w:r>
        <w:rPr>
          <w:spacing w:val="-9"/>
        </w:rPr>
        <w:t> </w:t>
      </w:r>
      <w:r>
        <w:rPr/>
        <w:t>health facilities by conducting periodic and random visits as well as receiving complaints. The NHRC also conducts field visits to mental health facilities to monitor human rights compliance.</w:t>
      </w:r>
      <w:r>
        <w:rPr>
          <w:spacing w:val="-13"/>
        </w:rPr>
        <w:t> </w:t>
      </w:r>
      <w:r>
        <w:rPr/>
        <w:t>However,</w:t>
      </w:r>
      <w:r>
        <w:rPr>
          <w:spacing w:val="-14"/>
        </w:rPr>
        <w:t> </w:t>
      </w:r>
      <w:r>
        <w:rPr/>
        <w:t>these</w:t>
      </w:r>
      <w:r>
        <w:rPr>
          <w:spacing w:val="-14"/>
        </w:rPr>
        <w:t> </w:t>
      </w:r>
      <w:r>
        <w:rPr/>
        <w:t>mechanisms</w:t>
      </w:r>
      <w:r>
        <w:rPr>
          <w:spacing w:val="-14"/>
        </w:rPr>
        <w:t> </w:t>
      </w:r>
      <w:r>
        <w:rPr/>
        <w:t>seem</w:t>
      </w:r>
      <w:r>
        <w:rPr>
          <w:spacing w:val="-13"/>
        </w:rPr>
        <w:t> </w:t>
      </w:r>
      <w:r>
        <w:rPr/>
        <w:t>insufficient,</w:t>
      </w:r>
      <w:r>
        <w:rPr>
          <w:spacing w:val="-14"/>
        </w:rPr>
        <w:t> </w:t>
      </w:r>
      <w:r>
        <w:rPr/>
        <w:t>as</w:t>
      </w:r>
      <w:r>
        <w:rPr>
          <w:spacing w:val="-14"/>
        </w:rPr>
        <w:t> </w:t>
      </w:r>
      <w:r>
        <w:rPr/>
        <w:t>found</w:t>
      </w:r>
      <w:r>
        <w:rPr>
          <w:spacing w:val="-14"/>
        </w:rPr>
        <w:t> </w:t>
      </w:r>
      <w:r>
        <w:rPr/>
        <w:t>by</w:t>
      </w:r>
      <w:r>
        <w:rPr>
          <w:spacing w:val="-14"/>
        </w:rPr>
        <w:t> </w:t>
      </w:r>
      <w:r>
        <w:rPr/>
        <w:t>the</w:t>
      </w:r>
      <w:r>
        <w:rPr>
          <w:spacing w:val="-14"/>
        </w:rPr>
        <w:t> </w:t>
      </w:r>
      <w:r>
        <w:rPr/>
        <w:t>Committee against Torture who has expressed its concern about the lack of systematic and effective monitoring of all places of deprivation of liberty in Qatar by national and international bodies. Thus, it has recommended: ensuring that fully independent monitoring of all places used for deprivation of liberty, including psychiatric facilities, as</w:t>
      </w:r>
      <w:r>
        <w:rPr>
          <w:spacing w:val="-11"/>
        </w:rPr>
        <w:t> </w:t>
      </w:r>
      <w:r>
        <w:rPr/>
        <w:t>well</w:t>
      </w:r>
      <w:r>
        <w:rPr>
          <w:spacing w:val="-11"/>
        </w:rPr>
        <w:t> </w:t>
      </w:r>
      <w:r>
        <w:rPr/>
        <w:t>as</w:t>
      </w:r>
      <w:r>
        <w:rPr>
          <w:spacing w:val="-11"/>
        </w:rPr>
        <w:t> </w:t>
      </w:r>
      <w:r>
        <w:rPr/>
        <w:t>unannounced</w:t>
      </w:r>
      <w:r>
        <w:rPr>
          <w:spacing w:val="-11"/>
        </w:rPr>
        <w:t> </w:t>
      </w:r>
      <w:r>
        <w:rPr/>
        <w:t>visits,</w:t>
      </w:r>
      <w:r>
        <w:rPr>
          <w:spacing w:val="-11"/>
        </w:rPr>
        <w:t> </w:t>
      </w:r>
      <w:r>
        <w:rPr/>
        <w:t>takes</w:t>
      </w:r>
      <w:r>
        <w:rPr>
          <w:spacing w:val="-11"/>
        </w:rPr>
        <w:t> </w:t>
      </w:r>
      <w:r>
        <w:rPr/>
        <w:t>place</w:t>
      </w:r>
      <w:r>
        <w:rPr>
          <w:spacing w:val="-11"/>
        </w:rPr>
        <w:t> </w:t>
      </w:r>
      <w:r>
        <w:rPr/>
        <w:t>on</w:t>
      </w:r>
      <w:r>
        <w:rPr>
          <w:spacing w:val="-11"/>
        </w:rPr>
        <w:t> </w:t>
      </w:r>
      <w:r>
        <w:rPr/>
        <w:t>a</w:t>
      </w:r>
      <w:r>
        <w:rPr>
          <w:spacing w:val="-11"/>
        </w:rPr>
        <w:t> </w:t>
      </w:r>
      <w:r>
        <w:rPr/>
        <w:t>regular</w:t>
      </w:r>
      <w:r>
        <w:rPr>
          <w:spacing w:val="-11"/>
        </w:rPr>
        <w:t> </w:t>
      </w:r>
      <w:r>
        <w:rPr/>
        <w:t>basis;</w:t>
      </w:r>
      <w:r>
        <w:rPr>
          <w:spacing w:val="-11"/>
        </w:rPr>
        <w:t> </w:t>
      </w:r>
      <w:r>
        <w:rPr/>
        <w:t>enabling</w:t>
      </w:r>
      <w:r>
        <w:rPr>
          <w:spacing w:val="-11"/>
        </w:rPr>
        <w:t> </w:t>
      </w:r>
      <w:r>
        <w:rPr/>
        <w:t>effective</w:t>
      </w:r>
      <w:r>
        <w:rPr>
          <w:spacing w:val="-11"/>
        </w:rPr>
        <w:t> </w:t>
      </w:r>
      <w:r>
        <w:rPr/>
        <w:t>follow- up</w:t>
      </w:r>
      <w:r>
        <w:rPr>
          <w:spacing w:val="-9"/>
        </w:rPr>
        <w:t> </w:t>
      </w:r>
      <w:r>
        <w:rPr/>
        <w:t>on</w:t>
      </w:r>
      <w:r>
        <w:rPr>
          <w:spacing w:val="-9"/>
        </w:rPr>
        <w:t> </w:t>
      </w:r>
      <w:r>
        <w:rPr/>
        <w:t>the</w:t>
      </w:r>
      <w:r>
        <w:rPr>
          <w:spacing w:val="-9"/>
        </w:rPr>
        <w:t> </w:t>
      </w:r>
      <w:r>
        <w:rPr/>
        <w:t>outcome</w:t>
      </w:r>
      <w:r>
        <w:rPr>
          <w:spacing w:val="-8"/>
        </w:rPr>
        <w:t> </w:t>
      </w:r>
      <w:r>
        <w:rPr/>
        <w:t>of</w:t>
      </w:r>
      <w:r>
        <w:rPr>
          <w:spacing w:val="-9"/>
        </w:rPr>
        <w:t> </w:t>
      </w:r>
      <w:r>
        <w:rPr/>
        <w:t>such</w:t>
      </w:r>
      <w:r>
        <w:rPr>
          <w:spacing w:val="-7"/>
        </w:rPr>
        <w:t> </w:t>
      </w:r>
      <w:r>
        <w:rPr/>
        <w:t>systematic</w:t>
      </w:r>
      <w:r>
        <w:rPr>
          <w:spacing w:val="-8"/>
        </w:rPr>
        <w:t> </w:t>
      </w:r>
      <w:r>
        <w:rPr/>
        <w:t>monitoring</w:t>
      </w:r>
      <w:r>
        <w:rPr>
          <w:spacing w:val="-7"/>
        </w:rPr>
        <w:t> </w:t>
      </w:r>
      <w:r>
        <w:rPr/>
        <w:t>in</w:t>
      </w:r>
      <w:r>
        <w:rPr>
          <w:spacing w:val="-9"/>
        </w:rPr>
        <w:t> </w:t>
      </w:r>
      <w:r>
        <w:rPr/>
        <w:t>order</w:t>
      </w:r>
      <w:r>
        <w:rPr>
          <w:spacing w:val="-8"/>
        </w:rPr>
        <w:t> </w:t>
      </w:r>
      <w:r>
        <w:rPr/>
        <w:t>to</w:t>
      </w:r>
      <w:r>
        <w:rPr>
          <w:spacing w:val="-9"/>
        </w:rPr>
        <w:t> </w:t>
      </w:r>
      <w:r>
        <w:rPr/>
        <w:t>prevent</w:t>
      </w:r>
      <w:r>
        <w:rPr>
          <w:spacing w:val="-8"/>
        </w:rPr>
        <w:t> </w:t>
      </w:r>
      <w:r>
        <w:rPr/>
        <w:t>torture</w:t>
      </w:r>
      <w:r>
        <w:rPr>
          <w:spacing w:val="-9"/>
        </w:rPr>
        <w:t> </w:t>
      </w:r>
      <w:r>
        <w:rPr/>
        <w:t>and</w:t>
      </w:r>
      <w:r>
        <w:rPr>
          <w:spacing w:val="-9"/>
        </w:rPr>
        <w:t> </w:t>
      </w:r>
      <w:r>
        <w:rPr/>
        <w:t>other cruel,</w:t>
      </w:r>
      <w:r>
        <w:rPr>
          <w:spacing w:val="-12"/>
        </w:rPr>
        <w:t> </w:t>
      </w:r>
      <w:r>
        <w:rPr/>
        <w:t>inhuman</w:t>
      </w:r>
      <w:r>
        <w:rPr>
          <w:spacing w:val="-12"/>
        </w:rPr>
        <w:t> </w:t>
      </w:r>
      <w:r>
        <w:rPr/>
        <w:t>or</w:t>
      </w:r>
      <w:r>
        <w:rPr>
          <w:spacing w:val="-14"/>
        </w:rPr>
        <w:t> </w:t>
      </w:r>
      <w:r>
        <w:rPr/>
        <w:t>degrading</w:t>
      </w:r>
      <w:r>
        <w:rPr>
          <w:spacing w:val="-12"/>
        </w:rPr>
        <w:t> </w:t>
      </w:r>
      <w:r>
        <w:rPr/>
        <w:t>treatment</w:t>
      </w:r>
      <w:r>
        <w:rPr>
          <w:spacing w:val="-12"/>
        </w:rPr>
        <w:t> </w:t>
      </w:r>
      <w:r>
        <w:rPr/>
        <w:t>or</w:t>
      </w:r>
      <w:r>
        <w:rPr>
          <w:spacing w:val="-12"/>
        </w:rPr>
        <w:t> </w:t>
      </w:r>
      <w:r>
        <w:rPr/>
        <w:t>punishment;</w:t>
      </w:r>
      <w:r>
        <w:rPr>
          <w:spacing w:val="-13"/>
        </w:rPr>
        <w:t> </w:t>
      </w:r>
      <w:r>
        <w:rPr/>
        <w:t>strengthening</w:t>
      </w:r>
      <w:r>
        <w:rPr>
          <w:spacing w:val="-12"/>
        </w:rPr>
        <w:t> </w:t>
      </w:r>
      <w:r>
        <w:rPr/>
        <w:t>the</w:t>
      </w:r>
      <w:r>
        <w:rPr>
          <w:spacing w:val="-13"/>
        </w:rPr>
        <w:t> </w:t>
      </w:r>
      <w:r>
        <w:rPr/>
        <w:t>mandate</w:t>
      </w:r>
      <w:r>
        <w:rPr>
          <w:spacing w:val="-13"/>
        </w:rPr>
        <w:t> </w:t>
      </w:r>
      <w:r>
        <w:rPr/>
        <w:t>and resources of the NHRC and other national monitoring mechanisms; accepting monitoring of places of detention by non-governmental organizations and relevant international mechanisms; and the ratification of the Optional Protocol to the Convention against Torture as soon as</w:t>
      </w:r>
      <w:r>
        <w:rPr>
          <w:spacing w:val="-2"/>
        </w:rPr>
        <w:t> </w:t>
      </w:r>
      <w:r>
        <w:rPr/>
        <w:t>possible.</w:t>
      </w:r>
      <w:hyperlink w:history="true" w:anchor="_bookmark96">
        <w:r>
          <w:rPr>
            <w:position w:val="8"/>
            <w:sz w:val="16"/>
          </w:rPr>
          <w:t>96</w:t>
        </w:r>
      </w:hyperlink>
    </w:p>
    <w:p>
      <w:pPr>
        <w:pStyle w:val="BodyText"/>
      </w:pPr>
    </w:p>
    <w:p>
      <w:pPr>
        <w:pStyle w:val="BodyText"/>
        <w:ind w:left="397" w:right="106"/>
        <w:jc w:val="both"/>
        <w:rPr>
          <w:sz w:val="16"/>
        </w:rPr>
      </w:pPr>
      <w:r>
        <w:rPr/>
        <w:t>The</w:t>
      </w:r>
      <w:r>
        <w:rPr>
          <w:spacing w:val="-16"/>
        </w:rPr>
        <w:t> </w:t>
      </w:r>
      <w:r>
        <w:rPr/>
        <w:t>implementation</w:t>
      </w:r>
      <w:r>
        <w:rPr>
          <w:spacing w:val="-17"/>
        </w:rPr>
        <w:t> </w:t>
      </w:r>
      <w:r>
        <w:rPr/>
        <w:t>of</w:t>
      </w:r>
      <w:r>
        <w:rPr>
          <w:spacing w:val="-16"/>
        </w:rPr>
        <w:t> </w:t>
      </w:r>
      <w:r>
        <w:rPr/>
        <w:t>these</w:t>
      </w:r>
      <w:r>
        <w:rPr>
          <w:spacing w:val="-16"/>
        </w:rPr>
        <w:t> </w:t>
      </w:r>
      <w:r>
        <w:rPr/>
        <w:t>observations</w:t>
      </w:r>
      <w:r>
        <w:rPr>
          <w:spacing w:val="-18"/>
        </w:rPr>
        <w:t> </w:t>
      </w:r>
      <w:r>
        <w:rPr/>
        <w:t>is</w:t>
      </w:r>
      <w:r>
        <w:rPr>
          <w:spacing w:val="-16"/>
        </w:rPr>
        <w:t> </w:t>
      </w:r>
      <w:r>
        <w:rPr/>
        <w:t>crucial</w:t>
      </w:r>
      <w:r>
        <w:rPr>
          <w:spacing w:val="-16"/>
        </w:rPr>
        <w:t> </w:t>
      </w:r>
      <w:r>
        <w:rPr/>
        <w:t>to</w:t>
      </w:r>
      <w:r>
        <w:rPr>
          <w:spacing w:val="-17"/>
        </w:rPr>
        <w:t> </w:t>
      </w:r>
      <w:r>
        <w:rPr/>
        <w:t>complying</w:t>
      </w:r>
      <w:r>
        <w:rPr>
          <w:spacing w:val="-17"/>
        </w:rPr>
        <w:t> </w:t>
      </w:r>
      <w:r>
        <w:rPr/>
        <w:t>with</w:t>
      </w:r>
      <w:r>
        <w:rPr>
          <w:spacing w:val="-16"/>
        </w:rPr>
        <w:t> </w:t>
      </w:r>
      <w:r>
        <w:rPr/>
        <w:t>the</w:t>
      </w:r>
      <w:r>
        <w:rPr>
          <w:spacing w:val="-17"/>
        </w:rPr>
        <w:t> </w:t>
      </w:r>
      <w:r>
        <w:rPr/>
        <w:t>requirements of Article 16.3 of the CRPD. On a positive note, with regards to the content of Article 16 of the CRPD, the Mental Health Law introduces some penalties surrounding abuse or neglect by medical staff and establishing four separate new crimes prohibiting the mistreatment of patients with “mental</w:t>
      </w:r>
      <w:r>
        <w:rPr>
          <w:spacing w:val="-2"/>
        </w:rPr>
        <w:t> </w:t>
      </w:r>
      <w:r>
        <w:rPr/>
        <w:t>illness.”</w:t>
      </w:r>
      <w:hyperlink w:history="true" w:anchor="_bookmark97">
        <w:r>
          <w:rPr>
            <w:position w:val="8"/>
            <w:sz w:val="16"/>
          </w:rPr>
          <w:t>97</w:t>
        </w:r>
      </w:hyperlink>
    </w:p>
    <w:p>
      <w:pPr>
        <w:pStyle w:val="BodyText"/>
        <w:spacing w:before="11"/>
        <w:rPr>
          <w:sz w:val="23"/>
        </w:rPr>
      </w:pPr>
    </w:p>
    <w:p>
      <w:pPr>
        <w:pStyle w:val="BodyText"/>
        <w:ind w:left="398" w:right="106"/>
        <w:jc w:val="both"/>
        <w:rPr>
          <w:sz w:val="16"/>
        </w:rPr>
      </w:pPr>
      <w:r>
        <w:rPr/>
        <w:t>Another deficiency of the Qatari framework regarding the right to liberty and security of persons with disabilities, including persons with psychosocial disabilities, is the lack of sectorial legislation regulating psychiatric care institutions and residential facilities (conditions to admission, rights of the users and monitoring, among other issues).</w:t>
      </w:r>
      <w:hyperlink w:history="true" w:anchor="_bookmark98">
        <w:r>
          <w:rPr>
            <w:position w:val="8"/>
            <w:sz w:val="16"/>
          </w:rPr>
          <w:t>98</w:t>
        </w:r>
      </w:hyperlink>
    </w:p>
    <w:p>
      <w:pPr>
        <w:pStyle w:val="BodyText"/>
      </w:pPr>
    </w:p>
    <w:p>
      <w:pPr>
        <w:pStyle w:val="Heading1"/>
        <w:numPr>
          <w:ilvl w:val="0"/>
          <w:numId w:val="2"/>
        </w:numPr>
        <w:tabs>
          <w:tab w:pos="817" w:val="left" w:leader="none"/>
        </w:tabs>
        <w:spacing w:line="230" w:lineRule="auto" w:before="0" w:after="0"/>
        <w:ind w:left="397" w:right="106" w:firstLine="1"/>
        <w:jc w:val="both"/>
      </w:pPr>
      <w:r>
        <w:rPr/>
        <w:t>Deprivation</w:t>
      </w:r>
      <w:r>
        <w:rPr>
          <w:spacing w:val="-11"/>
        </w:rPr>
        <w:t> </w:t>
      </w:r>
      <w:r>
        <w:rPr/>
        <w:t>of</w:t>
      </w:r>
      <w:r>
        <w:rPr>
          <w:spacing w:val="-11"/>
        </w:rPr>
        <w:t> </w:t>
      </w:r>
      <w:r>
        <w:rPr/>
        <w:t>liberty</w:t>
      </w:r>
      <w:r>
        <w:rPr>
          <w:spacing w:val="-11"/>
        </w:rPr>
        <w:t> </w:t>
      </w:r>
      <w:r>
        <w:rPr/>
        <w:t>of</w:t>
      </w:r>
      <w:r>
        <w:rPr>
          <w:spacing w:val="-11"/>
        </w:rPr>
        <w:t> </w:t>
      </w:r>
      <w:r>
        <w:rPr/>
        <w:t>persons</w:t>
      </w:r>
      <w:r>
        <w:rPr>
          <w:spacing w:val="-11"/>
        </w:rPr>
        <w:t> </w:t>
      </w:r>
      <w:r>
        <w:rPr/>
        <w:t>with</w:t>
      </w:r>
      <w:r>
        <w:rPr>
          <w:spacing w:val="-11"/>
        </w:rPr>
        <w:t> </w:t>
      </w:r>
      <w:r>
        <w:rPr/>
        <w:t>psychosocial</w:t>
      </w:r>
      <w:r>
        <w:rPr>
          <w:spacing w:val="-12"/>
        </w:rPr>
        <w:t> </w:t>
      </w:r>
      <w:r>
        <w:rPr/>
        <w:t>disabilities</w:t>
      </w:r>
      <w:r>
        <w:rPr>
          <w:spacing w:val="-11"/>
        </w:rPr>
        <w:t> </w:t>
      </w:r>
      <w:r>
        <w:rPr/>
        <w:t>in</w:t>
      </w:r>
      <w:r>
        <w:rPr>
          <w:spacing w:val="-12"/>
        </w:rPr>
        <w:t> </w:t>
      </w:r>
      <w:r>
        <w:rPr/>
        <w:t>Qatar’s</w:t>
      </w:r>
      <w:r>
        <w:rPr>
          <w:spacing w:val="-11"/>
        </w:rPr>
        <w:t> </w:t>
      </w:r>
      <w:r>
        <w:rPr/>
        <w:t>criminal justice</w:t>
      </w:r>
      <w:r>
        <w:rPr>
          <w:spacing w:val="-4"/>
        </w:rPr>
        <w:t> </w:t>
      </w:r>
      <w:r>
        <w:rPr/>
        <w:t>system</w:t>
      </w:r>
    </w:p>
    <w:p>
      <w:pPr>
        <w:pStyle w:val="BodyText"/>
        <w:spacing w:before="1"/>
        <w:rPr>
          <w:i/>
        </w:rPr>
      </w:pPr>
    </w:p>
    <w:p>
      <w:pPr>
        <w:pStyle w:val="BodyText"/>
        <w:ind w:left="398" w:right="107"/>
        <w:jc w:val="both"/>
      </w:pPr>
      <w:r>
        <w:rPr/>
        <w:t>In the criminal context, the Qatari justice system, as in the case of other frameworks, deems psychosocial and intellectual disabilities to be justification for total or partial</w:t>
      </w:r>
    </w:p>
    <w:p>
      <w:pPr>
        <w:pStyle w:val="BodyText"/>
        <w:spacing w:before="1"/>
        <w:rPr>
          <w:sz w:val="27"/>
        </w:rPr>
      </w:pPr>
    </w:p>
    <w:p>
      <w:pPr>
        <w:spacing w:line="247" w:lineRule="exact" w:before="0"/>
        <w:ind w:left="221" w:right="0" w:firstLine="0"/>
        <w:jc w:val="left"/>
        <w:rPr>
          <w:sz w:val="20"/>
        </w:rPr>
      </w:pPr>
      <w:bookmarkStart w:name="_bookmark94" w:id="96"/>
      <w:bookmarkEnd w:id="96"/>
      <w:r>
        <w:rPr/>
      </w:r>
      <w:r>
        <w:rPr>
          <w:position w:val="7"/>
          <w:sz w:val="13"/>
        </w:rPr>
        <w:t>94 </w:t>
      </w:r>
      <w:r>
        <w:rPr>
          <w:i/>
          <w:sz w:val="21"/>
        </w:rPr>
        <w:t>Law No. 13 of 1990 Civil and Commercial Procedure Law</w:t>
      </w:r>
      <w:r>
        <w:rPr>
          <w:sz w:val="20"/>
        </w:rPr>
        <w:t>.</w:t>
      </w:r>
    </w:p>
    <w:p>
      <w:pPr>
        <w:spacing w:line="240" w:lineRule="auto" w:before="0"/>
        <w:ind w:left="449" w:right="106" w:hanging="229"/>
        <w:jc w:val="both"/>
        <w:rPr>
          <w:sz w:val="20"/>
        </w:rPr>
      </w:pPr>
      <w:bookmarkStart w:name="_bookmark95" w:id="97"/>
      <w:bookmarkEnd w:id="97"/>
      <w:r>
        <w:rPr/>
      </w:r>
      <w:r>
        <w:rPr>
          <w:position w:val="7"/>
          <w:sz w:val="13"/>
        </w:rPr>
        <w:t>95</w:t>
      </w:r>
      <w:r>
        <w:rPr>
          <w:spacing w:val="-11"/>
          <w:position w:val="7"/>
          <w:sz w:val="13"/>
        </w:rPr>
        <w:t> </w:t>
      </w:r>
      <w:r>
        <w:rPr>
          <w:sz w:val="20"/>
        </w:rPr>
        <w:t>The</w:t>
      </w:r>
      <w:r>
        <w:rPr>
          <w:spacing w:val="-18"/>
          <w:sz w:val="20"/>
        </w:rPr>
        <w:t> </w:t>
      </w:r>
      <w:r>
        <w:rPr>
          <w:sz w:val="20"/>
        </w:rPr>
        <w:t>CRPD</w:t>
      </w:r>
      <w:r>
        <w:rPr>
          <w:spacing w:val="-18"/>
          <w:sz w:val="20"/>
        </w:rPr>
        <w:t> </w:t>
      </w:r>
      <w:r>
        <w:rPr>
          <w:sz w:val="20"/>
        </w:rPr>
        <w:t>Committee</w:t>
      </w:r>
      <w:r>
        <w:rPr>
          <w:spacing w:val="-18"/>
          <w:sz w:val="20"/>
        </w:rPr>
        <w:t> </w:t>
      </w:r>
      <w:r>
        <w:rPr>
          <w:sz w:val="20"/>
        </w:rPr>
        <w:t>in</w:t>
      </w:r>
      <w:r>
        <w:rPr>
          <w:spacing w:val="-18"/>
          <w:sz w:val="20"/>
        </w:rPr>
        <w:t> </w:t>
      </w:r>
      <w:r>
        <w:rPr>
          <w:sz w:val="20"/>
        </w:rPr>
        <w:t>its</w:t>
      </w:r>
      <w:r>
        <w:rPr>
          <w:spacing w:val="-18"/>
          <w:sz w:val="20"/>
        </w:rPr>
        <w:t> </w:t>
      </w:r>
      <w:r>
        <w:rPr>
          <w:i/>
          <w:sz w:val="21"/>
        </w:rPr>
        <w:t>Concluding</w:t>
      </w:r>
      <w:r>
        <w:rPr>
          <w:i/>
          <w:spacing w:val="-23"/>
          <w:sz w:val="21"/>
        </w:rPr>
        <w:t> </w:t>
      </w:r>
      <w:r>
        <w:rPr>
          <w:i/>
          <w:sz w:val="21"/>
        </w:rPr>
        <w:t>Observations</w:t>
      </w:r>
      <w:r>
        <w:rPr>
          <w:i/>
          <w:spacing w:val="-22"/>
          <w:sz w:val="21"/>
        </w:rPr>
        <w:t> </w:t>
      </w:r>
      <w:r>
        <w:rPr>
          <w:i/>
          <w:sz w:val="21"/>
        </w:rPr>
        <w:t>on</w:t>
      </w:r>
      <w:r>
        <w:rPr>
          <w:i/>
          <w:spacing w:val="-21"/>
          <w:sz w:val="21"/>
        </w:rPr>
        <w:t> </w:t>
      </w:r>
      <w:r>
        <w:rPr>
          <w:i/>
          <w:sz w:val="21"/>
        </w:rPr>
        <w:t>the</w:t>
      </w:r>
      <w:r>
        <w:rPr>
          <w:i/>
          <w:spacing w:val="-21"/>
          <w:sz w:val="21"/>
        </w:rPr>
        <w:t> </w:t>
      </w:r>
      <w:r>
        <w:rPr>
          <w:i/>
          <w:sz w:val="21"/>
        </w:rPr>
        <w:t>Initial</w:t>
      </w:r>
      <w:r>
        <w:rPr>
          <w:i/>
          <w:spacing w:val="-23"/>
          <w:sz w:val="21"/>
        </w:rPr>
        <w:t> </w:t>
      </w:r>
      <w:r>
        <w:rPr>
          <w:i/>
          <w:sz w:val="21"/>
        </w:rPr>
        <w:t>Report</w:t>
      </w:r>
      <w:r>
        <w:rPr>
          <w:i/>
          <w:spacing w:val="-22"/>
          <w:sz w:val="21"/>
        </w:rPr>
        <w:t> </w:t>
      </w:r>
      <w:r>
        <w:rPr>
          <w:i/>
          <w:sz w:val="21"/>
        </w:rPr>
        <w:t>of</w:t>
      </w:r>
      <w:r>
        <w:rPr>
          <w:i/>
          <w:spacing w:val="-21"/>
          <w:sz w:val="21"/>
        </w:rPr>
        <w:t> </w:t>
      </w:r>
      <w:r>
        <w:rPr>
          <w:i/>
          <w:sz w:val="21"/>
        </w:rPr>
        <w:t>Qatar</w:t>
      </w:r>
      <w:r>
        <w:rPr>
          <w:sz w:val="20"/>
        </w:rPr>
        <w:t>,</w:t>
      </w:r>
      <w:r>
        <w:rPr>
          <w:spacing w:val="-18"/>
          <w:sz w:val="20"/>
        </w:rPr>
        <w:t> </w:t>
      </w:r>
      <w:r>
        <w:rPr>
          <w:sz w:val="20"/>
        </w:rPr>
        <w:t>para</w:t>
      </w:r>
      <w:r>
        <w:rPr>
          <w:spacing w:val="-18"/>
          <w:sz w:val="20"/>
        </w:rPr>
        <w:t> </w:t>
      </w:r>
      <w:r>
        <w:rPr>
          <w:sz w:val="20"/>
        </w:rPr>
        <w:t>(25)</w:t>
      </w:r>
      <w:r>
        <w:rPr>
          <w:spacing w:val="-19"/>
          <w:sz w:val="20"/>
        </w:rPr>
        <w:t> </w:t>
      </w:r>
      <w:r>
        <w:rPr>
          <w:sz w:val="20"/>
        </w:rPr>
        <w:t>expressed its</w:t>
      </w:r>
      <w:r>
        <w:rPr>
          <w:spacing w:val="-16"/>
          <w:sz w:val="20"/>
        </w:rPr>
        <w:t> </w:t>
      </w:r>
      <w:r>
        <w:rPr>
          <w:sz w:val="20"/>
        </w:rPr>
        <w:t>concern</w:t>
      </w:r>
      <w:r>
        <w:rPr>
          <w:spacing w:val="-17"/>
          <w:sz w:val="20"/>
        </w:rPr>
        <w:t> </w:t>
      </w:r>
      <w:r>
        <w:rPr>
          <w:sz w:val="20"/>
        </w:rPr>
        <w:t>“about</w:t>
      </w:r>
      <w:r>
        <w:rPr>
          <w:spacing w:val="-16"/>
          <w:sz w:val="20"/>
        </w:rPr>
        <w:t> </w:t>
      </w:r>
      <w:r>
        <w:rPr>
          <w:sz w:val="20"/>
        </w:rPr>
        <w:t>the</w:t>
      </w:r>
      <w:r>
        <w:rPr>
          <w:spacing w:val="-17"/>
          <w:sz w:val="20"/>
        </w:rPr>
        <w:t> </w:t>
      </w:r>
      <w:r>
        <w:rPr>
          <w:sz w:val="20"/>
        </w:rPr>
        <w:t>lack</w:t>
      </w:r>
      <w:r>
        <w:rPr>
          <w:spacing w:val="-18"/>
          <w:sz w:val="20"/>
        </w:rPr>
        <w:t> </w:t>
      </w:r>
      <w:r>
        <w:rPr>
          <w:sz w:val="20"/>
        </w:rPr>
        <w:t>of</w:t>
      </w:r>
      <w:r>
        <w:rPr>
          <w:spacing w:val="-17"/>
          <w:sz w:val="20"/>
        </w:rPr>
        <w:t> </w:t>
      </w:r>
      <w:r>
        <w:rPr>
          <w:sz w:val="20"/>
        </w:rPr>
        <w:t>accessibility</w:t>
      </w:r>
      <w:r>
        <w:rPr>
          <w:spacing w:val="-17"/>
          <w:sz w:val="20"/>
        </w:rPr>
        <w:t> </w:t>
      </w:r>
      <w:r>
        <w:rPr>
          <w:sz w:val="20"/>
        </w:rPr>
        <w:t>to</w:t>
      </w:r>
      <w:r>
        <w:rPr>
          <w:spacing w:val="-16"/>
          <w:sz w:val="20"/>
        </w:rPr>
        <w:t> </w:t>
      </w:r>
      <w:r>
        <w:rPr>
          <w:sz w:val="20"/>
        </w:rPr>
        <w:t>the</w:t>
      </w:r>
      <w:r>
        <w:rPr>
          <w:spacing w:val="-17"/>
          <w:sz w:val="20"/>
        </w:rPr>
        <w:t> </w:t>
      </w:r>
      <w:r>
        <w:rPr>
          <w:sz w:val="20"/>
        </w:rPr>
        <w:t>Qatari</w:t>
      </w:r>
      <w:r>
        <w:rPr>
          <w:spacing w:val="-17"/>
          <w:sz w:val="20"/>
        </w:rPr>
        <w:t> </w:t>
      </w:r>
      <w:r>
        <w:rPr>
          <w:sz w:val="20"/>
        </w:rPr>
        <w:t>justice</w:t>
      </w:r>
      <w:r>
        <w:rPr>
          <w:spacing w:val="-17"/>
          <w:sz w:val="20"/>
        </w:rPr>
        <w:t> </w:t>
      </w:r>
      <w:r>
        <w:rPr>
          <w:sz w:val="20"/>
        </w:rPr>
        <w:t>system,</w:t>
      </w:r>
      <w:r>
        <w:rPr>
          <w:spacing w:val="-16"/>
          <w:sz w:val="20"/>
        </w:rPr>
        <w:t> </w:t>
      </w:r>
      <w:r>
        <w:rPr>
          <w:sz w:val="20"/>
        </w:rPr>
        <w:t>including</w:t>
      </w:r>
      <w:r>
        <w:rPr>
          <w:spacing w:val="-17"/>
          <w:sz w:val="20"/>
        </w:rPr>
        <w:t> </w:t>
      </w:r>
      <w:r>
        <w:rPr>
          <w:sz w:val="20"/>
        </w:rPr>
        <w:t>legal</w:t>
      </w:r>
      <w:r>
        <w:rPr>
          <w:spacing w:val="-17"/>
          <w:sz w:val="20"/>
        </w:rPr>
        <w:t> </w:t>
      </w:r>
      <w:r>
        <w:rPr>
          <w:sz w:val="20"/>
        </w:rPr>
        <w:t>aid</w:t>
      </w:r>
      <w:r>
        <w:rPr>
          <w:spacing w:val="-17"/>
          <w:sz w:val="20"/>
        </w:rPr>
        <w:t> </w:t>
      </w:r>
      <w:r>
        <w:rPr>
          <w:sz w:val="20"/>
        </w:rPr>
        <w:t>and</w:t>
      </w:r>
      <w:r>
        <w:rPr>
          <w:spacing w:val="-17"/>
          <w:sz w:val="20"/>
        </w:rPr>
        <w:t> </w:t>
      </w:r>
      <w:r>
        <w:rPr>
          <w:sz w:val="20"/>
        </w:rPr>
        <w:t>assistance, sign language interpreters in court rooms, as well as procedural accommodations and programmes specifically designed to provide assistance to persons with disabilities in the justice</w:t>
      </w:r>
      <w:r>
        <w:rPr>
          <w:spacing w:val="-21"/>
          <w:sz w:val="20"/>
        </w:rPr>
        <w:t> </w:t>
      </w:r>
      <w:r>
        <w:rPr>
          <w:sz w:val="20"/>
        </w:rPr>
        <w:t>sector”.</w:t>
      </w:r>
    </w:p>
    <w:p>
      <w:pPr>
        <w:spacing w:line="242" w:lineRule="exact" w:before="0"/>
        <w:ind w:left="449" w:right="96" w:hanging="221"/>
        <w:jc w:val="left"/>
        <w:rPr>
          <w:sz w:val="20"/>
        </w:rPr>
      </w:pPr>
      <w:bookmarkStart w:name="_bookmark96" w:id="98"/>
      <w:bookmarkEnd w:id="98"/>
      <w:r>
        <w:rPr/>
      </w:r>
      <w:r>
        <w:rPr>
          <w:position w:val="7"/>
          <w:sz w:val="13"/>
        </w:rPr>
        <w:t>96 </w:t>
      </w:r>
      <w:r>
        <w:rPr>
          <w:sz w:val="20"/>
        </w:rPr>
        <w:t>Committee against Torture</w:t>
      </w:r>
      <w:r>
        <w:rPr>
          <w:i/>
          <w:sz w:val="21"/>
        </w:rPr>
        <w:t>, Concluding Observations on Second Periodical Report of Qatar</w:t>
      </w:r>
      <w:r>
        <w:rPr>
          <w:sz w:val="20"/>
        </w:rPr>
        <w:t>, 2012, CAT/C/QAT/CO/2, para (15). Available at: </w:t>
      </w:r>
      <w:hyperlink r:id="rId27">
        <w:r>
          <w:rPr>
            <w:sz w:val="20"/>
            <w:u w:val="single"/>
          </w:rPr>
          <w:t>http://docstore.ohchr.org/SelfServices/FilesHandler.ashx?enc=6QkG1d%2FPPRiCAqhKb7yhsvozOgiFOp</w:t>
        </w:r>
      </w:hyperlink>
      <w:r>
        <w:rPr>
          <w:sz w:val="20"/>
        </w:rPr>
        <w:t> </w:t>
      </w:r>
      <w:hyperlink r:id="rId27">
        <w:r>
          <w:rPr>
            <w:sz w:val="20"/>
            <w:u w:val="single"/>
          </w:rPr>
          <w:t>niYolYH2kyd5sA%2FJDRmUyncxHFfiqcb0XKKsBfp0Oi3ELvjS%2FsU%2B%2FYgjLv5EaHG9GZZH%2F87</w:t>
        </w:r>
      </w:hyperlink>
    </w:p>
    <w:p>
      <w:pPr>
        <w:spacing w:line="228" w:lineRule="exact" w:before="0"/>
        <w:ind w:left="449" w:right="0" w:firstLine="0"/>
        <w:jc w:val="left"/>
        <w:rPr>
          <w:sz w:val="20"/>
        </w:rPr>
      </w:pPr>
      <w:hyperlink r:id="rId27">
        <w:r>
          <w:rPr>
            <w:sz w:val="20"/>
            <w:u w:val="single"/>
          </w:rPr>
          <w:t>V0y4OpEzVDIvMT8Xs9mqErmWIM1 </w:t>
        </w:r>
      </w:hyperlink>
      <w:r>
        <w:rPr>
          <w:sz w:val="20"/>
        </w:rPr>
        <w:t>(last accessed June 3, 2017).</w:t>
      </w:r>
    </w:p>
    <w:p>
      <w:pPr>
        <w:spacing w:line="242" w:lineRule="exact" w:before="0"/>
        <w:ind w:left="228" w:right="0" w:firstLine="0"/>
        <w:jc w:val="left"/>
        <w:rPr>
          <w:i/>
          <w:sz w:val="21"/>
        </w:rPr>
      </w:pPr>
      <w:bookmarkStart w:name="_bookmark97" w:id="99"/>
      <w:bookmarkEnd w:id="99"/>
      <w:r>
        <w:rPr/>
      </w:r>
      <w:r>
        <w:rPr>
          <w:position w:val="7"/>
          <w:sz w:val="13"/>
        </w:rPr>
        <w:t>97 </w:t>
      </w:r>
      <w:r>
        <w:rPr>
          <w:sz w:val="20"/>
        </w:rPr>
        <w:t>Articles 27 and 28 of </w:t>
      </w:r>
      <w:r>
        <w:rPr>
          <w:i/>
          <w:sz w:val="21"/>
        </w:rPr>
        <w:t>Law No.16 of 2016 on Mental Health.</w:t>
      </w:r>
    </w:p>
    <w:p>
      <w:pPr>
        <w:spacing w:line="228" w:lineRule="auto" w:before="3"/>
        <w:ind w:left="450" w:right="0" w:hanging="222"/>
        <w:jc w:val="left"/>
        <w:rPr>
          <w:sz w:val="20"/>
        </w:rPr>
      </w:pPr>
      <w:bookmarkStart w:name="_bookmark98" w:id="100"/>
      <w:bookmarkEnd w:id="100"/>
      <w:r>
        <w:rPr/>
      </w:r>
      <w:r>
        <w:rPr>
          <w:position w:val="7"/>
          <w:sz w:val="13"/>
        </w:rPr>
        <w:t>98</w:t>
      </w:r>
      <w:r>
        <w:rPr>
          <w:spacing w:val="-7"/>
          <w:position w:val="7"/>
          <w:sz w:val="13"/>
        </w:rPr>
        <w:t> </w:t>
      </w:r>
      <w:r>
        <w:rPr>
          <w:sz w:val="20"/>
        </w:rPr>
        <w:t>Just</w:t>
      </w:r>
      <w:r>
        <w:rPr>
          <w:spacing w:val="-9"/>
          <w:sz w:val="20"/>
        </w:rPr>
        <w:t> </w:t>
      </w:r>
      <w:r>
        <w:rPr>
          <w:sz w:val="20"/>
        </w:rPr>
        <w:t>recently,</w:t>
      </w:r>
      <w:r>
        <w:rPr>
          <w:spacing w:val="-9"/>
          <w:sz w:val="20"/>
        </w:rPr>
        <w:t> </w:t>
      </w:r>
      <w:r>
        <w:rPr>
          <w:sz w:val="20"/>
        </w:rPr>
        <w:t>Qatar</w:t>
      </w:r>
      <w:r>
        <w:rPr>
          <w:spacing w:val="-10"/>
          <w:sz w:val="20"/>
        </w:rPr>
        <w:t> </w:t>
      </w:r>
      <w:r>
        <w:rPr>
          <w:sz w:val="20"/>
        </w:rPr>
        <w:t>has</w:t>
      </w:r>
      <w:r>
        <w:rPr>
          <w:spacing w:val="-10"/>
          <w:sz w:val="20"/>
        </w:rPr>
        <w:t> </w:t>
      </w:r>
      <w:r>
        <w:rPr>
          <w:sz w:val="20"/>
        </w:rPr>
        <w:t>approved</w:t>
      </w:r>
      <w:r>
        <w:rPr>
          <w:spacing w:val="-10"/>
          <w:sz w:val="20"/>
        </w:rPr>
        <w:t> </w:t>
      </w:r>
      <w:r>
        <w:rPr>
          <w:sz w:val="20"/>
        </w:rPr>
        <w:t>a</w:t>
      </w:r>
      <w:r>
        <w:rPr>
          <w:spacing w:val="-9"/>
          <w:sz w:val="20"/>
        </w:rPr>
        <w:t> </w:t>
      </w:r>
      <w:r>
        <w:rPr>
          <w:sz w:val="20"/>
        </w:rPr>
        <w:t>Law</w:t>
      </w:r>
      <w:r>
        <w:rPr>
          <w:spacing w:val="-9"/>
          <w:sz w:val="20"/>
        </w:rPr>
        <w:t> </w:t>
      </w:r>
      <w:r>
        <w:rPr>
          <w:sz w:val="20"/>
        </w:rPr>
        <w:t>regulating</w:t>
      </w:r>
      <w:r>
        <w:rPr>
          <w:spacing w:val="-11"/>
          <w:sz w:val="20"/>
        </w:rPr>
        <w:t> </w:t>
      </w:r>
      <w:r>
        <w:rPr>
          <w:sz w:val="20"/>
        </w:rPr>
        <w:t>childcare</w:t>
      </w:r>
      <w:r>
        <w:rPr>
          <w:spacing w:val="-9"/>
          <w:sz w:val="20"/>
        </w:rPr>
        <w:t> </w:t>
      </w:r>
      <w:r>
        <w:rPr>
          <w:sz w:val="20"/>
        </w:rPr>
        <w:t>services</w:t>
      </w:r>
      <w:r>
        <w:rPr>
          <w:spacing w:val="-9"/>
          <w:sz w:val="20"/>
        </w:rPr>
        <w:t> </w:t>
      </w:r>
      <w:r>
        <w:rPr>
          <w:sz w:val="20"/>
        </w:rPr>
        <w:t>(</w:t>
      </w:r>
      <w:r>
        <w:rPr>
          <w:i/>
          <w:sz w:val="21"/>
        </w:rPr>
        <w:t>Law</w:t>
      </w:r>
      <w:r>
        <w:rPr>
          <w:i/>
          <w:spacing w:val="-13"/>
          <w:sz w:val="21"/>
        </w:rPr>
        <w:t> </w:t>
      </w:r>
      <w:r>
        <w:rPr>
          <w:i/>
          <w:sz w:val="21"/>
        </w:rPr>
        <w:t>No.</w:t>
      </w:r>
      <w:r>
        <w:rPr>
          <w:i/>
          <w:spacing w:val="-12"/>
          <w:sz w:val="21"/>
        </w:rPr>
        <w:t> </w:t>
      </w:r>
      <w:r>
        <w:rPr>
          <w:i/>
          <w:sz w:val="21"/>
        </w:rPr>
        <w:t>1</w:t>
      </w:r>
      <w:r>
        <w:rPr>
          <w:i/>
          <w:spacing w:val="-14"/>
          <w:sz w:val="21"/>
        </w:rPr>
        <w:t> </w:t>
      </w:r>
      <w:r>
        <w:rPr>
          <w:i/>
          <w:sz w:val="21"/>
        </w:rPr>
        <w:t>of</w:t>
      </w:r>
      <w:r>
        <w:rPr>
          <w:i/>
          <w:spacing w:val="-13"/>
          <w:sz w:val="21"/>
        </w:rPr>
        <w:t> </w:t>
      </w:r>
      <w:r>
        <w:rPr>
          <w:i/>
          <w:sz w:val="21"/>
        </w:rPr>
        <w:t>2014</w:t>
      </w:r>
      <w:r>
        <w:rPr>
          <w:i/>
          <w:spacing w:val="-14"/>
          <w:sz w:val="21"/>
        </w:rPr>
        <w:t> </w:t>
      </w:r>
      <w:r>
        <w:rPr>
          <w:i/>
          <w:sz w:val="21"/>
        </w:rPr>
        <w:t>on</w:t>
      </w:r>
      <w:r>
        <w:rPr>
          <w:i/>
          <w:spacing w:val="-13"/>
          <w:sz w:val="21"/>
        </w:rPr>
        <w:t> </w:t>
      </w:r>
      <w:r>
        <w:rPr>
          <w:i/>
          <w:sz w:val="21"/>
        </w:rPr>
        <w:t>regulating nurseries,</w:t>
      </w:r>
      <w:r>
        <w:rPr>
          <w:i/>
          <w:spacing w:val="-8"/>
          <w:sz w:val="21"/>
        </w:rPr>
        <w:t> </w:t>
      </w:r>
      <w:r>
        <w:rPr>
          <w:i/>
          <w:sz w:val="21"/>
        </w:rPr>
        <w:t>day</w:t>
      </w:r>
      <w:r>
        <w:rPr>
          <w:i/>
          <w:spacing w:val="-8"/>
          <w:sz w:val="21"/>
        </w:rPr>
        <w:t> </w:t>
      </w:r>
      <w:r>
        <w:rPr>
          <w:i/>
          <w:sz w:val="21"/>
        </w:rPr>
        <w:t>care</w:t>
      </w:r>
      <w:r>
        <w:rPr>
          <w:i/>
          <w:spacing w:val="-8"/>
          <w:sz w:val="21"/>
        </w:rPr>
        <w:t> </w:t>
      </w:r>
      <w:r>
        <w:rPr>
          <w:i/>
          <w:sz w:val="21"/>
        </w:rPr>
        <w:t>centers,</w:t>
      </w:r>
      <w:r>
        <w:rPr>
          <w:i/>
          <w:spacing w:val="-8"/>
          <w:sz w:val="21"/>
        </w:rPr>
        <w:t> </w:t>
      </w:r>
      <w:r>
        <w:rPr>
          <w:i/>
          <w:sz w:val="21"/>
        </w:rPr>
        <w:t>play</w:t>
      </w:r>
      <w:r>
        <w:rPr>
          <w:i/>
          <w:spacing w:val="-9"/>
          <w:sz w:val="21"/>
        </w:rPr>
        <w:t> </w:t>
      </w:r>
      <w:r>
        <w:rPr>
          <w:i/>
          <w:sz w:val="21"/>
        </w:rPr>
        <w:t>schools</w:t>
      </w:r>
      <w:r>
        <w:rPr>
          <w:i/>
          <w:spacing w:val="-8"/>
          <w:sz w:val="21"/>
        </w:rPr>
        <w:t> </w:t>
      </w:r>
      <w:r>
        <w:rPr>
          <w:i/>
          <w:sz w:val="21"/>
        </w:rPr>
        <w:t>and</w:t>
      </w:r>
      <w:r>
        <w:rPr>
          <w:i/>
          <w:spacing w:val="-9"/>
          <w:sz w:val="21"/>
        </w:rPr>
        <w:t> </w:t>
      </w:r>
      <w:r>
        <w:rPr>
          <w:i/>
          <w:sz w:val="21"/>
        </w:rPr>
        <w:t>similar</w:t>
      </w:r>
      <w:r>
        <w:rPr>
          <w:i/>
          <w:spacing w:val="-9"/>
          <w:sz w:val="21"/>
        </w:rPr>
        <w:t> </w:t>
      </w:r>
      <w:r>
        <w:rPr>
          <w:i/>
          <w:sz w:val="21"/>
        </w:rPr>
        <w:t>facilities</w:t>
      </w:r>
      <w:r>
        <w:rPr>
          <w:sz w:val="20"/>
        </w:rPr>
        <w:t>).</w:t>
      </w:r>
    </w:p>
    <w:p>
      <w:pPr>
        <w:spacing w:after="0" w:line="228" w:lineRule="auto"/>
        <w:jc w:val="left"/>
        <w:rPr>
          <w:sz w:val="20"/>
        </w:rPr>
        <w:sectPr>
          <w:pgSz w:w="11910" w:h="16840"/>
          <w:pgMar w:header="0" w:footer="523" w:top="1320" w:bottom="720" w:left="940" w:right="1320"/>
        </w:sectPr>
      </w:pPr>
    </w:p>
    <w:p>
      <w:pPr>
        <w:pStyle w:val="BodyText"/>
        <w:spacing w:before="82"/>
        <w:ind w:left="397" w:right="108"/>
        <w:jc w:val="both"/>
      </w:pPr>
      <w:r>
        <w:rPr/>
        <w:t>exemption from criminal liability. Article 54 of Law No. 11 of 2004 Issuing the Penal Code states that:</w:t>
      </w:r>
    </w:p>
    <w:p>
      <w:pPr>
        <w:spacing w:before="200"/>
        <w:ind w:left="965" w:right="162" w:firstLine="0"/>
        <w:jc w:val="both"/>
        <w:rPr>
          <w:sz w:val="20"/>
        </w:rPr>
      </w:pPr>
      <w:r>
        <w:rPr>
          <w:sz w:val="20"/>
        </w:rPr>
        <w:t>Nothing</w:t>
      </w:r>
      <w:r>
        <w:rPr>
          <w:spacing w:val="-5"/>
          <w:sz w:val="20"/>
        </w:rPr>
        <w:t> </w:t>
      </w:r>
      <w:r>
        <w:rPr>
          <w:sz w:val="20"/>
        </w:rPr>
        <w:t>is</w:t>
      </w:r>
      <w:r>
        <w:rPr>
          <w:spacing w:val="-4"/>
          <w:sz w:val="20"/>
        </w:rPr>
        <w:t> </w:t>
      </w:r>
      <w:r>
        <w:rPr>
          <w:sz w:val="20"/>
        </w:rPr>
        <w:t>an</w:t>
      </w:r>
      <w:r>
        <w:rPr>
          <w:spacing w:val="-5"/>
          <w:sz w:val="20"/>
        </w:rPr>
        <w:t> </w:t>
      </w:r>
      <w:r>
        <w:rPr>
          <w:sz w:val="20"/>
        </w:rPr>
        <w:t>offence</w:t>
      </w:r>
      <w:r>
        <w:rPr>
          <w:spacing w:val="-5"/>
          <w:sz w:val="20"/>
        </w:rPr>
        <w:t> </w:t>
      </w:r>
      <w:r>
        <w:rPr>
          <w:sz w:val="20"/>
        </w:rPr>
        <w:t>which</w:t>
      </w:r>
      <w:r>
        <w:rPr>
          <w:spacing w:val="-6"/>
          <w:sz w:val="20"/>
        </w:rPr>
        <w:t> </w:t>
      </w:r>
      <w:r>
        <w:rPr>
          <w:sz w:val="20"/>
        </w:rPr>
        <w:t>is</w:t>
      </w:r>
      <w:r>
        <w:rPr>
          <w:spacing w:val="-4"/>
          <w:sz w:val="20"/>
        </w:rPr>
        <w:t> </w:t>
      </w:r>
      <w:r>
        <w:rPr>
          <w:sz w:val="20"/>
        </w:rPr>
        <w:t>done</w:t>
      </w:r>
      <w:r>
        <w:rPr>
          <w:spacing w:val="-5"/>
          <w:sz w:val="20"/>
        </w:rPr>
        <w:t> </w:t>
      </w:r>
      <w:r>
        <w:rPr>
          <w:sz w:val="20"/>
        </w:rPr>
        <w:t>by</w:t>
      </w:r>
      <w:r>
        <w:rPr>
          <w:spacing w:val="-5"/>
          <w:sz w:val="20"/>
        </w:rPr>
        <w:t> </w:t>
      </w:r>
      <w:r>
        <w:rPr>
          <w:sz w:val="20"/>
        </w:rPr>
        <w:t>a</w:t>
      </w:r>
      <w:r>
        <w:rPr>
          <w:spacing w:val="-5"/>
          <w:sz w:val="20"/>
        </w:rPr>
        <w:t> </w:t>
      </w:r>
      <w:r>
        <w:rPr>
          <w:sz w:val="20"/>
        </w:rPr>
        <w:t>person</w:t>
      </w:r>
      <w:r>
        <w:rPr>
          <w:spacing w:val="-5"/>
          <w:sz w:val="20"/>
        </w:rPr>
        <w:t> </w:t>
      </w:r>
      <w:r>
        <w:rPr>
          <w:sz w:val="20"/>
        </w:rPr>
        <w:t>who,</w:t>
      </w:r>
      <w:r>
        <w:rPr>
          <w:spacing w:val="-6"/>
          <w:sz w:val="20"/>
        </w:rPr>
        <w:t> </w:t>
      </w:r>
      <w:r>
        <w:rPr>
          <w:sz w:val="20"/>
        </w:rPr>
        <w:t>at</w:t>
      </w:r>
      <w:r>
        <w:rPr>
          <w:spacing w:val="-5"/>
          <w:sz w:val="20"/>
        </w:rPr>
        <w:t> </w:t>
      </w:r>
      <w:r>
        <w:rPr>
          <w:sz w:val="20"/>
        </w:rPr>
        <w:t>the</w:t>
      </w:r>
      <w:r>
        <w:rPr>
          <w:spacing w:val="-5"/>
          <w:sz w:val="20"/>
        </w:rPr>
        <w:t> </w:t>
      </w:r>
      <w:r>
        <w:rPr>
          <w:sz w:val="20"/>
        </w:rPr>
        <w:t>time</w:t>
      </w:r>
      <w:r>
        <w:rPr>
          <w:spacing w:val="-5"/>
          <w:sz w:val="20"/>
        </w:rPr>
        <w:t> </w:t>
      </w:r>
      <w:r>
        <w:rPr>
          <w:sz w:val="20"/>
        </w:rPr>
        <w:t>of</w:t>
      </w:r>
      <w:r>
        <w:rPr>
          <w:spacing w:val="-6"/>
          <w:sz w:val="20"/>
        </w:rPr>
        <w:t> </w:t>
      </w:r>
      <w:r>
        <w:rPr>
          <w:sz w:val="20"/>
        </w:rPr>
        <w:t>committing</w:t>
      </w:r>
      <w:r>
        <w:rPr>
          <w:spacing w:val="-5"/>
          <w:sz w:val="20"/>
        </w:rPr>
        <w:t> </w:t>
      </w:r>
      <w:r>
        <w:rPr>
          <w:sz w:val="20"/>
        </w:rPr>
        <w:t>the</w:t>
      </w:r>
      <w:r>
        <w:rPr>
          <w:spacing w:val="-5"/>
          <w:sz w:val="20"/>
        </w:rPr>
        <w:t> </w:t>
      </w:r>
      <w:r>
        <w:rPr>
          <w:sz w:val="20"/>
        </w:rPr>
        <w:t>offence,</w:t>
      </w:r>
      <w:r>
        <w:rPr>
          <w:spacing w:val="-4"/>
          <w:sz w:val="20"/>
        </w:rPr>
        <w:t> </w:t>
      </w:r>
      <w:r>
        <w:rPr>
          <w:sz w:val="20"/>
        </w:rPr>
        <w:t>in</w:t>
      </w:r>
      <w:r>
        <w:rPr>
          <w:spacing w:val="-5"/>
          <w:sz w:val="20"/>
        </w:rPr>
        <w:t> </w:t>
      </w:r>
      <w:r>
        <w:rPr>
          <w:sz w:val="20"/>
        </w:rPr>
        <w:t>a state of unconsciousness or loss of reason or volition due to insanity or infirmity of mind or because he is in a state of intoxication or under the influence of drugs resulting from the consumption of intoxicating or narcotic substances given to him against his will or without his knowledge or due to any other reason which leads one to believe that he has lost his reason or volition is not criminally</w:t>
      </w:r>
      <w:r>
        <w:rPr>
          <w:spacing w:val="-5"/>
          <w:sz w:val="20"/>
        </w:rPr>
        <w:t> </w:t>
      </w:r>
      <w:r>
        <w:rPr>
          <w:sz w:val="20"/>
        </w:rPr>
        <w:t>liable.</w:t>
      </w:r>
    </w:p>
    <w:p>
      <w:pPr>
        <w:pStyle w:val="BodyText"/>
        <w:spacing w:before="200"/>
        <w:ind w:left="397" w:right="107"/>
        <w:jc w:val="both"/>
      </w:pPr>
      <w:r>
        <w:rPr/>
        <w:t>According to this law, if “madness” or “mental defect” leads to “only deficiency or weakness in consciousness or in capacity when the offence is committed, it shall be considered an extenuating excuse.”</w:t>
      </w:r>
    </w:p>
    <w:p>
      <w:pPr>
        <w:pStyle w:val="BodyText"/>
      </w:pPr>
    </w:p>
    <w:p>
      <w:pPr>
        <w:pStyle w:val="BodyText"/>
        <w:ind w:left="397" w:right="104"/>
        <w:jc w:val="both"/>
      </w:pPr>
      <w:r>
        <w:rPr/>
        <w:t>This regulation should be reviewed to define in general, neutral and contemporary terms, in relation to disability and impairments, the circumstances in which a person cannot understand the unlawfulness of his or her actions and act according this understanding.</w:t>
      </w:r>
    </w:p>
    <w:p>
      <w:pPr>
        <w:pStyle w:val="BodyText"/>
      </w:pPr>
    </w:p>
    <w:p>
      <w:pPr>
        <w:pStyle w:val="BodyText"/>
        <w:ind w:left="397" w:right="107"/>
        <w:jc w:val="both"/>
      </w:pPr>
      <w:r>
        <w:rPr/>
        <w:t>Section 7 of Law No. 23 of 2004 Regarding Promulgating Criminal Procedure Code refers</w:t>
      </w:r>
      <w:r>
        <w:rPr>
          <w:spacing w:val="-19"/>
        </w:rPr>
        <w:t> </w:t>
      </w:r>
      <w:r>
        <w:rPr/>
        <w:t>to</w:t>
      </w:r>
      <w:r>
        <w:rPr>
          <w:spacing w:val="-18"/>
        </w:rPr>
        <w:t> </w:t>
      </w:r>
      <w:r>
        <w:rPr/>
        <w:t>“Mentally</w:t>
      </w:r>
      <w:r>
        <w:rPr>
          <w:spacing w:val="-19"/>
        </w:rPr>
        <w:t> </w:t>
      </w:r>
      <w:r>
        <w:rPr/>
        <w:t>Disabled</w:t>
      </w:r>
      <w:r>
        <w:rPr>
          <w:spacing w:val="-19"/>
        </w:rPr>
        <w:t> </w:t>
      </w:r>
      <w:r>
        <w:rPr/>
        <w:t>Suspects”</w:t>
      </w:r>
      <w:r>
        <w:rPr>
          <w:spacing w:val="-19"/>
        </w:rPr>
        <w:t> </w:t>
      </w:r>
      <w:r>
        <w:rPr/>
        <w:t>and</w:t>
      </w:r>
      <w:r>
        <w:rPr>
          <w:spacing w:val="-19"/>
        </w:rPr>
        <w:t> </w:t>
      </w:r>
      <w:r>
        <w:rPr/>
        <w:t>the</w:t>
      </w:r>
      <w:r>
        <w:rPr>
          <w:spacing w:val="-19"/>
        </w:rPr>
        <w:t> </w:t>
      </w:r>
      <w:r>
        <w:rPr/>
        <w:t>Law</w:t>
      </w:r>
      <w:r>
        <w:rPr>
          <w:spacing w:val="-20"/>
        </w:rPr>
        <w:t> </w:t>
      </w:r>
      <w:r>
        <w:rPr/>
        <w:t>on</w:t>
      </w:r>
      <w:r>
        <w:rPr>
          <w:spacing w:val="-19"/>
        </w:rPr>
        <w:t> </w:t>
      </w:r>
      <w:r>
        <w:rPr/>
        <w:t>Mental</w:t>
      </w:r>
      <w:r>
        <w:rPr>
          <w:spacing w:val="-18"/>
        </w:rPr>
        <w:t> </w:t>
      </w:r>
      <w:r>
        <w:rPr/>
        <w:t>Health</w:t>
      </w:r>
      <w:r>
        <w:rPr>
          <w:spacing w:val="-18"/>
        </w:rPr>
        <w:t> </w:t>
      </w:r>
      <w:r>
        <w:rPr/>
        <w:t>also</w:t>
      </w:r>
      <w:r>
        <w:rPr>
          <w:spacing w:val="-19"/>
        </w:rPr>
        <w:t> </w:t>
      </w:r>
      <w:r>
        <w:rPr/>
        <w:t>includes</w:t>
      </w:r>
      <w:r>
        <w:rPr>
          <w:spacing w:val="-19"/>
        </w:rPr>
        <w:t> </w:t>
      </w:r>
      <w:r>
        <w:rPr/>
        <w:t>some provisions referring to this categorization of</w:t>
      </w:r>
      <w:r>
        <w:rPr>
          <w:spacing w:val="-8"/>
        </w:rPr>
        <w:t> </w:t>
      </w:r>
      <w:r>
        <w:rPr/>
        <w:t>suspects.</w:t>
      </w:r>
    </w:p>
    <w:p>
      <w:pPr>
        <w:pStyle w:val="BodyText"/>
        <w:ind w:left="397" w:right="106"/>
        <w:jc w:val="both"/>
      </w:pPr>
      <w:r>
        <w:rPr/>
        <w:t>Article 209 of the Criminal Procedure Code sets out that if it is necessary to examine the condition of the suspect who is suffering from “mental disability or serious mental illness,”</w:t>
      </w:r>
      <w:r>
        <w:rPr>
          <w:spacing w:val="-7"/>
        </w:rPr>
        <w:t> </w:t>
      </w:r>
      <w:r>
        <w:rPr/>
        <w:t>the</w:t>
      </w:r>
      <w:r>
        <w:rPr>
          <w:spacing w:val="-7"/>
        </w:rPr>
        <w:t> </w:t>
      </w:r>
      <w:r>
        <w:rPr/>
        <w:t>public</w:t>
      </w:r>
      <w:r>
        <w:rPr>
          <w:spacing w:val="-7"/>
        </w:rPr>
        <w:t> </w:t>
      </w:r>
      <w:r>
        <w:rPr/>
        <w:t>prosecution,</w:t>
      </w:r>
      <w:r>
        <w:rPr>
          <w:spacing w:val="-6"/>
        </w:rPr>
        <w:t> </w:t>
      </w:r>
      <w:r>
        <w:rPr/>
        <w:t>or</w:t>
      </w:r>
      <w:r>
        <w:rPr>
          <w:spacing w:val="-8"/>
        </w:rPr>
        <w:t> </w:t>
      </w:r>
      <w:r>
        <w:rPr/>
        <w:t>the</w:t>
      </w:r>
      <w:r>
        <w:rPr>
          <w:spacing w:val="-6"/>
        </w:rPr>
        <w:t> </w:t>
      </w:r>
      <w:r>
        <w:rPr/>
        <w:t>court</w:t>
      </w:r>
      <w:r>
        <w:rPr>
          <w:spacing w:val="-6"/>
        </w:rPr>
        <w:t> </w:t>
      </w:r>
      <w:r>
        <w:rPr/>
        <w:t>considering</w:t>
      </w:r>
      <w:r>
        <w:rPr>
          <w:spacing w:val="-7"/>
        </w:rPr>
        <w:t> </w:t>
      </w:r>
      <w:r>
        <w:rPr/>
        <w:t>the</w:t>
      </w:r>
      <w:r>
        <w:rPr>
          <w:spacing w:val="-6"/>
        </w:rPr>
        <w:t> </w:t>
      </w:r>
      <w:r>
        <w:rPr/>
        <w:t>case,</w:t>
      </w:r>
      <w:r>
        <w:rPr>
          <w:spacing w:val="-6"/>
        </w:rPr>
        <w:t> </w:t>
      </w:r>
      <w:r>
        <w:rPr/>
        <w:t>“may</w:t>
      </w:r>
      <w:r>
        <w:rPr>
          <w:spacing w:val="-6"/>
        </w:rPr>
        <w:t> </w:t>
      </w:r>
      <w:r>
        <w:rPr/>
        <w:t>order</w:t>
      </w:r>
      <w:r>
        <w:rPr>
          <w:spacing w:val="-8"/>
        </w:rPr>
        <w:t> </w:t>
      </w:r>
      <w:r>
        <w:rPr/>
        <w:t>to</w:t>
      </w:r>
      <w:r>
        <w:rPr>
          <w:spacing w:val="-6"/>
        </w:rPr>
        <w:t> </w:t>
      </w:r>
      <w:r>
        <w:rPr/>
        <w:t>place” the accused under observation “in a specialized therapeutic facility, for successive periods.” </w:t>
      </w:r>
      <w:hyperlink w:history="true" w:anchor="_bookmark99">
        <w:r>
          <w:rPr>
            <w:position w:val="8"/>
            <w:sz w:val="16"/>
          </w:rPr>
          <w:t>99 </w:t>
        </w:r>
      </w:hyperlink>
      <w:r>
        <w:rPr/>
        <w:t>Article 16 of the Mental Health Law provides that the institution shall examine the person’s mental and psychological condition and should draft a report including the following points: the mental and psychological state of the person at the time</w:t>
      </w:r>
      <w:r>
        <w:rPr>
          <w:spacing w:val="-12"/>
        </w:rPr>
        <w:t> </w:t>
      </w:r>
      <w:r>
        <w:rPr/>
        <w:t>of</w:t>
      </w:r>
      <w:r>
        <w:rPr>
          <w:spacing w:val="-12"/>
        </w:rPr>
        <w:t> </w:t>
      </w:r>
      <w:r>
        <w:rPr/>
        <w:t>the</w:t>
      </w:r>
      <w:r>
        <w:rPr>
          <w:spacing w:val="-14"/>
        </w:rPr>
        <w:t> </w:t>
      </w:r>
      <w:r>
        <w:rPr/>
        <w:t>crime</w:t>
      </w:r>
      <w:r>
        <w:rPr>
          <w:spacing w:val="-12"/>
        </w:rPr>
        <w:t> </w:t>
      </w:r>
      <w:r>
        <w:rPr/>
        <w:t>in</w:t>
      </w:r>
      <w:r>
        <w:rPr>
          <w:spacing w:val="-12"/>
        </w:rPr>
        <w:t> </w:t>
      </w:r>
      <w:r>
        <w:rPr/>
        <w:t>terms</w:t>
      </w:r>
      <w:r>
        <w:rPr>
          <w:spacing w:val="-12"/>
        </w:rPr>
        <w:t> </w:t>
      </w:r>
      <w:r>
        <w:rPr/>
        <w:t>of</w:t>
      </w:r>
      <w:r>
        <w:rPr>
          <w:spacing w:val="-11"/>
        </w:rPr>
        <w:t> </w:t>
      </w:r>
      <w:r>
        <w:rPr/>
        <w:t>awareness</w:t>
      </w:r>
      <w:r>
        <w:rPr>
          <w:spacing w:val="-12"/>
        </w:rPr>
        <w:t> </w:t>
      </w:r>
      <w:r>
        <w:rPr/>
        <w:t>and</w:t>
      </w:r>
      <w:r>
        <w:rPr>
          <w:spacing w:val="-12"/>
        </w:rPr>
        <w:t> </w:t>
      </w:r>
      <w:r>
        <w:rPr/>
        <w:t>choice;</w:t>
      </w:r>
      <w:r>
        <w:rPr>
          <w:spacing w:val="-11"/>
        </w:rPr>
        <w:t> </w:t>
      </w:r>
      <w:r>
        <w:rPr/>
        <w:t>the</w:t>
      </w:r>
      <w:r>
        <w:rPr>
          <w:spacing w:val="-13"/>
        </w:rPr>
        <w:t> </w:t>
      </w:r>
      <w:r>
        <w:rPr/>
        <w:t>mental</w:t>
      </w:r>
      <w:r>
        <w:rPr>
          <w:spacing w:val="-11"/>
        </w:rPr>
        <w:t> </w:t>
      </w:r>
      <w:r>
        <w:rPr/>
        <w:t>and</w:t>
      </w:r>
      <w:r>
        <w:rPr>
          <w:spacing w:val="-12"/>
        </w:rPr>
        <w:t> </w:t>
      </w:r>
      <w:r>
        <w:rPr/>
        <w:t>psychological</w:t>
      </w:r>
      <w:r>
        <w:rPr>
          <w:spacing w:val="-11"/>
        </w:rPr>
        <w:t> </w:t>
      </w:r>
      <w:r>
        <w:rPr/>
        <w:t>state of the person at the time of examination; the proposed treatment plan and any other elements the institution considers</w:t>
      </w:r>
      <w:r>
        <w:rPr>
          <w:spacing w:val="-1"/>
        </w:rPr>
        <w:t> </w:t>
      </w:r>
      <w:r>
        <w:rPr/>
        <w:t>important.</w:t>
      </w:r>
    </w:p>
    <w:p>
      <w:pPr>
        <w:pStyle w:val="BodyText"/>
        <w:spacing w:before="11"/>
        <w:rPr>
          <w:sz w:val="23"/>
        </w:rPr>
      </w:pPr>
    </w:p>
    <w:p>
      <w:pPr>
        <w:pStyle w:val="BodyText"/>
        <w:ind w:left="397" w:right="105"/>
        <w:jc w:val="both"/>
      </w:pPr>
      <w:r>
        <w:rPr/>
        <w:t>If it is proved that the “suspect is unable to defend himself/herself because of mental disability,</w:t>
      </w:r>
      <w:r>
        <w:rPr>
          <w:spacing w:val="-17"/>
        </w:rPr>
        <w:t> </w:t>
      </w:r>
      <w:r>
        <w:rPr/>
        <w:t>or</w:t>
      </w:r>
      <w:r>
        <w:rPr>
          <w:spacing w:val="-16"/>
        </w:rPr>
        <w:t> </w:t>
      </w:r>
      <w:r>
        <w:rPr/>
        <w:t>serious</w:t>
      </w:r>
      <w:r>
        <w:rPr>
          <w:spacing w:val="-16"/>
        </w:rPr>
        <w:t> </w:t>
      </w:r>
      <w:r>
        <w:rPr/>
        <w:t>mental</w:t>
      </w:r>
      <w:r>
        <w:rPr>
          <w:spacing w:val="-16"/>
        </w:rPr>
        <w:t> </w:t>
      </w:r>
      <w:r>
        <w:rPr/>
        <w:t>illness”</w:t>
      </w:r>
      <w:r>
        <w:rPr>
          <w:spacing w:val="-16"/>
        </w:rPr>
        <w:t> </w:t>
      </w:r>
      <w:r>
        <w:rPr/>
        <w:t>occurring</w:t>
      </w:r>
      <w:r>
        <w:rPr>
          <w:spacing w:val="-17"/>
        </w:rPr>
        <w:t> </w:t>
      </w:r>
      <w:r>
        <w:rPr/>
        <w:t>after</w:t>
      </w:r>
      <w:r>
        <w:rPr>
          <w:spacing w:val="-16"/>
        </w:rPr>
        <w:t> </w:t>
      </w:r>
      <w:r>
        <w:rPr/>
        <w:t>the</w:t>
      </w:r>
      <w:r>
        <w:rPr>
          <w:spacing w:val="-16"/>
        </w:rPr>
        <w:t> </w:t>
      </w:r>
      <w:r>
        <w:rPr/>
        <w:t>crime,</w:t>
      </w:r>
      <w:r>
        <w:rPr>
          <w:spacing w:val="-16"/>
        </w:rPr>
        <w:t> </w:t>
      </w:r>
      <w:r>
        <w:rPr/>
        <w:t>Article</w:t>
      </w:r>
      <w:r>
        <w:rPr>
          <w:spacing w:val="-18"/>
        </w:rPr>
        <w:t> </w:t>
      </w:r>
      <w:r>
        <w:rPr/>
        <w:t>210</w:t>
      </w:r>
      <w:r>
        <w:rPr>
          <w:spacing w:val="-16"/>
        </w:rPr>
        <w:t> </w:t>
      </w:r>
      <w:r>
        <w:rPr/>
        <w:t>of</w:t>
      </w:r>
      <w:r>
        <w:rPr>
          <w:spacing w:val="-16"/>
        </w:rPr>
        <w:t> </w:t>
      </w:r>
      <w:r>
        <w:rPr/>
        <w:t>the</w:t>
      </w:r>
      <w:r>
        <w:rPr>
          <w:spacing w:val="-16"/>
        </w:rPr>
        <w:t> </w:t>
      </w:r>
      <w:r>
        <w:rPr/>
        <w:t>Criminal Procedure Code establishes that the case against him/her or the continuation of the trial</w:t>
      </w:r>
      <w:r>
        <w:rPr>
          <w:spacing w:val="-9"/>
        </w:rPr>
        <w:t> </w:t>
      </w:r>
      <w:r>
        <w:rPr/>
        <w:t>“shall</w:t>
      </w:r>
      <w:r>
        <w:rPr>
          <w:spacing w:val="-11"/>
        </w:rPr>
        <w:t> </w:t>
      </w:r>
      <w:r>
        <w:rPr/>
        <w:t>be</w:t>
      </w:r>
      <w:r>
        <w:rPr>
          <w:spacing w:val="-9"/>
        </w:rPr>
        <w:t> </w:t>
      </w:r>
      <w:r>
        <w:rPr/>
        <w:t>suspended</w:t>
      </w:r>
      <w:r>
        <w:rPr>
          <w:spacing w:val="-9"/>
        </w:rPr>
        <w:t> </w:t>
      </w:r>
      <w:r>
        <w:rPr/>
        <w:t>until</w:t>
      </w:r>
      <w:r>
        <w:rPr>
          <w:spacing w:val="-9"/>
        </w:rPr>
        <w:t> </w:t>
      </w:r>
      <w:r>
        <w:rPr/>
        <w:t>the</w:t>
      </w:r>
      <w:r>
        <w:rPr>
          <w:spacing w:val="-9"/>
        </w:rPr>
        <w:t> </w:t>
      </w:r>
      <w:r>
        <w:rPr/>
        <w:t>reason</w:t>
      </w:r>
      <w:r>
        <w:rPr>
          <w:spacing w:val="-9"/>
        </w:rPr>
        <w:t> </w:t>
      </w:r>
      <w:r>
        <w:rPr/>
        <w:t>no</w:t>
      </w:r>
      <w:r>
        <w:rPr>
          <w:spacing w:val="-10"/>
        </w:rPr>
        <w:t> </w:t>
      </w:r>
      <w:r>
        <w:rPr/>
        <w:t>longer</w:t>
      </w:r>
      <w:r>
        <w:rPr>
          <w:spacing w:val="-9"/>
        </w:rPr>
        <w:t> </w:t>
      </w:r>
      <w:r>
        <w:rPr/>
        <w:t>exists,</w:t>
      </w:r>
      <w:r>
        <w:rPr>
          <w:spacing w:val="-9"/>
        </w:rPr>
        <w:t> </w:t>
      </w:r>
      <w:r>
        <w:rPr/>
        <w:t>and</w:t>
      </w:r>
      <w:r>
        <w:rPr>
          <w:spacing w:val="-10"/>
        </w:rPr>
        <w:t> </w:t>
      </w:r>
      <w:r>
        <w:rPr/>
        <w:t>the</w:t>
      </w:r>
      <w:r>
        <w:rPr>
          <w:spacing w:val="-9"/>
        </w:rPr>
        <w:t> </w:t>
      </w:r>
      <w:r>
        <w:rPr/>
        <w:t>suspect</w:t>
      </w:r>
      <w:r>
        <w:rPr>
          <w:spacing w:val="-9"/>
        </w:rPr>
        <w:t> </w:t>
      </w:r>
      <w:r>
        <w:rPr/>
        <w:t>shall,</w:t>
      </w:r>
      <w:r>
        <w:rPr>
          <w:spacing w:val="-9"/>
        </w:rPr>
        <w:t> </w:t>
      </w:r>
      <w:r>
        <w:rPr/>
        <w:t>in</w:t>
      </w:r>
      <w:r>
        <w:rPr>
          <w:spacing w:val="-9"/>
        </w:rPr>
        <w:t> </w:t>
      </w:r>
      <w:r>
        <w:rPr/>
        <w:t>this case, be placed in a specialised therapeutic facility”. Article 211 states that the time spent by the suspect in the therapeutic facility, in accordance with Articles 209 and 210, “shall be deducted from the term of penalty or measures of which he may be adjudged.”</w:t>
      </w:r>
    </w:p>
    <w:p>
      <w:pPr>
        <w:pStyle w:val="BodyText"/>
        <w:spacing w:before="1"/>
      </w:pPr>
    </w:p>
    <w:p>
      <w:pPr>
        <w:pStyle w:val="BodyText"/>
        <w:ind w:left="397" w:right="106"/>
        <w:jc w:val="both"/>
      </w:pPr>
      <w:r>
        <w:rPr/>
        <w:t>These articles permit involuntary transfer to mental health facilities of accused individuals with intellectual and psychological disabilities without determining their participation in the offence and without the requirements that Qatari</w:t>
      </w:r>
      <w:r>
        <w:rPr>
          <w:spacing w:val="33"/>
        </w:rPr>
        <w:t> </w:t>
      </w:r>
      <w:r>
        <w:rPr/>
        <w:t>legislation establishes</w:t>
      </w:r>
      <w:r>
        <w:rPr>
          <w:spacing w:val="-17"/>
        </w:rPr>
        <w:t> </w:t>
      </w:r>
      <w:r>
        <w:rPr/>
        <w:t>in</w:t>
      </w:r>
      <w:r>
        <w:rPr>
          <w:spacing w:val="-15"/>
        </w:rPr>
        <w:t> </w:t>
      </w:r>
      <w:r>
        <w:rPr/>
        <w:t>case</w:t>
      </w:r>
      <w:r>
        <w:rPr>
          <w:spacing w:val="-17"/>
        </w:rPr>
        <w:t> </w:t>
      </w:r>
      <w:r>
        <w:rPr/>
        <w:t>of</w:t>
      </w:r>
      <w:r>
        <w:rPr>
          <w:spacing w:val="-16"/>
        </w:rPr>
        <w:t> </w:t>
      </w:r>
      <w:r>
        <w:rPr/>
        <w:t>precautionary</w:t>
      </w:r>
      <w:r>
        <w:rPr>
          <w:spacing w:val="-17"/>
        </w:rPr>
        <w:t> </w:t>
      </w:r>
      <w:r>
        <w:rPr/>
        <w:t>detention.</w:t>
      </w:r>
      <w:r>
        <w:rPr>
          <w:spacing w:val="-15"/>
        </w:rPr>
        <w:t> </w:t>
      </w:r>
      <w:r>
        <w:rPr/>
        <w:t>Therefore,</w:t>
      </w:r>
      <w:r>
        <w:rPr>
          <w:spacing w:val="-15"/>
        </w:rPr>
        <w:t> </w:t>
      </w:r>
      <w:r>
        <w:rPr/>
        <w:t>they</w:t>
      </w:r>
      <w:r>
        <w:rPr>
          <w:spacing w:val="-17"/>
        </w:rPr>
        <w:t> </w:t>
      </w:r>
      <w:r>
        <w:rPr/>
        <w:t>represent</w:t>
      </w:r>
      <w:r>
        <w:rPr>
          <w:spacing w:val="-16"/>
        </w:rPr>
        <w:t> </w:t>
      </w:r>
      <w:r>
        <w:rPr/>
        <w:t>discrimination on the basis of disability in the context of arrest and</w:t>
      </w:r>
      <w:r>
        <w:rPr>
          <w:spacing w:val="-7"/>
        </w:rPr>
        <w:t> </w:t>
      </w:r>
      <w:r>
        <w:rPr/>
        <w:t>detention.</w:t>
      </w:r>
    </w:p>
    <w:p>
      <w:pPr>
        <w:pStyle w:val="BodyText"/>
        <w:spacing w:before="9"/>
        <w:rPr>
          <w:sz w:val="22"/>
        </w:rPr>
      </w:pPr>
    </w:p>
    <w:p>
      <w:pPr>
        <w:spacing w:before="0"/>
        <w:ind w:left="392" w:right="109" w:hanging="227"/>
        <w:jc w:val="left"/>
        <w:rPr>
          <w:sz w:val="20"/>
        </w:rPr>
      </w:pPr>
      <w:bookmarkStart w:name="_bookmark99" w:id="101"/>
      <w:bookmarkEnd w:id="101"/>
      <w:r>
        <w:rPr/>
      </w:r>
      <w:r>
        <w:rPr>
          <w:position w:val="7"/>
          <w:sz w:val="13"/>
        </w:rPr>
        <w:t>99 </w:t>
      </w:r>
      <w:r>
        <w:rPr>
          <w:sz w:val="20"/>
        </w:rPr>
        <w:t>According to the Law, each of these periods must not exceed fifteen days and the total number of days of all periods combined must not exceed forty-five days.</w:t>
      </w:r>
    </w:p>
    <w:p>
      <w:pPr>
        <w:spacing w:after="0"/>
        <w:jc w:val="left"/>
        <w:rPr>
          <w:sz w:val="20"/>
        </w:rPr>
        <w:sectPr>
          <w:pgSz w:w="11910" w:h="16840"/>
          <w:pgMar w:header="0" w:footer="523" w:top="1320" w:bottom="720" w:left="940" w:right="1320"/>
        </w:sectPr>
      </w:pPr>
    </w:p>
    <w:p>
      <w:pPr>
        <w:pStyle w:val="BodyText"/>
        <w:spacing w:before="111"/>
        <w:ind w:left="397" w:right="104"/>
        <w:jc w:val="both"/>
      </w:pPr>
      <w:r>
        <w:rPr/>
        <w:t>Finally,</w:t>
      </w:r>
      <w:r>
        <w:rPr>
          <w:spacing w:val="-6"/>
        </w:rPr>
        <w:t> </w:t>
      </w:r>
      <w:r>
        <w:rPr/>
        <w:t>Article</w:t>
      </w:r>
      <w:r>
        <w:rPr>
          <w:spacing w:val="-6"/>
        </w:rPr>
        <w:t> </w:t>
      </w:r>
      <w:r>
        <w:rPr/>
        <w:t>212</w:t>
      </w:r>
      <w:r>
        <w:rPr>
          <w:spacing w:val="-5"/>
        </w:rPr>
        <w:t> </w:t>
      </w:r>
      <w:r>
        <w:rPr/>
        <w:t>of</w:t>
      </w:r>
      <w:r>
        <w:rPr>
          <w:spacing w:val="-5"/>
        </w:rPr>
        <w:t> </w:t>
      </w:r>
      <w:r>
        <w:rPr/>
        <w:t>the</w:t>
      </w:r>
      <w:r>
        <w:rPr>
          <w:spacing w:val="-5"/>
        </w:rPr>
        <w:t> </w:t>
      </w:r>
      <w:r>
        <w:rPr/>
        <w:t>Criminal</w:t>
      </w:r>
      <w:r>
        <w:rPr>
          <w:spacing w:val="-6"/>
        </w:rPr>
        <w:t> </w:t>
      </w:r>
      <w:r>
        <w:rPr/>
        <w:t>Procedure</w:t>
      </w:r>
      <w:r>
        <w:rPr>
          <w:spacing w:val="-8"/>
        </w:rPr>
        <w:t> </w:t>
      </w:r>
      <w:r>
        <w:rPr/>
        <w:t>Code</w:t>
      </w:r>
      <w:r>
        <w:rPr>
          <w:spacing w:val="-6"/>
        </w:rPr>
        <w:t> </w:t>
      </w:r>
      <w:r>
        <w:rPr/>
        <w:t>regulates</w:t>
      </w:r>
      <w:r>
        <w:rPr>
          <w:spacing w:val="-6"/>
        </w:rPr>
        <w:t> </w:t>
      </w:r>
      <w:r>
        <w:rPr/>
        <w:t>the</w:t>
      </w:r>
      <w:r>
        <w:rPr>
          <w:spacing w:val="-7"/>
        </w:rPr>
        <w:t> </w:t>
      </w:r>
      <w:r>
        <w:rPr/>
        <w:t>application</w:t>
      </w:r>
      <w:r>
        <w:rPr>
          <w:spacing w:val="-6"/>
        </w:rPr>
        <w:t> </w:t>
      </w:r>
      <w:r>
        <w:rPr/>
        <w:t>of</w:t>
      </w:r>
      <w:r>
        <w:rPr>
          <w:spacing w:val="-6"/>
        </w:rPr>
        <w:t> </w:t>
      </w:r>
      <w:r>
        <w:rPr/>
        <w:t>security measures in the Qatari criminal justice system. It provides that, “if an order that there is insufficient evidence to proceed in the criminal case or an acquittal of the suspect is issued” because of “a mental disability or serious mental illness”, the authority that issued the order or the judgment “shall order to place the suspect in a therapeutic facility” until it decides to release him on the basis of medical reports. As a result of this article, in the case of suspects with psychosocial and intellectual disabilities, their deprivation of liberty through incarceration in a “therapeutic facility” can be ordered, without proving the participation of the suspect, regardless of the seriousness of the crime or offence and the kind of penalty that would be applicable in the case of criminally</w:t>
      </w:r>
      <w:r>
        <w:rPr>
          <w:spacing w:val="-13"/>
        </w:rPr>
        <w:t> </w:t>
      </w:r>
      <w:r>
        <w:rPr/>
        <w:t>responsible</w:t>
      </w:r>
      <w:r>
        <w:rPr>
          <w:spacing w:val="-14"/>
        </w:rPr>
        <w:t> </w:t>
      </w:r>
      <w:r>
        <w:rPr/>
        <w:t>suspects.</w:t>
      </w:r>
      <w:r>
        <w:rPr>
          <w:spacing w:val="-13"/>
        </w:rPr>
        <w:t> </w:t>
      </w:r>
      <w:r>
        <w:rPr/>
        <w:t>The</w:t>
      </w:r>
      <w:r>
        <w:rPr>
          <w:spacing w:val="-14"/>
        </w:rPr>
        <w:t> </w:t>
      </w:r>
      <w:r>
        <w:rPr/>
        <w:t>decision</w:t>
      </w:r>
      <w:r>
        <w:rPr>
          <w:spacing w:val="-15"/>
        </w:rPr>
        <w:t> </w:t>
      </w:r>
      <w:r>
        <w:rPr/>
        <w:t>can</w:t>
      </w:r>
      <w:r>
        <w:rPr>
          <w:spacing w:val="-13"/>
        </w:rPr>
        <w:t> </w:t>
      </w:r>
      <w:r>
        <w:rPr/>
        <w:t>be</w:t>
      </w:r>
      <w:r>
        <w:rPr>
          <w:spacing w:val="-14"/>
        </w:rPr>
        <w:t> </w:t>
      </w:r>
      <w:r>
        <w:rPr/>
        <w:t>made</w:t>
      </w:r>
      <w:r>
        <w:rPr>
          <w:spacing w:val="-14"/>
        </w:rPr>
        <w:t> </w:t>
      </w:r>
      <w:r>
        <w:rPr/>
        <w:t>by</w:t>
      </w:r>
      <w:r>
        <w:rPr>
          <w:spacing w:val="-13"/>
        </w:rPr>
        <w:t> </w:t>
      </w:r>
      <w:r>
        <w:rPr/>
        <w:t>the</w:t>
      </w:r>
      <w:r>
        <w:rPr>
          <w:spacing w:val="-14"/>
        </w:rPr>
        <w:t> </w:t>
      </w:r>
      <w:r>
        <w:rPr/>
        <w:t>judge</w:t>
      </w:r>
      <w:r>
        <w:rPr>
          <w:spacing w:val="-15"/>
        </w:rPr>
        <w:t> </w:t>
      </w:r>
      <w:r>
        <w:rPr/>
        <w:t>or</w:t>
      </w:r>
      <w:r>
        <w:rPr>
          <w:spacing w:val="-14"/>
        </w:rPr>
        <w:t> </w:t>
      </w:r>
      <w:r>
        <w:rPr/>
        <w:t>by</w:t>
      </w:r>
      <w:r>
        <w:rPr>
          <w:spacing w:val="-15"/>
        </w:rPr>
        <w:t> </w:t>
      </w:r>
      <w:r>
        <w:rPr/>
        <w:t>the</w:t>
      </w:r>
      <w:r>
        <w:rPr>
          <w:spacing w:val="-14"/>
        </w:rPr>
        <w:t> </w:t>
      </w:r>
      <w:r>
        <w:rPr/>
        <w:t>public prosecution before the trial and the duration of detention in a mental institution is not fixed. The Mental Health Law states that in these cases termination of the placement and home leave shall not be permissible prior to the approval of the judicial body that ordered the measure, and that the placement shall be reconsidered at least once a year.</w:t>
      </w:r>
      <w:hyperlink w:history="true" w:anchor="_bookmark100">
        <w:r>
          <w:rPr>
            <w:position w:val="8"/>
            <w:sz w:val="16"/>
          </w:rPr>
          <w:t>100 </w:t>
        </w:r>
      </w:hyperlink>
      <w:r>
        <w:rPr/>
        <w:t>The “psychiatric patients” placed in a mental institution by virtue of a judicial decision shall have all the rights ascribed to other patients in the Mental Health</w:t>
      </w:r>
      <w:r>
        <w:rPr>
          <w:spacing w:val="-27"/>
        </w:rPr>
        <w:t> </w:t>
      </w:r>
      <w:r>
        <w:rPr/>
        <w:t>Law.</w:t>
      </w:r>
    </w:p>
    <w:p>
      <w:pPr>
        <w:pStyle w:val="BodyText"/>
        <w:spacing w:before="1"/>
      </w:pPr>
    </w:p>
    <w:p>
      <w:pPr>
        <w:pStyle w:val="BodyText"/>
        <w:ind w:left="397" w:right="105"/>
        <w:jc w:val="both"/>
      </w:pPr>
      <w:r>
        <w:rPr/>
        <w:t>The Initial Report submitted by Qatar to the CRPD Committee considered that the section of the Criminal Procedure Code on “Mental Suspects” put in place “special guarantees for persons with mental and intellectual disabilities, [stating that] such persons</w:t>
      </w:r>
      <w:r>
        <w:rPr>
          <w:spacing w:val="-14"/>
        </w:rPr>
        <w:t> </w:t>
      </w:r>
      <w:r>
        <w:rPr/>
        <w:t>may</w:t>
      </w:r>
      <w:r>
        <w:rPr>
          <w:spacing w:val="-13"/>
        </w:rPr>
        <w:t> </w:t>
      </w:r>
      <w:r>
        <w:rPr/>
        <w:t>not</w:t>
      </w:r>
      <w:r>
        <w:rPr>
          <w:spacing w:val="-15"/>
        </w:rPr>
        <w:t> </w:t>
      </w:r>
      <w:r>
        <w:rPr/>
        <w:t>be</w:t>
      </w:r>
      <w:r>
        <w:rPr>
          <w:spacing w:val="-14"/>
        </w:rPr>
        <w:t> </w:t>
      </w:r>
      <w:r>
        <w:rPr/>
        <w:t>subjected</w:t>
      </w:r>
      <w:r>
        <w:rPr>
          <w:spacing w:val="-13"/>
        </w:rPr>
        <w:t> </w:t>
      </w:r>
      <w:r>
        <w:rPr/>
        <w:t>to</w:t>
      </w:r>
      <w:r>
        <w:rPr>
          <w:spacing w:val="-15"/>
        </w:rPr>
        <w:t> </w:t>
      </w:r>
      <w:r>
        <w:rPr/>
        <w:t>criminal</w:t>
      </w:r>
      <w:r>
        <w:rPr>
          <w:spacing w:val="-15"/>
        </w:rPr>
        <w:t> </w:t>
      </w:r>
      <w:r>
        <w:rPr/>
        <w:t>proceedings</w:t>
      </w:r>
      <w:r>
        <w:rPr>
          <w:spacing w:val="-15"/>
        </w:rPr>
        <w:t> </w:t>
      </w:r>
      <w:r>
        <w:rPr/>
        <w:t>or</w:t>
      </w:r>
      <w:r>
        <w:rPr>
          <w:spacing w:val="-15"/>
        </w:rPr>
        <w:t> </w:t>
      </w:r>
      <w:r>
        <w:rPr/>
        <w:t>trial.”</w:t>
      </w:r>
      <w:hyperlink w:history="true" w:anchor="_bookmark101">
        <w:r>
          <w:rPr>
            <w:position w:val="8"/>
            <w:sz w:val="16"/>
          </w:rPr>
          <w:t>101</w:t>
        </w:r>
        <w:r>
          <w:rPr>
            <w:spacing w:val="-2"/>
            <w:position w:val="8"/>
            <w:sz w:val="16"/>
          </w:rPr>
          <w:t> </w:t>
        </w:r>
      </w:hyperlink>
      <w:r>
        <w:rPr/>
        <w:t>However,</w:t>
      </w:r>
      <w:r>
        <w:rPr>
          <w:spacing w:val="-13"/>
        </w:rPr>
        <w:t> </w:t>
      </w:r>
      <w:r>
        <w:rPr/>
        <w:t>and</w:t>
      </w:r>
      <w:r>
        <w:rPr>
          <w:spacing w:val="-15"/>
        </w:rPr>
        <w:t> </w:t>
      </w:r>
      <w:r>
        <w:rPr/>
        <w:t>in</w:t>
      </w:r>
      <w:r>
        <w:rPr>
          <w:spacing w:val="-13"/>
        </w:rPr>
        <w:t> </w:t>
      </w:r>
      <w:r>
        <w:rPr/>
        <w:t>fact, these</w:t>
      </w:r>
      <w:r>
        <w:rPr>
          <w:spacing w:val="-8"/>
        </w:rPr>
        <w:t> </w:t>
      </w:r>
      <w:r>
        <w:rPr/>
        <w:t>provisions</w:t>
      </w:r>
      <w:r>
        <w:rPr>
          <w:spacing w:val="-8"/>
        </w:rPr>
        <w:t> </w:t>
      </w:r>
      <w:r>
        <w:rPr/>
        <w:t>provide</w:t>
      </w:r>
      <w:r>
        <w:rPr>
          <w:spacing w:val="-8"/>
        </w:rPr>
        <w:t> </w:t>
      </w:r>
      <w:r>
        <w:rPr/>
        <w:t>fewer</w:t>
      </w:r>
      <w:r>
        <w:rPr>
          <w:spacing w:val="-8"/>
        </w:rPr>
        <w:t> </w:t>
      </w:r>
      <w:r>
        <w:rPr/>
        <w:t>safeguards</w:t>
      </w:r>
      <w:r>
        <w:rPr>
          <w:spacing w:val="-8"/>
        </w:rPr>
        <w:t> </w:t>
      </w:r>
      <w:r>
        <w:rPr/>
        <w:t>and</w:t>
      </w:r>
      <w:r>
        <w:rPr>
          <w:spacing w:val="-7"/>
        </w:rPr>
        <w:t> </w:t>
      </w:r>
      <w:r>
        <w:rPr/>
        <w:t>are</w:t>
      </w:r>
      <w:r>
        <w:rPr>
          <w:spacing w:val="-8"/>
        </w:rPr>
        <w:t> </w:t>
      </w:r>
      <w:r>
        <w:rPr/>
        <w:t>in</w:t>
      </w:r>
      <w:r>
        <w:rPr>
          <w:spacing w:val="-7"/>
        </w:rPr>
        <w:t> </w:t>
      </w:r>
      <w:r>
        <w:rPr/>
        <w:t>breach</w:t>
      </w:r>
      <w:r>
        <w:rPr>
          <w:spacing w:val="-7"/>
        </w:rPr>
        <w:t> </w:t>
      </w:r>
      <w:r>
        <w:rPr/>
        <w:t>of</w:t>
      </w:r>
      <w:r>
        <w:rPr>
          <w:spacing w:val="-7"/>
        </w:rPr>
        <w:t> </w:t>
      </w:r>
      <w:r>
        <w:rPr/>
        <w:t>Articles</w:t>
      </w:r>
      <w:r>
        <w:rPr>
          <w:spacing w:val="-8"/>
        </w:rPr>
        <w:t> </w:t>
      </w:r>
      <w:r>
        <w:rPr/>
        <w:t>5,</w:t>
      </w:r>
      <w:r>
        <w:rPr>
          <w:spacing w:val="-7"/>
        </w:rPr>
        <w:t> </w:t>
      </w:r>
      <w:r>
        <w:rPr/>
        <w:t>13</w:t>
      </w:r>
      <w:r>
        <w:rPr>
          <w:spacing w:val="-8"/>
        </w:rPr>
        <w:t> </w:t>
      </w:r>
      <w:r>
        <w:rPr/>
        <w:t>and</w:t>
      </w:r>
      <w:r>
        <w:rPr>
          <w:spacing w:val="-7"/>
        </w:rPr>
        <w:t> </w:t>
      </w:r>
      <w:r>
        <w:rPr/>
        <w:t>14</w:t>
      </w:r>
      <w:r>
        <w:rPr>
          <w:spacing w:val="-8"/>
        </w:rPr>
        <w:t> </w:t>
      </w:r>
      <w:r>
        <w:rPr/>
        <w:t>of the CRPD. As noted by the CRPD Committee, they imply disability-specific forms of deprivation of liberty in unequal conditions since persons with intellectual and/or psychosocial</w:t>
      </w:r>
      <w:r>
        <w:rPr>
          <w:spacing w:val="-9"/>
        </w:rPr>
        <w:t> </w:t>
      </w:r>
      <w:r>
        <w:rPr/>
        <w:t>disabilities</w:t>
      </w:r>
      <w:r>
        <w:rPr>
          <w:spacing w:val="-9"/>
        </w:rPr>
        <w:t> </w:t>
      </w:r>
      <w:r>
        <w:rPr/>
        <w:t>“accused</w:t>
      </w:r>
      <w:r>
        <w:rPr>
          <w:spacing w:val="-8"/>
        </w:rPr>
        <w:t> </w:t>
      </w:r>
      <w:r>
        <w:rPr/>
        <w:t>of</w:t>
      </w:r>
      <w:r>
        <w:rPr>
          <w:spacing w:val="-10"/>
        </w:rPr>
        <w:t> </w:t>
      </w:r>
      <w:r>
        <w:rPr/>
        <w:t>an</w:t>
      </w:r>
      <w:r>
        <w:rPr>
          <w:spacing w:val="-10"/>
        </w:rPr>
        <w:t> </w:t>
      </w:r>
      <w:r>
        <w:rPr/>
        <w:t>offence</w:t>
      </w:r>
      <w:r>
        <w:rPr>
          <w:spacing w:val="-9"/>
        </w:rPr>
        <w:t> </w:t>
      </w:r>
      <w:r>
        <w:rPr/>
        <w:t>are</w:t>
      </w:r>
      <w:r>
        <w:rPr>
          <w:spacing w:val="-9"/>
        </w:rPr>
        <w:t> </w:t>
      </w:r>
      <w:r>
        <w:rPr/>
        <w:t>declared</w:t>
      </w:r>
      <w:r>
        <w:rPr>
          <w:spacing w:val="-8"/>
        </w:rPr>
        <w:t> </w:t>
      </w:r>
      <w:r>
        <w:rPr/>
        <w:t>unfit</w:t>
      </w:r>
      <w:r>
        <w:rPr>
          <w:spacing w:val="-10"/>
        </w:rPr>
        <w:t> </w:t>
      </w:r>
      <w:r>
        <w:rPr/>
        <w:t>to</w:t>
      </w:r>
      <w:r>
        <w:rPr>
          <w:spacing w:val="-8"/>
        </w:rPr>
        <w:t> </w:t>
      </w:r>
      <w:r>
        <w:rPr/>
        <w:t>stand</w:t>
      </w:r>
      <w:r>
        <w:rPr>
          <w:spacing w:val="-8"/>
        </w:rPr>
        <w:t> </w:t>
      </w:r>
      <w:r>
        <w:rPr/>
        <w:t>trial</w:t>
      </w:r>
      <w:r>
        <w:rPr>
          <w:spacing w:val="-9"/>
        </w:rPr>
        <w:t> </w:t>
      </w:r>
      <w:r>
        <w:rPr/>
        <w:t>and</w:t>
      </w:r>
      <w:r>
        <w:rPr>
          <w:spacing w:val="-7"/>
        </w:rPr>
        <w:t> </w:t>
      </w:r>
      <w:r>
        <w:rPr/>
        <w:t>not given due process.”</w:t>
      </w:r>
      <w:hyperlink w:history="true" w:anchor="_bookmark102">
        <w:r>
          <w:rPr>
            <w:position w:val="8"/>
            <w:sz w:val="16"/>
          </w:rPr>
          <w:t>102 </w:t>
        </w:r>
      </w:hyperlink>
      <w:r>
        <w:rPr/>
        <w:t>Hence, Qatar should review and amend this regulation in line with the CRPD Committee</w:t>
      </w:r>
      <w:r>
        <w:rPr>
          <w:spacing w:val="0"/>
        </w:rPr>
        <w:t> </w:t>
      </w:r>
      <w:r>
        <w:rPr/>
        <w:t>recommendation:</w:t>
      </w:r>
    </w:p>
    <w:p>
      <w:pPr>
        <w:spacing w:before="200"/>
        <w:ind w:left="965" w:right="162" w:firstLine="0"/>
        <w:jc w:val="both"/>
        <w:rPr>
          <w:sz w:val="13"/>
        </w:rPr>
      </w:pPr>
      <w:r>
        <w:rPr>
          <w:sz w:val="20"/>
        </w:rPr>
        <w:t>[t]hat persons with disabilities accused of an offence are entitled to the provision of procedural accommodations and a fair trial and due process guarantees on an equal basis with others, including the presumption of innocence.</w:t>
      </w:r>
      <w:hyperlink w:history="true" w:anchor="_bookmark103">
        <w:r>
          <w:rPr>
            <w:position w:val="7"/>
            <w:sz w:val="13"/>
          </w:rPr>
          <w:t>103</w:t>
        </w:r>
      </w:hyperlink>
    </w:p>
    <w:p>
      <w:pPr>
        <w:pStyle w:val="BodyText"/>
        <w:spacing w:before="199"/>
        <w:ind w:left="397" w:right="106"/>
        <w:jc w:val="both"/>
      </w:pPr>
      <w:r>
        <w:rPr/>
        <w:t>Moreover, the primary response to persons with psychosocial disabilities suspected of committing</w:t>
      </w:r>
      <w:r>
        <w:rPr>
          <w:spacing w:val="-13"/>
        </w:rPr>
        <w:t> </w:t>
      </w:r>
      <w:r>
        <w:rPr/>
        <w:t>a</w:t>
      </w:r>
      <w:r>
        <w:rPr>
          <w:spacing w:val="-12"/>
        </w:rPr>
        <w:t> </w:t>
      </w:r>
      <w:r>
        <w:rPr/>
        <w:t>crime</w:t>
      </w:r>
      <w:r>
        <w:rPr>
          <w:spacing w:val="-13"/>
        </w:rPr>
        <w:t> </w:t>
      </w:r>
      <w:r>
        <w:rPr/>
        <w:t>should</w:t>
      </w:r>
      <w:r>
        <w:rPr>
          <w:spacing w:val="-12"/>
        </w:rPr>
        <w:t> </w:t>
      </w:r>
      <w:r>
        <w:rPr/>
        <w:t>not</w:t>
      </w:r>
      <w:r>
        <w:rPr>
          <w:spacing w:val="-12"/>
        </w:rPr>
        <w:t> </w:t>
      </w:r>
      <w:r>
        <w:rPr/>
        <w:t>involve</w:t>
      </w:r>
      <w:r>
        <w:rPr>
          <w:spacing w:val="-13"/>
        </w:rPr>
        <w:t> </w:t>
      </w:r>
      <w:r>
        <w:rPr/>
        <w:t>deprivation</w:t>
      </w:r>
      <w:r>
        <w:rPr>
          <w:spacing w:val="-12"/>
        </w:rPr>
        <w:t> </w:t>
      </w:r>
      <w:r>
        <w:rPr/>
        <w:t>of</w:t>
      </w:r>
      <w:r>
        <w:rPr>
          <w:spacing w:val="-12"/>
        </w:rPr>
        <w:t> </w:t>
      </w:r>
      <w:r>
        <w:rPr/>
        <w:t>liberty</w:t>
      </w:r>
      <w:r>
        <w:rPr>
          <w:spacing w:val="-12"/>
        </w:rPr>
        <w:t> </w:t>
      </w:r>
      <w:r>
        <w:rPr/>
        <w:t>in</w:t>
      </w:r>
      <w:r>
        <w:rPr>
          <w:spacing w:val="-12"/>
        </w:rPr>
        <w:t> </w:t>
      </w:r>
      <w:r>
        <w:rPr/>
        <w:t>therapeutic</w:t>
      </w:r>
      <w:r>
        <w:rPr>
          <w:spacing w:val="-13"/>
        </w:rPr>
        <w:t> </w:t>
      </w:r>
      <w:r>
        <w:rPr/>
        <w:t>facilities,</w:t>
      </w:r>
      <w:r>
        <w:rPr>
          <w:spacing w:val="-12"/>
        </w:rPr>
        <w:t> </w:t>
      </w:r>
      <w:r>
        <w:rPr/>
        <w:t>but rather</w:t>
      </w:r>
      <w:r>
        <w:rPr>
          <w:spacing w:val="-15"/>
        </w:rPr>
        <w:t> </w:t>
      </w:r>
      <w:r>
        <w:rPr/>
        <w:t>the</w:t>
      </w:r>
      <w:r>
        <w:rPr>
          <w:spacing w:val="-16"/>
        </w:rPr>
        <w:t> </w:t>
      </w:r>
      <w:r>
        <w:rPr/>
        <w:t>provision</w:t>
      </w:r>
      <w:r>
        <w:rPr>
          <w:spacing w:val="-16"/>
        </w:rPr>
        <w:t> </w:t>
      </w:r>
      <w:r>
        <w:rPr/>
        <w:t>of</w:t>
      </w:r>
      <w:r>
        <w:rPr>
          <w:spacing w:val="-16"/>
        </w:rPr>
        <w:t> </w:t>
      </w:r>
      <w:r>
        <w:rPr/>
        <w:t>social</w:t>
      </w:r>
      <w:r>
        <w:rPr>
          <w:spacing w:val="-15"/>
        </w:rPr>
        <w:t> </w:t>
      </w:r>
      <w:r>
        <w:rPr/>
        <w:t>and</w:t>
      </w:r>
      <w:r>
        <w:rPr>
          <w:spacing w:val="-16"/>
        </w:rPr>
        <w:t> </w:t>
      </w:r>
      <w:r>
        <w:rPr/>
        <w:t>community</w:t>
      </w:r>
      <w:r>
        <w:rPr>
          <w:spacing w:val="-16"/>
        </w:rPr>
        <w:t> </w:t>
      </w:r>
      <w:r>
        <w:rPr/>
        <w:t>mechanisms</w:t>
      </w:r>
      <w:r>
        <w:rPr>
          <w:spacing w:val="-14"/>
        </w:rPr>
        <w:t> </w:t>
      </w:r>
      <w:r>
        <w:rPr/>
        <w:t>and</w:t>
      </w:r>
      <w:r>
        <w:rPr>
          <w:spacing w:val="-15"/>
        </w:rPr>
        <w:t> </w:t>
      </w:r>
      <w:r>
        <w:rPr/>
        <w:t>services</w:t>
      </w:r>
      <w:r>
        <w:rPr>
          <w:spacing w:val="-15"/>
        </w:rPr>
        <w:t> </w:t>
      </w:r>
      <w:r>
        <w:rPr/>
        <w:t>to</w:t>
      </w:r>
      <w:r>
        <w:rPr>
          <w:spacing w:val="-15"/>
        </w:rPr>
        <w:t> </w:t>
      </w:r>
      <w:r>
        <w:rPr/>
        <w:t>promote</w:t>
      </w:r>
      <w:r>
        <w:rPr>
          <w:spacing w:val="-15"/>
        </w:rPr>
        <w:t> </w:t>
      </w:r>
      <w:r>
        <w:rPr/>
        <w:t>their inclusion into the community in accordance with Article 19 of the</w:t>
      </w:r>
      <w:r>
        <w:rPr>
          <w:spacing w:val="-14"/>
        </w:rPr>
        <w:t> </w:t>
      </w:r>
      <w:r>
        <w:rPr/>
        <w:t>CRPD.</w:t>
      </w:r>
    </w:p>
    <w:p>
      <w:pPr>
        <w:pStyle w:val="BodyText"/>
        <w:rPr>
          <w:sz w:val="28"/>
        </w:rPr>
      </w:pPr>
    </w:p>
    <w:p>
      <w:pPr>
        <w:pStyle w:val="BodyText"/>
        <w:spacing w:before="9"/>
        <w:rPr>
          <w:sz w:val="35"/>
        </w:rPr>
      </w:pPr>
    </w:p>
    <w:p>
      <w:pPr>
        <w:spacing w:line="240" w:lineRule="auto" w:before="0"/>
        <w:ind w:left="393" w:right="106" w:hanging="285"/>
        <w:jc w:val="both"/>
        <w:rPr>
          <w:sz w:val="20"/>
        </w:rPr>
      </w:pPr>
      <w:bookmarkStart w:name="_bookmark100" w:id="102"/>
      <w:bookmarkEnd w:id="102"/>
      <w:r>
        <w:rPr/>
      </w:r>
      <w:r>
        <w:rPr>
          <w:position w:val="7"/>
          <w:sz w:val="13"/>
        </w:rPr>
        <w:t>100 </w:t>
      </w:r>
      <w:r>
        <w:rPr>
          <w:sz w:val="20"/>
        </w:rPr>
        <w:t>Article 17 of the </w:t>
      </w:r>
      <w:r>
        <w:rPr>
          <w:i/>
          <w:sz w:val="21"/>
        </w:rPr>
        <w:t>Criminal Procedure Code. </w:t>
      </w:r>
      <w:r>
        <w:rPr>
          <w:sz w:val="20"/>
        </w:rPr>
        <w:t>In the cases of minor offenses and infractions—that despite their lack of seriousness also imply the deprivation of liberty of the accused —the court or the public prosecution may authorize the competent body to terminate the placement or give home leave without consulting the judicial body.</w:t>
      </w:r>
    </w:p>
    <w:p>
      <w:pPr>
        <w:spacing w:line="242" w:lineRule="exact" w:before="5"/>
        <w:ind w:left="391" w:right="0" w:hanging="277"/>
        <w:jc w:val="left"/>
        <w:rPr>
          <w:sz w:val="20"/>
        </w:rPr>
      </w:pPr>
      <w:bookmarkStart w:name="_bookmark101" w:id="103"/>
      <w:bookmarkEnd w:id="103"/>
      <w:r>
        <w:rPr/>
      </w:r>
      <w:r>
        <w:rPr>
          <w:position w:val="7"/>
          <w:sz w:val="13"/>
        </w:rPr>
        <w:t>101 </w:t>
      </w:r>
      <w:r>
        <w:rPr>
          <w:i/>
          <w:sz w:val="21"/>
        </w:rPr>
        <w:t>Qatar´s Initial Report</w:t>
      </w:r>
      <w:r>
        <w:rPr>
          <w:sz w:val="20"/>
        </w:rPr>
        <w:t>, CRPD/QAT/1, July 9, 2014, paras (138), (139) and (140). Available at: </w:t>
      </w:r>
      <w:hyperlink r:id="rId28">
        <w:r>
          <w:rPr>
            <w:sz w:val="20"/>
            <w:u w:val="single"/>
          </w:rPr>
          <w:t>http://tbinternet.ohchr.org/_layouts/treatybodyexternal/Download.aspx?symbolno=CRPD%2FC%2FQA</w:t>
        </w:r>
      </w:hyperlink>
      <w:r>
        <w:rPr>
          <w:sz w:val="20"/>
        </w:rPr>
        <w:t> </w:t>
      </w:r>
      <w:r>
        <w:rPr>
          <w:sz w:val="20"/>
          <w:u w:val="single"/>
        </w:rPr>
        <w:t>T%2F1&amp;Lang=en</w:t>
      </w:r>
    </w:p>
    <w:p>
      <w:pPr>
        <w:spacing w:line="233" w:lineRule="exact" w:before="0"/>
        <w:ind w:left="108" w:right="0" w:firstLine="0"/>
        <w:jc w:val="left"/>
        <w:rPr>
          <w:sz w:val="20"/>
        </w:rPr>
      </w:pPr>
      <w:bookmarkStart w:name="_bookmark102" w:id="104"/>
      <w:bookmarkEnd w:id="104"/>
      <w:r>
        <w:rPr/>
      </w:r>
      <w:r>
        <w:rPr>
          <w:position w:val="7"/>
          <w:sz w:val="13"/>
        </w:rPr>
        <w:t>102 </w:t>
      </w:r>
      <w:r>
        <w:rPr>
          <w:sz w:val="20"/>
        </w:rPr>
        <w:t>CRPD Committee, </w:t>
      </w:r>
      <w:r>
        <w:rPr>
          <w:i/>
          <w:sz w:val="21"/>
        </w:rPr>
        <w:t>Concluding Observations on the Initial Report of Qatar</w:t>
      </w:r>
      <w:r>
        <w:rPr>
          <w:sz w:val="20"/>
        </w:rPr>
        <w:t>, para (27).</w:t>
      </w:r>
    </w:p>
    <w:p>
      <w:pPr>
        <w:spacing w:line="240" w:lineRule="exact" w:before="0"/>
        <w:ind w:left="108" w:right="0" w:firstLine="0"/>
        <w:jc w:val="left"/>
        <w:rPr>
          <w:sz w:val="20"/>
        </w:rPr>
      </w:pPr>
      <w:bookmarkStart w:name="_bookmark103" w:id="105"/>
      <w:bookmarkEnd w:id="105"/>
      <w:r>
        <w:rPr/>
      </w:r>
      <w:r>
        <w:rPr>
          <w:position w:val="7"/>
          <w:sz w:val="13"/>
        </w:rPr>
        <w:t>103 </w:t>
      </w:r>
      <w:r>
        <w:rPr>
          <w:sz w:val="20"/>
        </w:rPr>
        <w:t>Ibid, para (28).</w:t>
      </w:r>
    </w:p>
    <w:p>
      <w:pPr>
        <w:spacing w:after="0" w:line="240" w:lineRule="exact"/>
        <w:jc w:val="left"/>
        <w:rPr>
          <w:sz w:val="20"/>
        </w:rPr>
        <w:sectPr>
          <w:pgSz w:w="11910" w:h="16840"/>
          <w:pgMar w:header="0" w:footer="523" w:top="1580" w:bottom="720" w:left="940" w:right="1320"/>
        </w:sectPr>
      </w:pPr>
    </w:p>
    <w:p>
      <w:pPr>
        <w:pStyle w:val="BodyText"/>
        <w:spacing w:before="82"/>
        <w:ind w:left="397" w:right="106"/>
        <w:jc w:val="both"/>
      </w:pPr>
      <w:r>
        <w:rPr/>
        <w:t>Qatari criminal law also provides for the deprivation of liberty of victims of crime with intellectual and psychosocial disabilities in some cases. According to the section of the Criminal Procedure Code (Protection of Minor and Mentally Disabled Victims), public prosecution</w:t>
      </w:r>
      <w:r>
        <w:rPr>
          <w:spacing w:val="-14"/>
        </w:rPr>
        <w:t> </w:t>
      </w:r>
      <w:r>
        <w:rPr/>
        <w:t>or</w:t>
      </w:r>
      <w:r>
        <w:rPr>
          <w:spacing w:val="-15"/>
        </w:rPr>
        <w:t> </w:t>
      </w:r>
      <w:r>
        <w:rPr/>
        <w:t>the</w:t>
      </w:r>
      <w:r>
        <w:rPr>
          <w:spacing w:val="-14"/>
        </w:rPr>
        <w:t> </w:t>
      </w:r>
      <w:r>
        <w:rPr/>
        <w:t>court</w:t>
      </w:r>
      <w:r>
        <w:rPr>
          <w:spacing w:val="-13"/>
        </w:rPr>
        <w:t> </w:t>
      </w:r>
      <w:r>
        <w:rPr/>
        <w:t>considering</w:t>
      </w:r>
      <w:r>
        <w:rPr>
          <w:spacing w:val="-13"/>
        </w:rPr>
        <w:t> </w:t>
      </w:r>
      <w:r>
        <w:rPr/>
        <w:t>the</w:t>
      </w:r>
      <w:r>
        <w:rPr>
          <w:spacing w:val="-14"/>
        </w:rPr>
        <w:t> </w:t>
      </w:r>
      <w:r>
        <w:rPr/>
        <w:t>case,</w:t>
      </w:r>
      <w:r>
        <w:rPr>
          <w:spacing w:val="-14"/>
        </w:rPr>
        <w:t> </w:t>
      </w:r>
      <w:r>
        <w:rPr/>
        <w:t>may</w:t>
      </w:r>
      <w:r>
        <w:rPr>
          <w:spacing w:val="-13"/>
        </w:rPr>
        <w:t> </w:t>
      </w:r>
      <w:r>
        <w:rPr/>
        <w:t>order</w:t>
      </w:r>
      <w:r>
        <w:rPr>
          <w:spacing w:val="-14"/>
        </w:rPr>
        <w:t> </w:t>
      </w:r>
      <w:r>
        <w:rPr/>
        <w:t>that</w:t>
      </w:r>
      <w:r>
        <w:rPr>
          <w:spacing w:val="-13"/>
        </w:rPr>
        <w:t> </w:t>
      </w:r>
      <w:r>
        <w:rPr/>
        <w:t>the</w:t>
      </w:r>
      <w:r>
        <w:rPr>
          <w:spacing w:val="-14"/>
        </w:rPr>
        <w:t> </w:t>
      </w:r>
      <w:r>
        <w:rPr/>
        <w:t>victims</w:t>
      </w:r>
      <w:r>
        <w:rPr>
          <w:spacing w:val="-14"/>
        </w:rPr>
        <w:t> </w:t>
      </w:r>
      <w:r>
        <w:rPr/>
        <w:t>of</w:t>
      </w:r>
      <w:r>
        <w:rPr>
          <w:spacing w:val="-14"/>
        </w:rPr>
        <w:t> </w:t>
      </w:r>
      <w:r>
        <w:rPr/>
        <w:t>crime</w:t>
      </w:r>
      <w:r>
        <w:rPr>
          <w:spacing w:val="-14"/>
        </w:rPr>
        <w:t> </w:t>
      </w:r>
      <w:r>
        <w:rPr/>
        <w:t>“with mental disabilities” be put in a therapeutic facility while their case is being resolved. Although, again, Qatar’s initial Report considered this provision to be a special guarantee for persons with disabilities, </w:t>
      </w:r>
      <w:hyperlink w:history="true" w:anchor="_bookmark104">
        <w:r>
          <w:rPr>
            <w:position w:val="8"/>
            <w:sz w:val="16"/>
          </w:rPr>
          <w:t>104 </w:t>
        </w:r>
      </w:hyperlink>
      <w:r>
        <w:rPr/>
        <w:t>the CRPD Committee also expressed its concern about it. </w:t>
      </w:r>
      <w:hyperlink w:history="true" w:anchor="_bookmark105">
        <w:r>
          <w:rPr>
            <w:position w:val="8"/>
            <w:sz w:val="16"/>
          </w:rPr>
          <w:t>105 </w:t>
        </w:r>
      </w:hyperlink>
      <w:r>
        <w:rPr/>
        <w:t>Indeed, though this measure has a protective aim, it is not compliant with the CRPD, given that it may imply a disproportionate response that deprives persons of their liberty on the basis of disability. In cases of risk of harm to the victim, the response should focus on the perpetrator </w:t>
      </w:r>
      <w:hyperlink w:history="true" w:anchor="_bookmark106">
        <w:r>
          <w:rPr>
            <w:position w:val="8"/>
            <w:sz w:val="16"/>
          </w:rPr>
          <w:t>106 </w:t>
        </w:r>
      </w:hyperlink>
      <w:r>
        <w:rPr/>
        <w:t>and, within the CRPD framework when special measures of protection are needed, the will of the victim should</w:t>
      </w:r>
      <w:r>
        <w:rPr>
          <w:spacing w:val="-17"/>
        </w:rPr>
        <w:t> </w:t>
      </w:r>
      <w:r>
        <w:rPr/>
        <w:t>be</w:t>
      </w:r>
      <w:r>
        <w:rPr>
          <w:spacing w:val="-16"/>
        </w:rPr>
        <w:t> </w:t>
      </w:r>
      <w:r>
        <w:rPr/>
        <w:t>taken</w:t>
      </w:r>
      <w:r>
        <w:rPr>
          <w:spacing w:val="-16"/>
        </w:rPr>
        <w:t> </w:t>
      </w:r>
      <w:r>
        <w:rPr/>
        <w:t>into</w:t>
      </w:r>
      <w:r>
        <w:rPr>
          <w:spacing w:val="-17"/>
        </w:rPr>
        <w:t> </w:t>
      </w:r>
      <w:r>
        <w:rPr/>
        <w:t>account</w:t>
      </w:r>
      <w:r>
        <w:rPr>
          <w:spacing w:val="-16"/>
        </w:rPr>
        <w:t> </w:t>
      </w:r>
      <w:r>
        <w:rPr/>
        <w:t>and</w:t>
      </w:r>
      <w:r>
        <w:rPr>
          <w:spacing w:val="-18"/>
        </w:rPr>
        <w:t> </w:t>
      </w:r>
      <w:r>
        <w:rPr/>
        <w:t>support</w:t>
      </w:r>
      <w:r>
        <w:rPr>
          <w:spacing w:val="-16"/>
        </w:rPr>
        <w:t> </w:t>
      </w:r>
      <w:r>
        <w:rPr/>
        <w:t>for</w:t>
      </w:r>
      <w:r>
        <w:rPr>
          <w:spacing w:val="-17"/>
        </w:rPr>
        <w:t> </w:t>
      </w:r>
      <w:r>
        <w:rPr/>
        <w:t>the</w:t>
      </w:r>
      <w:r>
        <w:rPr>
          <w:spacing w:val="-16"/>
        </w:rPr>
        <w:t> </w:t>
      </w:r>
      <w:r>
        <w:rPr/>
        <w:t>expression</w:t>
      </w:r>
      <w:r>
        <w:rPr>
          <w:spacing w:val="-17"/>
        </w:rPr>
        <w:t> </w:t>
      </w:r>
      <w:r>
        <w:rPr/>
        <w:t>of</w:t>
      </w:r>
      <w:r>
        <w:rPr>
          <w:spacing w:val="-17"/>
        </w:rPr>
        <w:t> </w:t>
      </w:r>
      <w:r>
        <w:rPr/>
        <w:t>their</w:t>
      </w:r>
      <w:r>
        <w:rPr>
          <w:spacing w:val="-17"/>
        </w:rPr>
        <w:t> </w:t>
      </w:r>
      <w:r>
        <w:rPr/>
        <w:t>preferences</w:t>
      </w:r>
      <w:r>
        <w:rPr>
          <w:spacing w:val="-16"/>
        </w:rPr>
        <w:t> </w:t>
      </w:r>
      <w:r>
        <w:rPr/>
        <w:t>should be provided. Official assistance should be available for these victims and, if in some circumstances the placement in an institution is necessary, the approval of the person concerned must be required. The institution should not have a therapeutic nature, but a protection purpose, in the same way as Qatari Law provides such protection for minors who are victims of</w:t>
      </w:r>
      <w:r>
        <w:rPr>
          <w:spacing w:val="-1"/>
        </w:rPr>
        <w:t> </w:t>
      </w:r>
      <w:r>
        <w:rPr/>
        <w:t>crime.</w:t>
      </w:r>
    </w:p>
    <w:p>
      <w:pPr>
        <w:pStyle w:val="BodyText"/>
      </w:pPr>
    </w:p>
    <w:p>
      <w:pPr>
        <w:pStyle w:val="BodyText"/>
        <w:ind w:left="397" w:right="107"/>
        <w:jc w:val="both"/>
        <w:rPr>
          <w:sz w:val="16"/>
        </w:rPr>
      </w:pPr>
      <w:r>
        <w:rPr/>
        <w:t>The CRPD does not exempt persons with psychosocial disabilities from the generally applicable powers of the state to arrest and detain persons for violations of criminal law.</w:t>
      </w:r>
      <w:hyperlink w:history="true" w:anchor="_bookmark107">
        <w:r>
          <w:rPr>
            <w:position w:val="8"/>
            <w:sz w:val="16"/>
          </w:rPr>
          <w:t>107 </w:t>
        </w:r>
      </w:hyperlink>
      <w:r>
        <w:rPr/>
        <w:t>In these situations, the requirements of paragraph 2 of Article 14 of the CRPD must be followed. According to Law No. 3 of 2009 on the Regulation of Penal and Correctional Institutions, in Qatar all prisons have a health unit that provides special healthcare for inmates with disabilities and attends to various needs in certain circumstances.</w:t>
      </w:r>
      <w:hyperlink w:history="true" w:anchor="_bookmark108">
        <w:r>
          <w:rPr>
            <w:position w:val="8"/>
            <w:sz w:val="16"/>
          </w:rPr>
          <w:t>108</w:t>
        </w:r>
      </w:hyperlink>
    </w:p>
    <w:p>
      <w:pPr>
        <w:pStyle w:val="BodyText"/>
      </w:pPr>
    </w:p>
    <w:p>
      <w:pPr>
        <w:pStyle w:val="BodyText"/>
        <w:ind w:left="398" w:right="105"/>
        <w:jc w:val="both"/>
      </w:pPr>
      <w:r>
        <w:rPr/>
        <w:t>Although in Qatar prisoners with disabilities have the same rights as other prisoners, there</w:t>
      </w:r>
      <w:r>
        <w:rPr>
          <w:spacing w:val="-9"/>
        </w:rPr>
        <w:t> </w:t>
      </w:r>
      <w:r>
        <w:rPr/>
        <w:t>are</w:t>
      </w:r>
      <w:r>
        <w:rPr>
          <w:spacing w:val="-9"/>
        </w:rPr>
        <w:t> </w:t>
      </w:r>
      <w:r>
        <w:rPr/>
        <w:t>no</w:t>
      </w:r>
      <w:r>
        <w:rPr>
          <w:spacing w:val="-9"/>
        </w:rPr>
        <w:t> </w:t>
      </w:r>
      <w:r>
        <w:rPr/>
        <w:t>legal</w:t>
      </w:r>
      <w:r>
        <w:rPr>
          <w:spacing w:val="-9"/>
        </w:rPr>
        <w:t> </w:t>
      </w:r>
      <w:r>
        <w:rPr/>
        <w:t>measures</w:t>
      </w:r>
      <w:r>
        <w:rPr>
          <w:spacing w:val="-9"/>
        </w:rPr>
        <w:t> </w:t>
      </w:r>
      <w:r>
        <w:rPr/>
        <w:t>or</w:t>
      </w:r>
      <w:r>
        <w:rPr>
          <w:spacing w:val="-9"/>
        </w:rPr>
        <w:t> </w:t>
      </w:r>
      <w:r>
        <w:rPr/>
        <w:t>binding</w:t>
      </w:r>
      <w:r>
        <w:rPr>
          <w:spacing w:val="-10"/>
        </w:rPr>
        <w:t> </w:t>
      </w:r>
      <w:r>
        <w:rPr/>
        <w:t>protocols</w:t>
      </w:r>
      <w:r>
        <w:rPr>
          <w:spacing w:val="-9"/>
        </w:rPr>
        <w:t> </w:t>
      </w:r>
      <w:r>
        <w:rPr/>
        <w:t>to</w:t>
      </w:r>
      <w:r>
        <w:rPr>
          <w:spacing w:val="-9"/>
        </w:rPr>
        <w:t> </w:t>
      </w:r>
      <w:r>
        <w:rPr/>
        <w:t>ensure</w:t>
      </w:r>
      <w:r>
        <w:rPr>
          <w:spacing w:val="-9"/>
        </w:rPr>
        <w:t> </w:t>
      </w:r>
      <w:r>
        <w:rPr/>
        <w:t>the</w:t>
      </w:r>
      <w:r>
        <w:rPr>
          <w:spacing w:val="-9"/>
        </w:rPr>
        <w:t> </w:t>
      </w:r>
      <w:r>
        <w:rPr/>
        <w:t>accessibility</w:t>
      </w:r>
      <w:r>
        <w:rPr>
          <w:spacing w:val="-10"/>
        </w:rPr>
        <w:t> </w:t>
      </w:r>
      <w:r>
        <w:rPr/>
        <w:t>of</w:t>
      </w:r>
      <w:r>
        <w:rPr>
          <w:spacing w:val="-10"/>
        </w:rPr>
        <w:t> </w:t>
      </w:r>
      <w:r>
        <w:rPr/>
        <w:t>facilities, educational</w:t>
      </w:r>
      <w:r>
        <w:rPr>
          <w:spacing w:val="-9"/>
        </w:rPr>
        <w:t> </w:t>
      </w:r>
      <w:r>
        <w:rPr/>
        <w:t>programs</w:t>
      </w:r>
      <w:r>
        <w:rPr>
          <w:spacing w:val="-10"/>
        </w:rPr>
        <w:t> </w:t>
      </w:r>
      <w:r>
        <w:rPr/>
        <w:t>and</w:t>
      </w:r>
      <w:r>
        <w:rPr>
          <w:spacing w:val="-8"/>
        </w:rPr>
        <w:t> </w:t>
      </w:r>
      <w:r>
        <w:rPr/>
        <w:t>services,</w:t>
      </w:r>
      <w:r>
        <w:rPr>
          <w:spacing w:val="-8"/>
        </w:rPr>
        <w:t> </w:t>
      </w:r>
      <w:r>
        <w:rPr/>
        <w:t>or</w:t>
      </w:r>
      <w:r>
        <w:rPr>
          <w:spacing w:val="-8"/>
        </w:rPr>
        <w:t> </w:t>
      </w:r>
      <w:r>
        <w:rPr/>
        <w:t>the</w:t>
      </w:r>
      <w:r>
        <w:rPr>
          <w:spacing w:val="-9"/>
        </w:rPr>
        <w:t> </w:t>
      </w:r>
      <w:r>
        <w:rPr/>
        <w:t>provision</w:t>
      </w:r>
      <w:r>
        <w:rPr>
          <w:spacing w:val="-8"/>
        </w:rPr>
        <w:t> </w:t>
      </w:r>
      <w:r>
        <w:rPr/>
        <w:t>of</w:t>
      </w:r>
      <w:r>
        <w:rPr>
          <w:spacing w:val="-8"/>
        </w:rPr>
        <w:t> </w:t>
      </w:r>
      <w:r>
        <w:rPr/>
        <w:t>reasonable</w:t>
      </w:r>
      <w:r>
        <w:rPr>
          <w:spacing w:val="-10"/>
        </w:rPr>
        <w:t> </w:t>
      </w:r>
      <w:r>
        <w:rPr/>
        <w:t>accommodation</w:t>
      </w:r>
      <w:r>
        <w:rPr>
          <w:spacing w:val="-7"/>
        </w:rPr>
        <w:t> </w:t>
      </w:r>
      <w:r>
        <w:rPr/>
        <w:t>and support. It is worth noting that, according to the CRPD, prisoners with psychosocial disabilities</w:t>
      </w:r>
      <w:r>
        <w:rPr>
          <w:spacing w:val="-8"/>
        </w:rPr>
        <w:t> </w:t>
      </w:r>
      <w:r>
        <w:rPr/>
        <w:t>retain</w:t>
      </w:r>
      <w:r>
        <w:rPr>
          <w:spacing w:val="-6"/>
        </w:rPr>
        <w:t> </w:t>
      </w:r>
      <w:r>
        <w:rPr/>
        <w:t>the</w:t>
      </w:r>
      <w:r>
        <w:rPr>
          <w:spacing w:val="-7"/>
        </w:rPr>
        <w:t> </w:t>
      </w:r>
      <w:r>
        <w:rPr/>
        <w:t>right</w:t>
      </w:r>
      <w:r>
        <w:rPr>
          <w:spacing w:val="-8"/>
        </w:rPr>
        <w:t> </w:t>
      </w:r>
      <w:r>
        <w:rPr/>
        <w:t>not</w:t>
      </w:r>
      <w:r>
        <w:rPr>
          <w:spacing w:val="-6"/>
        </w:rPr>
        <w:t> </w:t>
      </w:r>
      <w:r>
        <w:rPr/>
        <w:t>be</w:t>
      </w:r>
      <w:r>
        <w:rPr>
          <w:spacing w:val="-8"/>
        </w:rPr>
        <w:t> </w:t>
      </w:r>
      <w:r>
        <w:rPr/>
        <w:t>medicated</w:t>
      </w:r>
      <w:r>
        <w:rPr>
          <w:spacing w:val="-7"/>
        </w:rPr>
        <w:t> </w:t>
      </w:r>
      <w:r>
        <w:rPr/>
        <w:t>against</w:t>
      </w:r>
      <w:r>
        <w:rPr>
          <w:spacing w:val="-8"/>
        </w:rPr>
        <w:t> </w:t>
      </w:r>
      <w:r>
        <w:rPr/>
        <w:t>their</w:t>
      </w:r>
      <w:r>
        <w:rPr>
          <w:spacing w:val="-7"/>
        </w:rPr>
        <w:t> </w:t>
      </w:r>
      <w:r>
        <w:rPr/>
        <w:t>will.</w:t>
      </w:r>
      <w:r>
        <w:rPr>
          <w:spacing w:val="-7"/>
        </w:rPr>
        <w:t> </w:t>
      </w:r>
      <w:r>
        <w:rPr/>
        <w:t>This</w:t>
      </w:r>
      <w:r>
        <w:rPr>
          <w:spacing w:val="-8"/>
        </w:rPr>
        <w:t> </w:t>
      </w:r>
      <w:r>
        <w:rPr/>
        <w:t>right</w:t>
      </w:r>
      <w:r>
        <w:rPr>
          <w:spacing w:val="-8"/>
        </w:rPr>
        <w:t> </w:t>
      </w:r>
      <w:r>
        <w:rPr/>
        <w:t>is</w:t>
      </w:r>
      <w:r>
        <w:rPr>
          <w:spacing w:val="-7"/>
        </w:rPr>
        <w:t> </w:t>
      </w:r>
      <w:r>
        <w:rPr/>
        <w:t>not</w:t>
      </w:r>
      <w:r>
        <w:rPr>
          <w:spacing w:val="-8"/>
        </w:rPr>
        <w:t> </w:t>
      </w:r>
      <w:r>
        <w:rPr/>
        <w:t>ensured in Qatar’s criminal justice system. </w:t>
      </w:r>
      <w:hyperlink w:history="true" w:anchor="_bookmark109">
        <w:r>
          <w:rPr>
            <w:position w:val="8"/>
            <w:sz w:val="16"/>
          </w:rPr>
          <w:t>109</w:t>
        </w:r>
      </w:hyperlink>
      <w:r>
        <w:rPr>
          <w:position w:val="8"/>
          <w:sz w:val="16"/>
        </w:rPr>
        <w:t> </w:t>
      </w:r>
      <w:r>
        <w:rPr/>
        <w:t>As in the case of psychiatric facilities, the monitoring and review of prison conditions must be improved according to the observations of the Committee against Torture, as discussed</w:t>
      </w:r>
      <w:r>
        <w:rPr>
          <w:spacing w:val="-5"/>
        </w:rPr>
        <w:t> </w:t>
      </w:r>
      <w:r>
        <w:rPr/>
        <w:t>earlier.</w:t>
      </w:r>
    </w:p>
    <w:p>
      <w:pPr>
        <w:pStyle w:val="BodyText"/>
        <w:spacing w:before="11"/>
        <w:rPr>
          <w:sz w:val="23"/>
        </w:rPr>
      </w:pPr>
    </w:p>
    <w:p>
      <w:pPr>
        <w:pStyle w:val="BodyText"/>
        <w:ind w:left="397" w:right="106"/>
        <w:jc w:val="both"/>
      </w:pPr>
      <w:r>
        <w:rPr/>
        <w:t>The</w:t>
      </w:r>
      <w:r>
        <w:rPr>
          <w:spacing w:val="-13"/>
        </w:rPr>
        <w:t> </w:t>
      </w:r>
      <w:r>
        <w:rPr/>
        <w:t>CRPD</w:t>
      </w:r>
      <w:r>
        <w:rPr>
          <w:spacing w:val="-12"/>
        </w:rPr>
        <w:t> </w:t>
      </w:r>
      <w:r>
        <w:rPr/>
        <w:t>Committee</w:t>
      </w:r>
      <w:r>
        <w:rPr>
          <w:spacing w:val="-13"/>
        </w:rPr>
        <w:t> </w:t>
      </w:r>
      <w:r>
        <w:rPr/>
        <w:t>in</w:t>
      </w:r>
      <w:r>
        <w:rPr>
          <w:spacing w:val="-12"/>
        </w:rPr>
        <w:t> </w:t>
      </w:r>
      <w:r>
        <w:rPr/>
        <w:t>its</w:t>
      </w:r>
      <w:r>
        <w:rPr>
          <w:spacing w:val="-13"/>
        </w:rPr>
        <w:t> </w:t>
      </w:r>
      <w:r>
        <w:rPr/>
        <w:t>Concluding</w:t>
      </w:r>
      <w:r>
        <w:rPr>
          <w:spacing w:val="-13"/>
        </w:rPr>
        <w:t> </w:t>
      </w:r>
      <w:r>
        <w:rPr/>
        <w:t>Observations</w:t>
      </w:r>
      <w:r>
        <w:rPr>
          <w:spacing w:val="-13"/>
        </w:rPr>
        <w:t> </w:t>
      </w:r>
      <w:r>
        <w:rPr/>
        <w:t>on</w:t>
      </w:r>
      <w:r>
        <w:rPr>
          <w:spacing w:val="-13"/>
        </w:rPr>
        <w:t> </w:t>
      </w:r>
      <w:r>
        <w:rPr/>
        <w:t>Qatar</w:t>
      </w:r>
      <w:r>
        <w:rPr>
          <w:spacing w:val="-13"/>
        </w:rPr>
        <w:t> </w:t>
      </w:r>
      <w:r>
        <w:rPr/>
        <w:t>did</w:t>
      </w:r>
      <w:r>
        <w:rPr>
          <w:spacing w:val="-13"/>
        </w:rPr>
        <w:t> </w:t>
      </w:r>
      <w:r>
        <w:rPr/>
        <w:t>not</w:t>
      </w:r>
      <w:r>
        <w:rPr>
          <w:spacing w:val="-12"/>
        </w:rPr>
        <w:t> </w:t>
      </w:r>
      <w:r>
        <w:rPr/>
        <w:t>express</w:t>
      </w:r>
      <w:r>
        <w:rPr>
          <w:spacing w:val="-13"/>
        </w:rPr>
        <w:t> </w:t>
      </w:r>
      <w:r>
        <w:rPr/>
        <w:t>concerns regarding</w:t>
      </w:r>
      <w:r>
        <w:rPr>
          <w:spacing w:val="13"/>
        </w:rPr>
        <w:t> </w:t>
      </w:r>
      <w:r>
        <w:rPr/>
        <w:t>the</w:t>
      </w:r>
      <w:r>
        <w:rPr>
          <w:spacing w:val="15"/>
        </w:rPr>
        <w:t> </w:t>
      </w:r>
      <w:r>
        <w:rPr/>
        <w:t>detention</w:t>
      </w:r>
      <w:r>
        <w:rPr>
          <w:spacing w:val="15"/>
        </w:rPr>
        <w:t> </w:t>
      </w:r>
      <w:r>
        <w:rPr/>
        <w:t>conditions</w:t>
      </w:r>
      <w:r>
        <w:rPr>
          <w:spacing w:val="15"/>
        </w:rPr>
        <w:t> </w:t>
      </w:r>
      <w:r>
        <w:rPr/>
        <w:t>for</w:t>
      </w:r>
      <w:r>
        <w:rPr>
          <w:spacing w:val="13"/>
        </w:rPr>
        <w:t> </w:t>
      </w:r>
      <w:r>
        <w:rPr/>
        <w:t>persons</w:t>
      </w:r>
      <w:r>
        <w:rPr>
          <w:spacing w:val="15"/>
        </w:rPr>
        <w:t> </w:t>
      </w:r>
      <w:r>
        <w:rPr/>
        <w:t>with</w:t>
      </w:r>
      <w:r>
        <w:rPr>
          <w:spacing w:val="12"/>
        </w:rPr>
        <w:t> </w:t>
      </w:r>
      <w:r>
        <w:rPr/>
        <w:t>disabilities</w:t>
      </w:r>
      <w:r>
        <w:rPr>
          <w:spacing w:val="15"/>
        </w:rPr>
        <w:t> </w:t>
      </w:r>
      <w:r>
        <w:rPr/>
        <w:t>in</w:t>
      </w:r>
      <w:r>
        <w:rPr>
          <w:spacing w:val="12"/>
        </w:rPr>
        <w:t> </w:t>
      </w:r>
      <w:r>
        <w:rPr/>
        <w:t>prisons,</w:t>
      </w:r>
      <w:r>
        <w:rPr>
          <w:spacing w:val="13"/>
        </w:rPr>
        <w:t> </w:t>
      </w:r>
      <w:r>
        <w:rPr/>
        <w:t>however</w:t>
      </w:r>
      <w:r>
        <w:rPr>
          <w:spacing w:val="15"/>
        </w:rPr>
        <w:t> </w:t>
      </w:r>
      <w:r>
        <w:rPr/>
        <w:t>it</w:t>
      </w:r>
    </w:p>
    <w:p>
      <w:pPr>
        <w:pStyle w:val="BodyText"/>
        <w:spacing w:before="11"/>
        <w:rPr>
          <w:sz w:val="36"/>
        </w:rPr>
      </w:pPr>
    </w:p>
    <w:p>
      <w:pPr>
        <w:spacing w:line="247" w:lineRule="exact" w:before="0"/>
        <w:ind w:left="108" w:right="0" w:firstLine="0"/>
        <w:jc w:val="left"/>
        <w:rPr>
          <w:sz w:val="20"/>
        </w:rPr>
      </w:pPr>
      <w:bookmarkStart w:name="_bookmark104" w:id="106"/>
      <w:bookmarkEnd w:id="106"/>
      <w:r>
        <w:rPr/>
      </w:r>
      <w:r>
        <w:rPr>
          <w:position w:val="7"/>
          <w:sz w:val="13"/>
        </w:rPr>
        <w:t>104 </w:t>
      </w:r>
      <w:r>
        <w:rPr>
          <w:i/>
          <w:sz w:val="21"/>
        </w:rPr>
        <w:t>Qatar´s Initial Report</w:t>
      </w:r>
      <w:r>
        <w:rPr>
          <w:sz w:val="20"/>
        </w:rPr>
        <w:t>, para (109).</w:t>
      </w:r>
    </w:p>
    <w:p>
      <w:pPr>
        <w:spacing w:line="246" w:lineRule="exact" w:before="0"/>
        <w:ind w:left="108" w:right="0" w:firstLine="0"/>
        <w:jc w:val="left"/>
        <w:rPr>
          <w:sz w:val="20"/>
        </w:rPr>
      </w:pPr>
      <w:bookmarkStart w:name="_bookmark105" w:id="107"/>
      <w:bookmarkEnd w:id="107"/>
      <w:r>
        <w:rPr/>
      </w:r>
      <w:r>
        <w:rPr>
          <w:position w:val="7"/>
          <w:sz w:val="13"/>
        </w:rPr>
        <w:t>105 </w:t>
      </w:r>
      <w:r>
        <w:rPr>
          <w:sz w:val="20"/>
        </w:rPr>
        <w:t>CRPD Committee, </w:t>
      </w:r>
      <w:r>
        <w:rPr>
          <w:i/>
          <w:sz w:val="21"/>
        </w:rPr>
        <w:t>Concluding Observations on the Initial Report of Qatar, </w:t>
      </w:r>
      <w:r>
        <w:rPr>
          <w:sz w:val="20"/>
        </w:rPr>
        <w:t>para (27).</w:t>
      </w:r>
    </w:p>
    <w:p>
      <w:pPr>
        <w:spacing w:line="235" w:lineRule="exact" w:before="0"/>
        <w:ind w:left="108" w:right="0" w:firstLine="0"/>
        <w:jc w:val="left"/>
        <w:rPr>
          <w:sz w:val="20"/>
        </w:rPr>
      </w:pPr>
      <w:bookmarkStart w:name="_bookmark106" w:id="108"/>
      <w:bookmarkEnd w:id="108"/>
      <w:r>
        <w:rPr/>
      </w:r>
      <w:r>
        <w:rPr>
          <w:position w:val="7"/>
          <w:sz w:val="13"/>
        </w:rPr>
        <w:t>106 </w:t>
      </w:r>
      <w:r>
        <w:rPr>
          <w:sz w:val="20"/>
        </w:rPr>
        <w:t>Flynn, E.,“Disability, Deprivation of Liberty and Human Rights Norms”, [85].</w:t>
      </w:r>
    </w:p>
    <w:p>
      <w:pPr>
        <w:spacing w:line="243" w:lineRule="exact" w:before="0"/>
        <w:ind w:left="114" w:right="0" w:firstLine="0"/>
        <w:jc w:val="left"/>
        <w:rPr>
          <w:sz w:val="20"/>
        </w:rPr>
      </w:pPr>
      <w:bookmarkStart w:name="_bookmark107" w:id="109"/>
      <w:bookmarkEnd w:id="109"/>
      <w:r>
        <w:rPr/>
      </w:r>
      <w:r>
        <w:rPr>
          <w:position w:val="7"/>
          <w:sz w:val="13"/>
        </w:rPr>
        <w:t>107 </w:t>
      </w:r>
      <w:r>
        <w:rPr>
          <w:sz w:val="20"/>
        </w:rPr>
        <w:t>Minkowitz, T., </w:t>
      </w:r>
      <w:r>
        <w:rPr>
          <w:i/>
          <w:sz w:val="21"/>
        </w:rPr>
        <w:t>Why Mental Health Laws Contravene the CRPD</w:t>
      </w:r>
      <w:r>
        <w:rPr>
          <w:sz w:val="20"/>
        </w:rPr>
        <w:t>.</w:t>
      </w:r>
    </w:p>
    <w:p>
      <w:pPr>
        <w:spacing w:line="242" w:lineRule="exact" w:before="0"/>
        <w:ind w:left="108" w:right="0" w:firstLine="0"/>
        <w:jc w:val="left"/>
        <w:rPr>
          <w:sz w:val="20"/>
        </w:rPr>
      </w:pPr>
      <w:bookmarkStart w:name="_bookmark108" w:id="110"/>
      <w:bookmarkEnd w:id="110"/>
      <w:r>
        <w:rPr/>
      </w:r>
      <w:r>
        <w:rPr>
          <w:position w:val="7"/>
          <w:sz w:val="13"/>
        </w:rPr>
        <w:t>108 </w:t>
      </w:r>
      <w:r>
        <w:rPr>
          <w:i/>
          <w:sz w:val="21"/>
        </w:rPr>
        <w:t>Qatar’s Initial Report, </w:t>
      </w:r>
      <w:r>
        <w:rPr>
          <w:sz w:val="20"/>
        </w:rPr>
        <w:t>para (117).</w:t>
      </w:r>
    </w:p>
    <w:p>
      <w:pPr>
        <w:spacing w:line="240" w:lineRule="auto" w:before="0"/>
        <w:ind w:left="393" w:right="106" w:hanging="285"/>
        <w:jc w:val="both"/>
        <w:rPr>
          <w:sz w:val="20"/>
        </w:rPr>
      </w:pPr>
      <w:bookmarkStart w:name="_bookmark109" w:id="111"/>
      <w:bookmarkEnd w:id="111"/>
      <w:r>
        <w:rPr/>
      </w:r>
      <w:r>
        <w:rPr>
          <w:position w:val="7"/>
          <w:sz w:val="13"/>
        </w:rPr>
        <w:t>109 </w:t>
      </w:r>
      <w:r>
        <w:rPr>
          <w:sz w:val="20"/>
        </w:rPr>
        <w:t>For example, Article 355 of the </w:t>
      </w:r>
      <w:r>
        <w:rPr>
          <w:i/>
          <w:sz w:val="21"/>
        </w:rPr>
        <w:t>Criminal Procedure Code </w:t>
      </w:r>
      <w:r>
        <w:rPr>
          <w:sz w:val="20"/>
        </w:rPr>
        <w:t>considers the situation of a person serving a custodial sentence who is later affected by a mental disability. In this case, the enforcement of the penalty</w:t>
      </w:r>
      <w:r>
        <w:rPr>
          <w:spacing w:val="-7"/>
          <w:sz w:val="20"/>
        </w:rPr>
        <w:t> </w:t>
      </w:r>
      <w:r>
        <w:rPr>
          <w:sz w:val="20"/>
        </w:rPr>
        <w:t>shall</w:t>
      </w:r>
      <w:r>
        <w:rPr>
          <w:spacing w:val="-8"/>
          <w:sz w:val="20"/>
        </w:rPr>
        <w:t> </w:t>
      </w:r>
      <w:r>
        <w:rPr>
          <w:sz w:val="20"/>
        </w:rPr>
        <w:t>be</w:t>
      </w:r>
      <w:r>
        <w:rPr>
          <w:spacing w:val="-7"/>
          <w:sz w:val="20"/>
        </w:rPr>
        <w:t> </w:t>
      </w:r>
      <w:r>
        <w:rPr>
          <w:sz w:val="20"/>
        </w:rPr>
        <w:t>postponed</w:t>
      </w:r>
      <w:r>
        <w:rPr>
          <w:spacing w:val="-8"/>
          <w:sz w:val="20"/>
        </w:rPr>
        <w:t> </w:t>
      </w:r>
      <w:r>
        <w:rPr>
          <w:sz w:val="20"/>
        </w:rPr>
        <w:t>until</w:t>
      </w:r>
      <w:r>
        <w:rPr>
          <w:spacing w:val="-7"/>
          <w:sz w:val="20"/>
        </w:rPr>
        <w:t> </w:t>
      </w:r>
      <w:r>
        <w:rPr>
          <w:sz w:val="20"/>
        </w:rPr>
        <w:t>recovery,</w:t>
      </w:r>
      <w:r>
        <w:rPr>
          <w:spacing w:val="-7"/>
          <w:sz w:val="20"/>
        </w:rPr>
        <w:t> </w:t>
      </w:r>
      <w:r>
        <w:rPr>
          <w:sz w:val="20"/>
        </w:rPr>
        <w:t>and</w:t>
      </w:r>
      <w:r>
        <w:rPr>
          <w:spacing w:val="-7"/>
          <w:sz w:val="20"/>
        </w:rPr>
        <w:t> </w:t>
      </w:r>
      <w:r>
        <w:rPr>
          <w:sz w:val="20"/>
        </w:rPr>
        <w:t>persons</w:t>
      </w:r>
      <w:r>
        <w:rPr>
          <w:spacing w:val="-7"/>
          <w:sz w:val="20"/>
        </w:rPr>
        <w:t> </w:t>
      </w:r>
      <w:r>
        <w:rPr>
          <w:sz w:val="20"/>
        </w:rPr>
        <w:t>shall</w:t>
      </w:r>
      <w:r>
        <w:rPr>
          <w:spacing w:val="-7"/>
          <w:sz w:val="20"/>
        </w:rPr>
        <w:t> </w:t>
      </w:r>
      <w:r>
        <w:rPr>
          <w:sz w:val="20"/>
        </w:rPr>
        <w:t>be</w:t>
      </w:r>
      <w:r>
        <w:rPr>
          <w:spacing w:val="-7"/>
          <w:sz w:val="20"/>
        </w:rPr>
        <w:t> </w:t>
      </w:r>
      <w:r>
        <w:rPr>
          <w:sz w:val="20"/>
        </w:rPr>
        <w:t>admitted</w:t>
      </w:r>
      <w:r>
        <w:rPr>
          <w:spacing w:val="-7"/>
          <w:sz w:val="20"/>
        </w:rPr>
        <w:t> </w:t>
      </w:r>
      <w:r>
        <w:rPr>
          <w:sz w:val="20"/>
        </w:rPr>
        <w:t>to</w:t>
      </w:r>
      <w:r>
        <w:rPr>
          <w:spacing w:val="-7"/>
          <w:sz w:val="20"/>
        </w:rPr>
        <w:t> </w:t>
      </w:r>
      <w:r>
        <w:rPr>
          <w:sz w:val="20"/>
        </w:rPr>
        <w:t>a</w:t>
      </w:r>
      <w:r>
        <w:rPr>
          <w:spacing w:val="-7"/>
          <w:sz w:val="20"/>
        </w:rPr>
        <w:t> </w:t>
      </w:r>
      <w:r>
        <w:rPr>
          <w:sz w:val="20"/>
        </w:rPr>
        <w:t>hospital,</w:t>
      </w:r>
      <w:r>
        <w:rPr>
          <w:spacing w:val="-7"/>
          <w:sz w:val="20"/>
        </w:rPr>
        <w:t> </w:t>
      </w:r>
      <w:r>
        <w:rPr>
          <w:sz w:val="20"/>
        </w:rPr>
        <w:t>provided</w:t>
      </w:r>
      <w:r>
        <w:rPr>
          <w:spacing w:val="-7"/>
          <w:sz w:val="20"/>
        </w:rPr>
        <w:t> </w:t>
      </w:r>
      <w:r>
        <w:rPr>
          <w:sz w:val="20"/>
        </w:rPr>
        <w:t>that</w:t>
      </w:r>
      <w:r>
        <w:rPr>
          <w:spacing w:val="-7"/>
          <w:sz w:val="20"/>
        </w:rPr>
        <w:t> </w:t>
      </w:r>
      <w:r>
        <w:rPr>
          <w:sz w:val="20"/>
        </w:rPr>
        <w:t>the period they spend in the hospital be deducted from the adjudged penalty</w:t>
      </w:r>
      <w:r>
        <w:rPr>
          <w:spacing w:val="-17"/>
          <w:sz w:val="20"/>
        </w:rPr>
        <w:t> </w:t>
      </w:r>
      <w:r>
        <w:rPr>
          <w:sz w:val="20"/>
        </w:rPr>
        <w:t>term.</w:t>
      </w:r>
    </w:p>
    <w:p>
      <w:pPr>
        <w:spacing w:after="0" w:line="240" w:lineRule="auto"/>
        <w:jc w:val="both"/>
        <w:rPr>
          <w:sz w:val="20"/>
        </w:rPr>
        <w:sectPr>
          <w:pgSz w:w="11910" w:h="16840"/>
          <w:pgMar w:header="0" w:footer="523" w:top="1320" w:bottom="720" w:left="940" w:right="1320"/>
        </w:sectPr>
      </w:pPr>
    </w:p>
    <w:p>
      <w:pPr>
        <w:pStyle w:val="BodyText"/>
        <w:spacing w:before="82"/>
        <w:ind w:left="398" w:right="110"/>
        <w:jc w:val="both"/>
        <w:rPr>
          <w:sz w:val="16"/>
        </w:rPr>
      </w:pPr>
      <w:r>
        <w:rPr/>
        <w:t>focused on the conditions surrounding the deprivation of liberty in deportation and detention centers.</w:t>
      </w:r>
      <w:hyperlink w:history="true" w:anchor="_bookmark110">
        <w:r>
          <w:rPr>
            <w:position w:val="8"/>
            <w:sz w:val="16"/>
          </w:rPr>
          <w:t>110</w:t>
        </w:r>
      </w:hyperlink>
    </w:p>
    <w:p>
      <w:pPr>
        <w:pStyle w:val="BodyText"/>
      </w:pPr>
    </w:p>
    <w:p>
      <w:pPr>
        <w:pStyle w:val="ListParagraph"/>
        <w:numPr>
          <w:ilvl w:val="0"/>
          <w:numId w:val="1"/>
        </w:numPr>
        <w:tabs>
          <w:tab w:pos="4324" w:val="left" w:leader="none"/>
        </w:tabs>
        <w:spacing w:line="240" w:lineRule="auto" w:before="0" w:after="0"/>
        <w:ind w:left="4323" w:right="0" w:hanging="292"/>
        <w:jc w:val="left"/>
        <w:rPr>
          <w:sz w:val="24"/>
        </w:rPr>
      </w:pPr>
      <w:r>
        <w:rPr>
          <w:sz w:val="24"/>
        </w:rPr>
        <w:t>CONCLUSIONS</w:t>
      </w:r>
    </w:p>
    <w:p>
      <w:pPr>
        <w:pStyle w:val="BodyText"/>
      </w:pPr>
    </w:p>
    <w:p>
      <w:pPr>
        <w:pStyle w:val="BodyText"/>
        <w:ind w:left="398" w:right="106"/>
        <w:jc w:val="both"/>
      </w:pPr>
      <w:r>
        <w:rPr/>
        <w:t>Article 14 of the CRPD and in particular its requirement that; “the existence of a disability</w:t>
      </w:r>
      <w:r>
        <w:rPr>
          <w:spacing w:val="-10"/>
        </w:rPr>
        <w:t> </w:t>
      </w:r>
      <w:r>
        <w:rPr/>
        <w:t>shall</w:t>
      </w:r>
      <w:r>
        <w:rPr>
          <w:spacing w:val="-10"/>
        </w:rPr>
        <w:t> </w:t>
      </w:r>
      <w:r>
        <w:rPr/>
        <w:t>in</w:t>
      </w:r>
      <w:r>
        <w:rPr>
          <w:spacing w:val="-10"/>
        </w:rPr>
        <w:t> </w:t>
      </w:r>
      <w:r>
        <w:rPr/>
        <w:t>no</w:t>
      </w:r>
      <w:r>
        <w:rPr>
          <w:spacing w:val="-9"/>
        </w:rPr>
        <w:t> </w:t>
      </w:r>
      <w:r>
        <w:rPr/>
        <w:t>case</w:t>
      </w:r>
      <w:r>
        <w:rPr>
          <w:spacing w:val="-9"/>
        </w:rPr>
        <w:t> </w:t>
      </w:r>
      <w:r>
        <w:rPr/>
        <w:t>justify</w:t>
      </w:r>
      <w:r>
        <w:rPr>
          <w:spacing w:val="-10"/>
        </w:rPr>
        <w:t> </w:t>
      </w:r>
      <w:r>
        <w:rPr/>
        <w:t>a</w:t>
      </w:r>
      <w:r>
        <w:rPr>
          <w:spacing w:val="-11"/>
        </w:rPr>
        <w:t> </w:t>
      </w:r>
      <w:r>
        <w:rPr/>
        <w:t>deprivation</w:t>
      </w:r>
      <w:r>
        <w:rPr>
          <w:spacing w:val="-14"/>
        </w:rPr>
        <w:t> </w:t>
      </w:r>
      <w:r>
        <w:rPr/>
        <w:t>of</w:t>
      </w:r>
      <w:r>
        <w:rPr>
          <w:spacing w:val="-10"/>
        </w:rPr>
        <w:t> </w:t>
      </w:r>
      <w:r>
        <w:rPr/>
        <w:t>liberty”</w:t>
      </w:r>
      <w:r>
        <w:rPr>
          <w:spacing w:val="-11"/>
        </w:rPr>
        <w:t> </w:t>
      </w:r>
      <w:r>
        <w:rPr/>
        <w:t>represents</w:t>
      </w:r>
      <w:r>
        <w:rPr>
          <w:spacing w:val="-9"/>
        </w:rPr>
        <w:t> </w:t>
      </w:r>
      <w:r>
        <w:rPr/>
        <w:t>a</w:t>
      </w:r>
      <w:r>
        <w:rPr>
          <w:spacing w:val="-9"/>
        </w:rPr>
        <w:t> </w:t>
      </w:r>
      <w:r>
        <w:rPr/>
        <w:t>big</w:t>
      </w:r>
      <w:r>
        <w:rPr>
          <w:spacing w:val="-10"/>
        </w:rPr>
        <w:t> </w:t>
      </w:r>
      <w:r>
        <w:rPr/>
        <w:t>challenge</w:t>
      </w:r>
      <w:r>
        <w:rPr>
          <w:spacing w:val="-9"/>
        </w:rPr>
        <w:t> </w:t>
      </w:r>
      <w:r>
        <w:rPr/>
        <w:t>that demands profound changes not only in law and policies, but also in professional practices and in social</w:t>
      </w:r>
      <w:r>
        <w:rPr>
          <w:spacing w:val="-4"/>
        </w:rPr>
        <w:t> </w:t>
      </w:r>
      <w:r>
        <w:rPr/>
        <w:t>perceptions.</w:t>
      </w:r>
    </w:p>
    <w:p>
      <w:pPr>
        <w:pStyle w:val="BodyText"/>
      </w:pPr>
    </w:p>
    <w:p>
      <w:pPr>
        <w:pStyle w:val="BodyText"/>
        <w:ind w:left="397" w:right="105"/>
        <w:jc w:val="both"/>
      </w:pPr>
      <w:r>
        <w:rPr/>
        <w:t>In Qatar, as with most of the States Parties of the CRPD, persons with psychosocial disabilities are subject to specific instances of deprivation of liberty — in worse conditions</w:t>
      </w:r>
      <w:r>
        <w:rPr>
          <w:spacing w:val="-13"/>
        </w:rPr>
        <w:t> </w:t>
      </w:r>
      <w:r>
        <w:rPr/>
        <w:t>and</w:t>
      </w:r>
      <w:r>
        <w:rPr>
          <w:spacing w:val="-12"/>
        </w:rPr>
        <w:t> </w:t>
      </w:r>
      <w:r>
        <w:rPr/>
        <w:t>with</w:t>
      </w:r>
      <w:r>
        <w:rPr>
          <w:spacing w:val="-13"/>
        </w:rPr>
        <w:t> </w:t>
      </w:r>
      <w:r>
        <w:rPr/>
        <w:t>fewer</w:t>
      </w:r>
      <w:r>
        <w:rPr>
          <w:spacing w:val="-11"/>
        </w:rPr>
        <w:t> </w:t>
      </w:r>
      <w:r>
        <w:rPr/>
        <w:t>safeguards</w:t>
      </w:r>
      <w:r>
        <w:rPr>
          <w:spacing w:val="-12"/>
        </w:rPr>
        <w:t> </w:t>
      </w:r>
      <w:r>
        <w:rPr/>
        <w:t>in</w:t>
      </w:r>
      <w:r>
        <w:rPr>
          <w:spacing w:val="-12"/>
        </w:rPr>
        <w:t> </w:t>
      </w:r>
      <w:r>
        <w:rPr/>
        <w:t>comparison</w:t>
      </w:r>
      <w:r>
        <w:rPr>
          <w:spacing w:val="-12"/>
        </w:rPr>
        <w:t> </w:t>
      </w:r>
      <w:r>
        <w:rPr/>
        <w:t>with</w:t>
      </w:r>
      <w:r>
        <w:rPr>
          <w:spacing w:val="-12"/>
        </w:rPr>
        <w:t> </w:t>
      </w:r>
      <w:r>
        <w:rPr/>
        <w:t>the</w:t>
      </w:r>
      <w:r>
        <w:rPr>
          <w:spacing w:val="-13"/>
        </w:rPr>
        <w:t> </w:t>
      </w:r>
      <w:r>
        <w:rPr/>
        <w:t>general</w:t>
      </w:r>
      <w:r>
        <w:rPr>
          <w:spacing w:val="-11"/>
        </w:rPr>
        <w:t> </w:t>
      </w:r>
      <w:r>
        <w:rPr/>
        <w:t>regime</w:t>
      </w:r>
      <w:r>
        <w:rPr>
          <w:spacing w:val="-12"/>
        </w:rPr>
        <w:t> </w:t>
      </w:r>
      <w:r>
        <w:rPr/>
        <w:t>applicable to</w:t>
      </w:r>
      <w:r>
        <w:rPr>
          <w:spacing w:val="-19"/>
        </w:rPr>
        <w:t> </w:t>
      </w:r>
      <w:r>
        <w:rPr/>
        <w:t>all</w:t>
      </w:r>
      <w:r>
        <w:rPr>
          <w:spacing w:val="-19"/>
        </w:rPr>
        <w:t> </w:t>
      </w:r>
      <w:r>
        <w:rPr/>
        <w:t>citizens</w:t>
      </w:r>
      <w:r>
        <w:rPr>
          <w:spacing w:val="-20"/>
        </w:rPr>
        <w:t> </w:t>
      </w:r>
      <w:r>
        <w:rPr/>
        <w:t>—</w:t>
      </w:r>
      <w:r>
        <w:rPr>
          <w:spacing w:val="-19"/>
        </w:rPr>
        <w:t> </w:t>
      </w:r>
      <w:r>
        <w:rPr/>
        <w:t>which</w:t>
      </w:r>
      <w:r>
        <w:rPr>
          <w:spacing w:val="-20"/>
        </w:rPr>
        <w:t> </w:t>
      </w:r>
      <w:r>
        <w:rPr/>
        <w:t>constitute</w:t>
      </w:r>
      <w:r>
        <w:rPr>
          <w:spacing w:val="-21"/>
        </w:rPr>
        <w:t> </w:t>
      </w:r>
      <w:r>
        <w:rPr/>
        <w:t>disability-based</w:t>
      </w:r>
      <w:r>
        <w:rPr>
          <w:spacing w:val="-19"/>
        </w:rPr>
        <w:t> </w:t>
      </w:r>
      <w:r>
        <w:rPr/>
        <w:t>discrimination</w:t>
      </w:r>
      <w:r>
        <w:rPr>
          <w:spacing w:val="-20"/>
        </w:rPr>
        <w:t> </w:t>
      </w:r>
      <w:r>
        <w:rPr/>
        <w:t>prohibited</w:t>
      </w:r>
      <w:r>
        <w:rPr>
          <w:spacing w:val="-20"/>
        </w:rPr>
        <w:t> </w:t>
      </w:r>
      <w:r>
        <w:rPr/>
        <w:t>by</w:t>
      </w:r>
      <w:r>
        <w:rPr>
          <w:spacing w:val="-20"/>
        </w:rPr>
        <w:t> </w:t>
      </w:r>
      <w:r>
        <w:rPr/>
        <w:t>the</w:t>
      </w:r>
      <w:r>
        <w:rPr>
          <w:spacing w:val="-20"/>
        </w:rPr>
        <w:t> </w:t>
      </w:r>
      <w:r>
        <w:rPr/>
        <w:t>CRPD.</w:t>
      </w:r>
    </w:p>
    <w:p>
      <w:pPr>
        <w:pStyle w:val="BodyText"/>
      </w:pPr>
    </w:p>
    <w:p>
      <w:pPr>
        <w:pStyle w:val="BodyText"/>
        <w:ind w:left="397" w:right="105"/>
        <w:jc w:val="both"/>
      </w:pPr>
      <w:r>
        <w:rPr/>
        <w:t>As</w:t>
      </w:r>
      <w:r>
        <w:rPr>
          <w:spacing w:val="-7"/>
        </w:rPr>
        <w:t> </w:t>
      </w:r>
      <w:r>
        <w:rPr/>
        <w:t>in</w:t>
      </w:r>
      <w:r>
        <w:rPr>
          <w:spacing w:val="-7"/>
        </w:rPr>
        <w:t> </w:t>
      </w:r>
      <w:r>
        <w:rPr/>
        <w:t>other</w:t>
      </w:r>
      <w:r>
        <w:rPr>
          <w:spacing w:val="-8"/>
        </w:rPr>
        <w:t> </w:t>
      </w:r>
      <w:r>
        <w:rPr/>
        <w:t>States,</w:t>
      </w:r>
      <w:r>
        <w:rPr>
          <w:spacing w:val="-6"/>
        </w:rPr>
        <w:t> </w:t>
      </w:r>
      <w:r>
        <w:rPr/>
        <w:t>Qatari</w:t>
      </w:r>
      <w:r>
        <w:rPr>
          <w:spacing w:val="-6"/>
        </w:rPr>
        <w:t> </w:t>
      </w:r>
      <w:r>
        <w:rPr/>
        <w:t>regulation</w:t>
      </w:r>
      <w:r>
        <w:rPr>
          <w:spacing w:val="-7"/>
        </w:rPr>
        <w:t> </w:t>
      </w:r>
      <w:r>
        <w:rPr/>
        <w:t>of</w:t>
      </w:r>
      <w:r>
        <w:rPr>
          <w:spacing w:val="-7"/>
        </w:rPr>
        <w:t> </w:t>
      </w:r>
      <w:r>
        <w:rPr/>
        <w:t>involuntary</w:t>
      </w:r>
      <w:r>
        <w:rPr>
          <w:spacing w:val="-7"/>
        </w:rPr>
        <w:t> </w:t>
      </w:r>
      <w:r>
        <w:rPr/>
        <w:t>commitment</w:t>
      </w:r>
      <w:r>
        <w:rPr>
          <w:spacing w:val="-6"/>
        </w:rPr>
        <w:t> </w:t>
      </w:r>
      <w:r>
        <w:rPr/>
        <w:t>and</w:t>
      </w:r>
      <w:r>
        <w:rPr>
          <w:spacing w:val="-6"/>
        </w:rPr>
        <w:t> </w:t>
      </w:r>
      <w:r>
        <w:rPr/>
        <w:t>security</w:t>
      </w:r>
      <w:r>
        <w:rPr>
          <w:spacing w:val="-8"/>
        </w:rPr>
        <w:t> </w:t>
      </w:r>
      <w:r>
        <w:rPr/>
        <w:t>measures reflects the traditional medical model of psychosocial disability that — with beneficial intent — seeks to justify segregation, confinement and compulsion of those labeled as “mentally ill”</w:t>
      </w:r>
      <w:hyperlink w:history="true" w:anchor="_bookmark111">
        <w:r>
          <w:rPr>
            <w:position w:val="8"/>
            <w:sz w:val="16"/>
          </w:rPr>
          <w:t>111 </w:t>
        </w:r>
      </w:hyperlink>
      <w:r>
        <w:rPr/>
        <w:t>and promotes prejudice and stereotypes. Indeed, in this approach, persons with psychosocial disabilities are deemed to be either, individuals in need of special protection – largely because of a presumption that they are unable to make informed decisions as to matters regarding their life and health; or dangerous persons who represent such a threat to society, and to the rights of others, that they must be controlled, at time in the extreme – as being the case of</w:t>
      </w:r>
      <w:r>
        <w:rPr>
          <w:spacing w:val="-11"/>
        </w:rPr>
        <w:t> </w:t>
      </w:r>
      <w:r>
        <w:rPr/>
        <w:t>detention.</w:t>
      </w:r>
    </w:p>
    <w:p>
      <w:pPr>
        <w:pStyle w:val="BodyText"/>
      </w:pPr>
    </w:p>
    <w:p>
      <w:pPr>
        <w:pStyle w:val="BodyText"/>
        <w:ind w:left="397" w:right="106"/>
        <w:jc w:val="both"/>
      </w:pPr>
      <w:r>
        <w:rPr/>
        <w:t>This</w:t>
      </w:r>
      <w:r>
        <w:rPr>
          <w:spacing w:val="-11"/>
        </w:rPr>
        <w:t> </w:t>
      </w:r>
      <w:r>
        <w:rPr/>
        <w:t>approach</w:t>
      </w:r>
      <w:r>
        <w:rPr>
          <w:spacing w:val="-10"/>
        </w:rPr>
        <w:t> </w:t>
      </w:r>
      <w:r>
        <w:rPr/>
        <w:t>should</w:t>
      </w:r>
      <w:r>
        <w:rPr>
          <w:spacing w:val="-12"/>
        </w:rPr>
        <w:t> </w:t>
      </w:r>
      <w:r>
        <w:rPr/>
        <w:t>be</w:t>
      </w:r>
      <w:r>
        <w:rPr>
          <w:spacing w:val="-11"/>
        </w:rPr>
        <w:t> </w:t>
      </w:r>
      <w:r>
        <w:rPr/>
        <w:t>replaced</w:t>
      </w:r>
      <w:r>
        <w:rPr>
          <w:spacing w:val="-11"/>
        </w:rPr>
        <w:t> </w:t>
      </w:r>
      <w:r>
        <w:rPr/>
        <w:t>by</w:t>
      </w:r>
      <w:r>
        <w:rPr>
          <w:spacing w:val="-10"/>
        </w:rPr>
        <w:t> </w:t>
      </w:r>
      <w:r>
        <w:rPr/>
        <w:t>a</w:t>
      </w:r>
      <w:r>
        <w:rPr>
          <w:spacing w:val="-11"/>
        </w:rPr>
        <w:t> </w:t>
      </w:r>
      <w:r>
        <w:rPr/>
        <w:t>new</w:t>
      </w:r>
      <w:r>
        <w:rPr>
          <w:spacing w:val="-10"/>
        </w:rPr>
        <w:t> </w:t>
      </w:r>
      <w:r>
        <w:rPr/>
        <w:t>and</w:t>
      </w:r>
      <w:r>
        <w:rPr>
          <w:spacing w:val="-11"/>
        </w:rPr>
        <w:t> </w:t>
      </w:r>
      <w:r>
        <w:rPr/>
        <w:t>holistic</w:t>
      </w:r>
      <w:r>
        <w:rPr>
          <w:spacing w:val="-12"/>
        </w:rPr>
        <w:t> </w:t>
      </w:r>
      <w:r>
        <w:rPr/>
        <w:t>view</w:t>
      </w:r>
      <w:r>
        <w:rPr>
          <w:spacing w:val="-11"/>
        </w:rPr>
        <w:t> </w:t>
      </w:r>
      <w:r>
        <w:rPr/>
        <w:t>based</w:t>
      </w:r>
      <w:r>
        <w:rPr>
          <w:spacing w:val="-11"/>
        </w:rPr>
        <w:t> </w:t>
      </w:r>
      <w:r>
        <w:rPr/>
        <w:t>on</w:t>
      </w:r>
      <w:r>
        <w:rPr>
          <w:spacing w:val="-11"/>
        </w:rPr>
        <w:t> </w:t>
      </w:r>
      <w:r>
        <w:rPr/>
        <w:t>the</w:t>
      </w:r>
      <w:r>
        <w:rPr>
          <w:spacing w:val="-10"/>
        </w:rPr>
        <w:t> </w:t>
      </w:r>
      <w:r>
        <w:rPr/>
        <w:t>social</w:t>
      </w:r>
      <w:r>
        <w:rPr>
          <w:spacing w:val="-10"/>
        </w:rPr>
        <w:t> </w:t>
      </w:r>
      <w:r>
        <w:rPr/>
        <w:t>model of disability and a human-rights perspective that accords with the CRPD’s paradigm. This</w:t>
      </w:r>
      <w:r>
        <w:rPr>
          <w:spacing w:val="-14"/>
        </w:rPr>
        <w:t> </w:t>
      </w:r>
      <w:r>
        <w:rPr/>
        <w:t>paradigm</w:t>
      </w:r>
      <w:r>
        <w:rPr>
          <w:spacing w:val="-12"/>
        </w:rPr>
        <w:t> </w:t>
      </w:r>
      <w:r>
        <w:rPr/>
        <w:t>requires</w:t>
      </w:r>
      <w:r>
        <w:rPr>
          <w:spacing w:val="-13"/>
        </w:rPr>
        <w:t> </w:t>
      </w:r>
      <w:r>
        <w:rPr/>
        <w:t>a</w:t>
      </w:r>
      <w:r>
        <w:rPr>
          <w:spacing w:val="-12"/>
        </w:rPr>
        <w:t> </w:t>
      </w:r>
      <w:r>
        <w:rPr/>
        <w:t>shift</w:t>
      </w:r>
      <w:r>
        <w:rPr>
          <w:spacing w:val="-13"/>
        </w:rPr>
        <w:t> </w:t>
      </w:r>
      <w:r>
        <w:rPr/>
        <w:t>towards</w:t>
      </w:r>
      <w:r>
        <w:rPr>
          <w:spacing w:val="-13"/>
        </w:rPr>
        <w:t> </w:t>
      </w:r>
      <w:r>
        <w:rPr/>
        <w:t>public</w:t>
      </w:r>
      <w:r>
        <w:rPr>
          <w:spacing w:val="-12"/>
        </w:rPr>
        <w:t> </w:t>
      </w:r>
      <w:r>
        <w:rPr/>
        <w:t>community-based</w:t>
      </w:r>
      <w:r>
        <w:rPr>
          <w:spacing w:val="-13"/>
        </w:rPr>
        <w:t> </w:t>
      </w:r>
      <w:r>
        <w:rPr/>
        <w:t>mental</w:t>
      </w:r>
      <w:r>
        <w:rPr>
          <w:spacing w:val="-13"/>
        </w:rPr>
        <w:t> </w:t>
      </w:r>
      <w:r>
        <w:rPr/>
        <w:t>health</w:t>
      </w:r>
      <w:r>
        <w:rPr>
          <w:spacing w:val="-14"/>
        </w:rPr>
        <w:t> </w:t>
      </w:r>
      <w:r>
        <w:rPr/>
        <w:t>services. In</w:t>
      </w:r>
      <w:r>
        <w:rPr>
          <w:spacing w:val="-11"/>
        </w:rPr>
        <w:t> </w:t>
      </w:r>
      <w:r>
        <w:rPr/>
        <w:t>line</w:t>
      </w:r>
      <w:r>
        <w:rPr>
          <w:spacing w:val="-10"/>
        </w:rPr>
        <w:t> </w:t>
      </w:r>
      <w:r>
        <w:rPr/>
        <w:t>with</w:t>
      </w:r>
      <w:r>
        <w:rPr>
          <w:spacing w:val="-11"/>
        </w:rPr>
        <w:t> </w:t>
      </w:r>
      <w:r>
        <w:rPr/>
        <w:t>this</w:t>
      </w:r>
      <w:r>
        <w:rPr>
          <w:spacing w:val="-12"/>
        </w:rPr>
        <w:t> </w:t>
      </w:r>
      <w:r>
        <w:rPr/>
        <w:t>shift,</w:t>
      </w:r>
      <w:r>
        <w:rPr>
          <w:spacing w:val="-11"/>
        </w:rPr>
        <w:t> </w:t>
      </w:r>
      <w:r>
        <w:rPr/>
        <w:t>laws</w:t>
      </w:r>
      <w:r>
        <w:rPr>
          <w:spacing w:val="-11"/>
        </w:rPr>
        <w:t> </w:t>
      </w:r>
      <w:r>
        <w:rPr/>
        <w:t>and</w:t>
      </w:r>
      <w:r>
        <w:rPr>
          <w:spacing w:val="-11"/>
        </w:rPr>
        <w:t> </w:t>
      </w:r>
      <w:r>
        <w:rPr/>
        <w:t>policies</w:t>
      </w:r>
      <w:r>
        <w:rPr>
          <w:spacing w:val="-11"/>
        </w:rPr>
        <w:t> </w:t>
      </w:r>
      <w:r>
        <w:rPr/>
        <w:t>should</w:t>
      </w:r>
      <w:r>
        <w:rPr>
          <w:spacing w:val="-11"/>
        </w:rPr>
        <w:t> </w:t>
      </w:r>
      <w:r>
        <w:rPr/>
        <w:t>guarantee</w:t>
      </w:r>
      <w:r>
        <w:rPr>
          <w:spacing w:val="-11"/>
        </w:rPr>
        <w:t> </w:t>
      </w:r>
      <w:r>
        <w:rPr/>
        <w:t>that</w:t>
      </w:r>
      <w:r>
        <w:rPr>
          <w:spacing w:val="-11"/>
        </w:rPr>
        <w:t> </w:t>
      </w:r>
      <w:r>
        <w:rPr/>
        <w:t>all</w:t>
      </w:r>
      <w:r>
        <w:rPr>
          <w:spacing w:val="-11"/>
        </w:rPr>
        <w:t> </w:t>
      </w:r>
      <w:r>
        <w:rPr/>
        <w:t>mental</w:t>
      </w:r>
      <w:r>
        <w:rPr>
          <w:spacing w:val="-11"/>
        </w:rPr>
        <w:t> </w:t>
      </w:r>
      <w:r>
        <w:rPr/>
        <w:t>health</w:t>
      </w:r>
      <w:r>
        <w:rPr>
          <w:spacing w:val="-10"/>
        </w:rPr>
        <w:t> </w:t>
      </w:r>
      <w:r>
        <w:rPr/>
        <w:t>services provided are based on the free and informed consent of the person concerned; they should</w:t>
      </w:r>
      <w:r>
        <w:rPr>
          <w:spacing w:val="-13"/>
        </w:rPr>
        <w:t> </w:t>
      </w:r>
      <w:r>
        <w:rPr/>
        <w:t>ensure</w:t>
      </w:r>
      <w:r>
        <w:rPr>
          <w:spacing w:val="-14"/>
        </w:rPr>
        <w:t> </w:t>
      </w:r>
      <w:r>
        <w:rPr/>
        <w:t>access</w:t>
      </w:r>
      <w:r>
        <w:rPr>
          <w:spacing w:val="-13"/>
        </w:rPr>
        <w:t> </w:t>
      </w:r>
      <w:r>
        <w:rPr/>
        <w:t>to</w:t>
      </w:r>
      <w:r>
        <w:rPr>
          <w:spacing w:val="-13"/>
        </w:rPr>
        <w:t> </w:t>
      </w:r>
      <w:r>
        <w:rPr/>
        <w:t>the</w:t>
      </w:r>
      <w:r>
        <w:rPr>
          <w:spacing w:val="-14"/>
        </w:rPr>
        <w:t> </w:t>
      </w:r>
      <w:r>
        <w:rPr/>
        <w:t>necessary</w:t>
      </w:r>
      <w:r>
        <w:rPr>
          <w:spacing w:val="-13"/>
        </w:rPr>
        <w:t> </w:t>
      </w:r>
      <w:r>
        <w:rPr/>
        <w:t>support</w:t>
      </w:r>
      <w:r>
        <w:rPr>
          <w:spacing w:val="-13"/>
        </w:rPr>
        <w:t> </w:t>
      </w:r>
      <w:r>
        <w:rPr/>
        <w:t>in</w:t>
      </w:r>
      <w:r>
        <w:rPr>
          <w:spacing w:val="-14"/>
        </w:rPr>
        <w:t> </w:t>
      </w:r>
      <w:r>
        <w:rPr/>
        <w:t>decision-making;</w:t>
      </w:r>
      <w:r>
        <w:rPr>
          <w:spacing w:val="-13"/>
        </w:rPr>
        <w:t> </w:t>
      </w:r>
      <w:r>
        <w:rPr/>
        <w:t>and</w:t>
      </w:r>
      <w:r>
        <w:rPr>
          <w:spacing w:val="-13"/>
        </w:rPr>
        <w:t> </w:t>
      </w:r>
      <w:r>
        <w:rPr/>
        <w:t>they</w:t>
      </w:r>
      <w:r>
        <w:rPr>
          <w:spacing w:val="-13"/>
        </w:rPr>
        <w:t> </w:t>
      </w:r>
      <w:r>
        <w:rPr/>
        <w:t>should</w:t>
      </w:r>
      <w:r>
        <w:rPr>
          <w:spacing w:val="-14"/>
        </w:rPr>
        <w:t> </w:t>
      </w:r>
      <w:r>
        <w:rPr/>
        <w:t>not condone coercive practices and compulsory detention in the field of mental</w:t>
      </w:r>
      <w:r>
        <w:rPr>
          <w:spacing w:val="-21"/>
        </w:rPr>
        <w:t> </w:t>
      </w:r>
      <w:r>
        <w:rPr/>
        <w:t>health.</w:t>
      </w:r>
    </w:p>
    <w:p>
      <w:pPr>
        <w:pStyle w:val="BodyText"/>
        <w:spacing w:before="11"/>
        <w:rPr>
          <w:sz w:val="23"/>
        </w:rPr>
      </w:pPr>
    </w:p>
    <w:p>
      <w:pPr>
        <w:pStyle w:val="BodyText"/>
        <w:spacing w:before="1"/>
        <w:ind w:left="397" w:right="106"/>
        <w:jc w:val="both"/>
      </w:pPr>
      <w:r>
        <w:rPr/>
        <w:t>While Qatar’s National Mental Health Strategy is fully in accordance with this new approach, the Mental Health Law, the Criminal Procedural Code and other pieces of legislation — in particular laws on legal capacity — need to be reviewed. This review and the full implementation of the paradigm shift in the mental health domain need</w:t>
      </w:r>
      <w:r>
        <w:rPr>
          <w:spacing w:val="-40"/>
        </w:rPr>
        <w:t> </w:t>
      </w:r>
      <w:r>
        <w:rPr/>
        <w:t>to be tackled taking into account Qatar’s context and culture and with broad public engagement and collaboration. </w:t>
      </w:r>
      <w:hyperlink w:history="true" w:anchor="_bookmark112">
        <w:r>
          <w:rPr>
            <w:position w:val="8"/>
            <w:sz w:val="16"/>
          </w:rPr>
          <w:t>112</w:t>
        </w:r>
      </w:hyperlink>
      <w:r>
        <w:rPr>
          <w:position w:val="8"/>
          <w:sz w:val="16"/>
        </w:rPr>
        <w:t> </w:t>
      </w:r>
      <w:r>
        <w:rPr/>
        <w:t>Specifically, the participation of persons</w:t>
      </w:r>
      <w:r>
        <w:rPr>
          <w:spacing w:val="15"/>
        </w:rPr>
        <w:t> </w:t>
      </w:r>
      <w:r>
        <w:rPr/>
        <w:t>with</w:t>
      </w:r>
    </w:p>
    <w:p>
      <w:pPr>
        <w:pStyle w:val="BodyText"/>
        <w:spacing w:before="4"/>
        <w:rPr>
          <w:sz w:val="33"/>
        </w:rPr>
      </w:pPr>
    </w:p>
    <w:p>
      <w:pPr>
        <w:spacing w:line="232" w:lineRule="auto" w:before="0"/>
        <w:ind w:left="450" w:right="106" w:hanging="285"/>
        <w:jc w:val="both"/>
        <w:rPr>
          <w:sz w:val="20"/>
        </w:rPr>
      </w:pPr>
      <w:bookmarkStart w:name="_bookmark110" w:id="112"/>
      <w:bookmarkEnd w:id="112"/>
      <w:r>
        <w:rPr/>
      </w:r>
      <w:r>
        <w:rPr>
          <w:position w:val="7"/>
          <w:sz w:val="13"/>
        </w:rPr>
        <w:t>110</w:t>
      </w:r>
      <w:r>
        <w:rPr>
          <w:spacing w:val="-11"/>
          <w:position w:val="7"/>
          <w:sz w:val="13"/>
        </w:rPr>
        <w:t> </w:t>
      </w:r>
      <w:r>
        <w:rPr>
          <w:i/>
          <w:sz w:val="21"/>
        </w:rPr>
        <w:t>Concluding</w:t>
      </w:r>
      <w:r>
        <w:rPr>
          <w:i/>
          <w:spacing w:val="-22"/>
          <w:sz w:val="21"/>
        </w:rPr>
        <w:t> </w:t>
      </w:r>
      <w:r>
        <w:rPr>
          <w:i/>
          <w:sz w:val="21"/>
        </w:rPr>
        <w:t>Observations</w:t>
      </w:r>
      <w:r>
        <w:rPr>
          <w:i/>
          <w:spacing w:val="-22"/>
          <w:sz w:val="21"/>
        </w:rPr>
        <w:t> </w:t>
      </w:r>
      <w:r>
        <w:rPr>
          <w:i/>
          <w:sz w:val="21"/>
        </w:rPr>
        <w:t>on</w:t>
      </w:r>
      <w:r>
        <w:rPr>
          <w:i/>
          <w:spacing w:val="-21"/>
          <w:sz w:val="21"/>
        </w:rPr>
        <w:t> </w:t>
      </w:r>
      <w:r>
        <w:rPr>
          <w:i/>
          <w:sz w:val="21"/>
        </w:rPr>
        <w:t>the</w:t>
      </w:r>
      <w:r>
        <w:rPr>
          <w:i/>
          <w:spacing w:val="-21"/>
          <w:sz w:val="21"/>
        </w:rPr>
        <w:t> </w:t>
      </w:r>
      <w:r>
        <w:rPr>
          <w:i/>
          <w:sz w:val="21"/>
        </w:rPr>
        <w:t>Initial</w:t>
      </w:r>
      <w:r>
        <w:rPr>
          <w:i/>
          <w:spacing w:val="-22"/>
          <w:sz w:val="21"/>
        </w:rPr>
        <w:t> </w:t>
      </w:r>
      <w:r>
        <w:rPr>
          <w:i/>
          <w:sz w:val="21"/>
        </w:rPr>
        <w:t>Report</w:t>
      </w:r>
      <w:r>
        <w:rPr>
          <w:i/>
          <w:spacing w:val="-22"/>
          <w:sz w:val="21"/>
        </w:rPr>
        <w:t> </w:t>
      </w:r>
      <w:r>
        <w:rPr>
          <w:i/>
          <w:sz w:val="21"/>
        </w:rPr>
        <w:t>of</w:t>
      </w:r>
      <w:r>
        <w:rPr>
          <w:i/>
          <w:spacing w:val="-21"/>
          <w:sz w:val="21"/>
        </w:rPr>
        <w:t> </w:t>
      </w:r>
      <w:r>
        <w:rPr>
          <w:i/>
          <w:sz w:val="21"/>
        </w:rPr>
        <w:t>Qatar</w:t>
      </w:r>
      <w:r>
        <w:rPr>
          <w:sz w:val="20"/>
        </w:rPr>
        <w:t>,</w:t>
      </w:r>
      <w:r>
        <w:rPr>
          <w:spacing w:val="-18"/>
          <w:sz w:val="20"/>
        </w:rPr>
        <w:t> </w:t>
      </w:r>
      <w:r>
        <w:rPr>
          <w:sz w:val="20"/>
        </w:rPr>
        <w:t>paras</w:t>
      </w:r>
      <w:r>
        <w:rPr>
          <w:spacing w:val="-18"/>
          <w:sz w:val="20"/>
        </w:rPr>
        <w:t> </w:t>
      </w:r>
      <w:r>
        <w:rPr>
          <w:sz w:val="20"/>
        </w:rPr>
        <w:t>(35)</w:t>
      </w:r>
      <w:r>
        <w:rPr>
          <w:spacing w:val="-19"/>
          <w:sz w:val="20"/>
        </w:rPr>
        <w:t> </w:t>
      </w:r>
      <w:r>
        <w:rPr>
          <w:sz w:val="20"/>
        </w:rPr>
        <w:t>and</w:t>
      </w:r>
      <w:r>
        <w:rPr>
          <w:spacing w:val="-18"/>
          <w:sz w:val="20"/>
        </w:rPr>
        <w:t> </w:t>
      </w:r>
      <w:r>
        <w:rPr>
          <w:sz w:val="20"/>
        </w:rPr>
        <w:t>(36).</w:t>
      </w:r>
      <w:r>
        <w:rPr>
          <w:spacing w:val="-18"/>
          <w:sz w:val="20"/>
        </w:rPr>
        <w:t> </w:t>
      </w:r>
      <w:r>
        <w:rPr>
          <w:sz w:val="20"/>
        </w:rPr>
        <w:t>The</w:t>
      </w:r>
      <w:r>
        <w:rPr>
          <w:spacing w:val="-18"/>
          <w:sz w:val="20"/>
        </w:rPr>
        <w:t> </w:t>
      </w:r>
      <w:r>
        <w:rPr>
          <w:sz w:val="20"/>
        </w:rPr>
        <w:t>NHRC</w:t>
      </w:r>
      <w:r>
        <w:rPr>
          <w:spacing w:val="-20"/>
          <w:sz w:val="20"/>
        </w:rPr>
        <w:t> </w:t>
      </w:r>
      <w:r>
        <w:rPr>
          <w:sz w:val="20"/>
        </w:rPr>
        <w:t>also</w:t>
      </w:r>
      <w:r>
        <w:rPr>
          <w:spacing w:val="-19"/>
          <w:sz w:val="20"/>
        </w:rPr>
        <w:t> </w:t>
      </w:r>
      <w:r>
        <w:rPr>
          <w:sz w:val="20"/>
        </w:rPr>
        <w:t>denounced the fact that deportation centers are extremely crowded, which affects hygiene and safety standards. See; National Human Rights Committee, </w:t>
      </w:r>
      <w:r>
        <w:rPr>
          <w:i/>
          <w:sz w:val="21"/>
        </w:rPr>
        <w:t>Report of the National Human Rights Committee on the Situation</w:t>
      </w:r>
      <w:r>
        <w:rPr>
          <w:i/>
          <w:spacing w:val="-18"/>
          <w:sz w:val="21"/>
        </w:rPr>
        <w:t> </w:t>
      </w:r>
      <w:r>
        <w:rPr>
          <w:i/>
          <w:sz w:val="21"/>
        </w:rPr>
        <w:t>of</w:t>
      </w:r>
      <w:r>
        <w:rPr>
          <w:i/>
          <w:spacing w:val="-19"/>
          <w:sz w:val="21"/>
        </w:rPr>
        <w:t> </w:t>
      </w:r>
      <w:r>
        <w:rPr>
          <w:i/>
          <w:sz w:val="21"/>
        </w:rPr>
        <w:t>Human</w:t>
      </w:r>
      <w:r>
        <w:rPr>
          <w:i/>
          <w:spacing w:val="-19"/>
          <w:sz w:val="21"/>
        </w:rPr>
        <w:t> </w:t>
      </w:r>
      <w:r>
        <w:rPr>
          <w:i/>
          <w:sz w:val="21"/>
        </w:rPr>
        <w:t>Rights</w:t>
      </w:r>
      <w:r>
        <w:rPr>
          <w:i/>
          <w:spacing w:val="-17"/>
          <w:sz w:val="21"/>
        </w:rPr>
        <w:t> </w:t>
      </w:r>
      <w:r>
        <w:rPr>
          <w:i/>
          <w:sz w:val="21"/>
        </w:rPr>
        <w:t>in</w:t>
      </w:r>
      <w:r>
        <w:rPr>
          <w:i/>
          <w:spacing w:val="-18"/>
          <w:sz w:val="21"/>
        </w:rPr>
        <w:t> </w:t>
      </w:r>
      <w:r>
        <w:rPr>
          <w:i/>
          <w:sz w:val="21"/>
        </w:rPr>
        <w:t>the</w:t>
      </w:r>
      <w:r>
        <w:rPr>
          <w:i/>
          <w:spacing w:val="-19"/>
          <w:sz w:val="21"/>
        </w:rPr>
        <w:t> </w:t>
      </w:r>
      <w:r>
        <w:rPr>
          <w:i/>
          <w:sz w:val="21"/>
        </w:rPr>
        <w:t>State</w:t>
      </w:r>
      <w:r>
        <w:rPr>
          <w:i/>
          <w:spacing w:val="-19"/>
          <w:sz w:val="21"/>
        </w:rPr>
        <w:t> </w:t>
      </w:r>
      <w:r>
        <w:rPr>
          <w:i/>
          <w:sz w:val="21"/>
        </w:rPr>
        <w:t>of</w:t>
      </w:r>
      <w:r>
        <w:rPr>
          <w:i/>
          <w:spacing w:val="-18"/>
          <w:sz w:val="21"/>
        </w:rPr>
        <w:t> </w:t>
      </w:r>
      <w:r>
        <w:rPr>
          <w:i/>
          <w:sz w:val="21"/>
        </w:rPr>
        <w:t>Qatar</w:t>
      </w:r>
      <w:r>
        <w:rPr>
          <w:i/>
          <w:spacing w:val="-19"/>
          <w:sz w:val="21"/>
        </w:rPr>
        <w:t> </w:t>
      </w:r>
      <w:r>
        <w:rPr>
          <w:i/>
          <w:sz w:val="21"/>
        </w:rPr>
        <w:t>and</w:t>
      </w:r>
      <w:r>
        <w:rPr>
          <w:i/>
          <w:spacing w:val="-19"/>
          <w:sz w:val="21"/>
        </w:rPr>
        <w:t> </w:t>
      </w:r>
      <w:r>
        <w:rPr>
          <w:i/>
          <w:sz w:val="21"/>
        </w:rPr>
        <w:t>the</w:t>
      </w:r>
      <w:r>
        <w:rPr>
          <w:i/>
          <w:spacing w:val="-17"/>
          <w:sz w:val="21"/>
        </w:rPr>
        <w:t> </w:t>
      </w:r>
      <w:r>
        <w:rPr>
          <w:i/>
          <w:sz w:val="21"/>
        </w:rPr>
        <w:t>Committee’s</w:t>
      </w:r>
      <w:r>
        <w:rPr>
          <w:i/>
          <w:spacing w:val="-17"/>
          <w:sz w:val="21"/>
        </w:rPr>
        <w:t> </w:t>
      </w:r>
      <w:r>
        <w:rPr>
          <w:i/>
          <w:sz w:val="21"/>
        </w:rPr>
        <w:t>Activities</w:t>
      </w:r>
      <w:r>
        <w:rPr>
          <w:i/>
          <w:spacing w:val="-18"/>
          <w:sz w:val="21"/>
        </w:rPr>
        <w:t> </w:t>
      </w:r>
      <w:r>
        <w:rPr>
          <w:i/>
          <w:sz w:val="21"/>
        </w:rPr>
        <w:t>during</w:t>
      </w:r>
      <w:r>
        <w:rPr>
          <w:i/>
          <w:spacing w:val="-18"/>
          <w:sz w:val="21"/>
        </w:rPr>
        <w:t> </w:t>
      </w:r>
      <w:r>
        <w:rPr>
          <w:i/>
          <w:sz w:val="21"/>
        </w:rPr>
        <w:t>the</w:t>
      </w:r>
      <w:r>
        <w:rPr>
          <w:i/>
          <w:spacing w:val="-17"/>
          <w:sz w:val="21"/>
        </w:rPr>
        <w:t> </w:t>
      </w:r>
      <w:r>
        <w:rPr>
          <w:i/>
          <w:sz w:val="21"/>
        </w:rPr>
        <w:t>Year</w:t>
      </w:r>
      <w:r>
        <w:rPr>
          <w:i/>
          <w:spacing w:val="-18"/>
          <w:sz w:val="21"/>
        </w:rPr>
        <w:t> </w:t>
      </w:r>
      <w:r>
        <w:rPr>
          <w:i/>
          <w:sz w:val="21"/>
        </w:rPr>
        <w:t>2014, </w:t>
      </w:r>
      <w:r>
        <w:rPr>
          <w:sz w:val="20"/>
        </w:rPr>
        <w:t>[17]. Available</w:t>
      </w:r>
      <w:r>
        <w:rPr>
          <w:spacing w:val="-1"/>
          <w:sz w:val="20"/>
        </w:rPr>
        <w:t> </w:t>
      </w:r>
      <w:r>
        <w:rPr>
          <w:sz w:val="20"/>
        </w:rPr>
        <w:t>at:</w:t>
      </w:r>
    </w:p>
    <w:p>
      <w:pPr>
        <w:spacing w:line="236" w:lineRule="exact" w:before="5"/>
        <w:ind w:left="478" w:right="0" w:firstLine="0"/>
        <w:jc w:val="both"/>
        <w:rPr>
          <w:sz w:val="20"/>
        </w:rPr>
      </w:pPr>
      <w:hyperlink r:id="rId29">
        <w:r>
          <w:rPr>
            <w:sz w:val="20"/>
            <w:u w:val="single"/>
          </w:rPr>
          <w:t>http://www.nhrc-qa.org/wp-content/uploads/2014/01/en_2014-NHRC-report_finalss2.pdf</w:t>
        </w:r>
      </w:hyperlink>
    </w:p>
    <w:p>
      <w:pPr>
        <w:spacing w:line="242" w:lineRule="exact" w:before="0"/>
        <w:ind w:left="166" w:right="0" w:firstLine="0"/>
        <w:jc w:val="left"/>
        <w:rPr>
          <w:sz w:val="20"/>
        </w:rPr>
      </w:pPr>
      <w:bookmarkStart w:name="_bookmark111" w:id="113"/>
      <w:bookmarkEnd w:id="113"/>
      <w:r>
        <w:rPr/>
      </w:r>
      <w:r>
        <w:rPr>
          <w:position w:val="7"/>
          <w:sz w:val="13"/>
        </w:rPr>
        <w:t>111 </w:t>
      </w:r>
      <w:r>
        <w:rPr>
          <w:sz w:val="20"/>
        </w:rPr>
        <w:t>Minkowitz, T., </w:t>
      </w:r>
      <w:r>
        <w:rPr>
          <w:i/>
          <w:sz w:val="21"/>
        </w:rPr>
        <w:t>Why Mental Health Laws Contravene the CRPD</w:t>
      </w:r>
      <w:r>
        <w:rPr>
          <w:sz w:val="20"/>
        </w:rPr>
        <w:t>, cited at n 5 above.</w:t>
      </w:r>
    </w:p>
    <w:p>
      <w:pPr>
        <w:spacing w:line="247" w:lineRule="exact" w:before="0"/>
        <w:ind w:left="171" w:right="0" w:firstLine="0"/>
        <w:jc w:val="left"/>
        <w:rPr>
          <w:i/>
          <w:sz w:val="21"/>
        </w:rPr>
      </w:pPr>
      <w:bookmarkStart w:name="_bookmark112" w:id="114"/>
      <w:bookmarkEnd w:id="114"/>
      <w:r>
        <w:rPr/>
      </w:r>
      <w:r>
        <w:rPr>
          <w:position w:val="7"/>
          <w:sz w:val="13"/>
        </w:rPr>
        <w:t>112 </w:t>
      </w:r>
      <w:r>
        <w:rPr>
          <w:sz w:val="20"/>
        </w:rPr>
        <w:t>As promoted by </w:t>
      </w:r>
      <w:r>
        <w:rPr>
          <w:i/>
          <w:sz w:val="21"/>
        </w:rPr>
        <w:t>Qatar’s National Mental Health Strategy.</w:t>
      </w:r>
    </w:p>
    <w:p>
      <w:pPr>
        <w:spacing w:after="0" w:line="247" w:lineRule="exact"/>
        <w:jc w:val="left"/>
        <w:rPr>
          <w:sz w:val="21"/>
        </w:rPr>
        <w:sectPr>
          <w:pgSz w:w="11910" w:h="16840"/>
          <w:pgMar w:header="0" w:footer="523" w:top="1320" w:bottom="720" w:left="940" w:right="1320"/>
        </w:sectPr>
      </w:pPr>
    </w:p>
    <w:p>
      <w:pPr>
        <w:pStyle w:val="BodyText"/>
        <w:spacing w:before="82"/>
        <w:ind w:left="397" w:right="106"/>
        <w:jc w:val="both"/>
        <w:rPr>
          <w:sz w:val="16"/>
        </w:rPr>
      </w:pPr>
      <w:r>
        <w:rPr/>
        <w:t>disabilities should be ensured in coherence with the framework of the CRPD. In order to</w:t>
      </w:r>
      <w:r>
        <w:rPr>
          <w:spacing w:val="-11"/>
        </w:rPr>
        <w:t> </w:t>
      </w:r>
      <w:r>
        <w:rPr/>
        <w:t>comply</w:t>
      </w:r>
      <w:r>
        <w:rPr>
          <w:spacing w:val="-13"/>
        </w:rPr>
        <w:t> </w:t>
      </w:r>
      <w:r>
        <w:rPr/>
        <w:t>with</w:t>
      </w:r>
      <w:r>
        <w:rPr>
          <w:spacing w:val="-11"/>
        </w:rPr>
        <w:t> </w:t>
      </w:r>
      <w:r>
        <w:rPr/>
        <w:t>this</w:t>
      </w:r>
      <w:r>
        <w:rPr>
          <w:spacing w:val="-13"/>
        </w:rPr>
        <w:t> </w:t>
      </w:r>
      <w:r>
        <w:rPr/>
        <w:t>obligation,</w:t>
      </w:r>
      <w:r>
        <w:rPr>
          <w:spacing w:val="-11"/>
        </w:rPr>
        <w:t> </w:t>
      </w:r>
      <w:r>
        <w:rPr/>
        <w:t>Qatar</w:t>
      </w:r>
      <w:r>
        <w:rPr>
          <w:spacing w:val="-11"/>
        </w:rPr>
        <w:t> </w:t>
      </w:r>
      <w:r>
        <w:rPr/>
        <w:t>should,</w:t>
      </w:r>
      <w:r>
        <w:rPr>
          <w:spacing w:val="-13"/>
        </w:rPr>
        <w:t> </w:t>
      </w:r>
      <w:r>
        <w:rPr/>
        <w:t>and</w:t>
      </w:r>
      <w:r>
        <w:rPr>
          <w:spacing w:val="-12"/>
        </w:rPr>
        <w:t> </w:t>
      </w:r>
      <w:r>
        <w:rPr/>
        <w:t>is</w:t>
      </w:r>
      <w:r>
        <w:rPr>
          <w:spacing w:val="-12"/>
        </w:rPr>
        <w:t> </w:t>
      </w:r>
      <w:r>
        <w:rPr/>
        <w:t>invited</w:t>
      </w:r>
      <w:r>
        <w:rPr>
          <w:spacing w:val="-11"/>
        </w:rPr>
        <w:t> </w:t>
      </w:r>
      <w:r>
        <w:rPr/>
        <w:t>to,</w:t>
      </w:r>
      <w:r>
        <w:rPr>
          <w:spacing w:val="-12"/>
        </w:rPr>
        <w:t> </w:t>
      </w:r>
      <w:r>
        <w:rPr/>
        <w:t>promote,</w:t>
      </w:r>
      <w:r>
        <w:rPr>
          <w:spacing w:val="-11"/>
        </w:rPr>
        <w:t> </w:t>
      </w:r>
      <w:r>
        <w:rPr/>
        <w:t>strengthen</w:t>
      </w:r>
      <w:r>
        <w:rPr>
          <w:spacing w:val="-11"/>
        </w:rPr>
        <w:t> </w:t>
      </w:r>
      <w:r>
        <w:rPr/>
        <w:t>and empower associations representing the interests of persons with disabilities, including organizations of persons with psychosocial</w:t>
      </w:r>
      <w:r>
        <w:rPr>
          <w:spacing w:val="-29"/>
        </w:rPr>
        <w:t> </w:t>
      </w:r>
      <w:r>
        <w:rPr/>
        <w:t>disabilities.</w:t>
      </w:r>
      <w:hyperlink w:history="true" w:anchor="_bookmark113">
        <w:r>
          <w:rPr>
            <w:position w:val="8"/>
            <w:sz w:val="16"/>
          </w:rPr>
          <w:t>113</w:t>
        </w:r>
      </w:hyperlink>
    </w:p>
    <w:p>
      <w:pPr>
        <w:pStyle w:val="BodyText"/>
      </w:pPr>
    </w:p>
    <w:p>
      <w:pPr>
        <w:pStyle w:val="BodyText"/>
        <w:ind w:left="397" w:right="105"/>
        <w:jc w:val="both"/>
      </w:pPr>
      <w:r>
        <w:rPr/>
        <w:t>This</w:t>
      </w:r>
      <w:r>
        <w:rPr>
          <w:spacing w:val="-20"/>
        </w:rPr>
        <w:t> </w:t>
      </w:r>
      <w:r>
        <w:rPr/>
        <w:t>policy</w:t>
      </w:r>
      <w:r>
        <w:rPr>
          <w:spacing w:val="-19"/>
        </w:rPr>
        <w:t> </w:t>
      </w:r>
      <w:r>
        <w:rPr/>
        <w:t>shift</w:t>
      </w:r>
      <w:r>
        <w:rPr>
          <w:spacing w:val="-18"/>
        </w:rPr>
        <w:t> </w:t>
      </w:r>
      <w:r>
        <w:rPr/>
        <w:t>will</w:t>
      </w:r>
      <w:r>
        <w:rPr>
          <w:spacing w:val="-18"/>
        </w:rPr>
        <w:t> </w:t>
      </w:r>
      <w:r>
        <w:rPr/>
        <w:t>contribute</w:t>
      </w:r>
      <w:r>
        <w:rPr>
          <w:spacing w:val="-19"/>
        </w:rPr>
        <w:t> </w:t>
      </w:r>
      <w:r>
        <w:rPr/>
        <w:t>to</w:t>
      </w:r>
      <w:r>
        <w:rPr>
          <w:spacing w:val="-21"/>
        </w:rPr>
        <w:t> </w:t>
      </w:r>
      <w:r>
        <w:rPr/>
        <w:t>a</w:t>
      </w:r>
      <w:r>
        <w:rPr>
          <w:spacing w:val="-19"/>
        </w:rPr>
        <w:t> </w:t>
      </w:r>
      <w:r>
        <w:rPr/>
        <w:t>culture</w:t>
      </w:r>
      <w:r>
        <w:rPr>
          <w:spacing w:val="-20"/>
        </w:rPr>
        <w:t> </w:t>
      </w:r>
      <w:r>
        <w:rPr/>
        <w:t>of</w:t>
      </w:r>
      <w:r>
        <w:rPr>
          <w:spacing w:val="-19"/>
        </w:rPr>
        <w:t> </w:t>
      </w:r>
      <w:r>
        <w:rPr/>
        <w:t>change,</w:t>
      </w:r>
      <w:r>
        <w:rPr>
          <w:spacing w:val="-18"/>
        </w:rPr>
        <w:t> </w:t>
      </w:r>
      <w:r>
        <w:rPr/>
        <w:t>overcoming</w:t>
      </w:r>
      <w:r>
        <w:rPr>
          <w:spacing w:val="-19"/>
        </w:rPr>
        <w:t> </w:t>
      </w:r>
      <w:r>
        <w:rPr/>
        <w:t>the</w:t>
      </w:r>
      <w:r>
        <w:rPr>
          <w:spacing w:val="-19"/>
        </w:rPr>
        <w:t> </w:t>
      </w:r>
      <w:r>
        <w:rPr/>
        <w:t>stigma</w:t>
      </w:r>
      <w:r>
        <w:rPr>
          <w:spacing w:val="-20"/>
        </w:rPr>
        <w:t> </w:t>
      </w:r>
      <w:r>
        <w:rPr/>
        <w:t>associated with psychosocial disability, as desired by Qatar’s National Mental Health Strategy. In any</w:t>
      </w:r>
      <w:r>
        <w:rPr>
          <w:spacing w:val="-11"/>
        </w:rPr>
        <w:t> </w:t>
      </w:r>
      <w:r>
        <w:rPr/>
        <w:t>case,</w:t>
      </w:r>
      <w:r>
        <w:rPr>
          <w:spacing w:val="-11"/>
        </w:rPr>
        <w:t> </w:t>
      </w:r>
      <w:r>
        <w:rPr/>
        <w:t>raising</w:t>
      </w:r>
      <w:r>
        <w:rPr>
          <w:spacing w:val="-12"/>
        </w:rPr>
        <w:t> </w:t>
      </w:r>
      <w:r>
        <w:rPr/>
        <w:t>awareness</w:t>
      </w:r>
      <w:r>
        <w:rPr>
          <w:spacing w:val="-12"/>
        </w:rPr>
        <w:t> </w:t>
      </w:r>
      <w:r>
        <w:rPr/>
        <w:t>among</w:t>
      </w:r>
      <w:r>
        <w:rPr>
          <w:spacing w:val="-12"/>
        </w:rPr>
        <w:t> </w:t>
      </w:r>
      <w:r>
        <w:rPr/>
        <w:t>key</w:t>
      </w:r>
      <w:r>
        <w:rPr>
          <w:spacing w:val="-12"/>
        </w:rPr>
        <w:t> </w:t>
      </w:r>
      <w:r>
        <w:rPr/>
        <w:t>professionals</w:t>
      </w:r>
      <w:r>
        <w:rPr>
          <w:spacing w:val="-12"/>
        </w:rPr>
        <w:t> </w:t>
      </w:r>
      <w:r>
        <w:rPr/>
        <w:t>within</w:t>
      </w:r>
      <w:r>
        <w:rPr>
          <w:spacing w:val="-11"/>
        </w:rPr>
        <w:t> </w:t>
      </w:r>
      <w:r>
        <w:rPr/>
        <w:t>the</w:t>
      </w:r>
      <w:r>
        <w:rPr>
          <w:spacing w:val="-11"/>
        </w:rPr>
        <w:t> </w:t>
      </w:r>
      <w:r>
        <w:rPr/>
        <w:t>mental</w:t>
      </w:r>
      <w:r>
        <w:rPr>
          <w:spacing w:val="-11"/>
        </w:rPr>
        <w:t> </w:t>
      </w:r>
      <w:r>
        <w:rPr/>
        <w:t>health</w:t>
      </w:r>
      <w:r>
        <w:rPr>
          <w:spacing w:val="-11"/>
        </w:rPr>
        <w:t> </w:t>
      </w:r>
      <w:r>
        <w:rPr/>
        <w:t>domain, and the awareness of society as a whole, is essential to ensure that persons with psychosocial disabilities enjoy their human rights, including their right to liberty, on equal</w:t>
      </w:r>
      <w:r>
        <w:rPr>
          <w:spacing w:val="-2"/>
        </w:rPr>
        <w:t> </w:t>
      </w:r>
      <w:r>
        <w:rPr/>
        <w:t>terms.</w:t>
      </w: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spacing w:line="237" w:lineRule="auto" w:before="232"/>
        <w:ind w:left="450" w:right="106" w:hanging="284"/>
        <w:jc w:val="both"/>
        <w:rPr>
          <w:sz w:val="20"/>
        </w:rPr>
      </w:pPr>
      <w:bookmarkStart w:name="_bookmark113" w:id="115"/>
      <w:bookmarkEnd w:id="115"/>
      <w:r>
        <w:rPr/>
      </w:r>
      <w:r>
        <w:rPr>
          <w:position w:val="7"/>
          <w:sz w:val="13"/>
        </w:rPr>
        <w:t>113</w:t>
      </w:r>
      <w:r>
        <w:rPr>
          <w:spacing w:val="-6"/>
          <w:position w:val="7"/>
          <w:sz w:val="13"/>
        </w:rPr>
        <w:t> </w:t>
      </w:r>
      <w:r>
        <w:rPr>
          <w:sz w:val="20"/>
        </w:rPr>
        <w:t>The</w:t>
      </w:r>
      <w:r>
        <w:rPr>
          <w:spacing w:val="-8"/>
          <w:sz w:val="20"/>
        </w:rPr>
        <w:t> </w:t>
      </w:r>
      <w:r>
        <w:rPr>
          <w:sz w:val="20"/>
        </w:rPr>
        <w:t>CRPD</w:t>
      </w:r>
      <w:r>
        <w:rPr>
          <w:spacing w:val="-9"/>
          <w:sz w:val="20"/>
        </w:rPr>
        <w:t> </w:t>
      </w:r>
      <w:r>
        <w:rPr>
          <w:sz w:val="20"/>
        </w:rPr>
        <w:t>Committee,</w:t>
      </w:r>
      <w:r>
        <w:rPr>
          <w:spacing w:val="-8"/>
          <w:sz w:val="20"/>
        </w:rPr>
        <w:t> </w:t>
      </w:r>
      <w:r>
        <w:rPr>
          <w:i/>
          <w:sz w:val="21"/>
        </w:rPr>
        <w:t>Concluding</w:t>
      </w:r>
      <w:r>
        <w:rPr>
          <w:i/>
          <w:spacing w:val="-12"/>
          <w:sz w:val="21"/>
        </w:rPr>
        <w:t> </w:t>
      </w:r>
      <w:r>
        <w:rPr>
          <w:i/>
          <w:sz w:val="21"/>
        </w:rPr>
        <w:t>Observations</w:t>
      </w:r>
      <w:r>
        <w:rPr>
          <w:sz w:val="20"/>
        </w:rPr>
        <w:t>,</w:t>
      </w:r>
      <w:r>
        <w:rPr>
          <w:spacing w:val="-8"/>
          <w:sz w:val="20"/>
        </w:rPr>
        <w:t> </w:t>
      </w:r>
      <w:r>
        <w:rPr>
          <w:sz w:val="20"/>
        </w:rPr>
        <w:t>para</w:t>
      </w:r>
      <w:r>
        <w:rPr>
          <w:spacing w:val="-8"/>
          <w:sz w:val="20"/>
        </w:rPr>
        <w:t> </w:t>
      </w:r>
      <w:r>
        <w:rPr>
          <w:sz w:val="20"/>
        </w:rPr>
        <w:t>(9),</w:t>
      </w:r>
      <w:r>
        <w:rPr>
          <w:spacing w:val="-8"/>
          <w:sz w:val="20"/>
        </w:rPr>
        <w:t> </w:t>
      </w:r>
      <w:r>
        <w:rPr>
          <w:sz w:val="20"/>
        </w:rPr>
        <w:t>pointed</w:t>
      </w:r>
      <w:r>
        <w:rPr>
          <w:spacing w:val="-10"/>
          <w:sz w:val="20"/>
        </w:rPr>
        <w:t> </w:t>
      </w:r>
      <w:r>
        <w:rPr>
          <w:sz w:val="20"/>
        </w:rPr>
        <w:t>out</w:t>
      </w:r>
      <w:r>
        <w:rPr>
          <w:spacing w:val="-8"/>
          <w:sz w:val="20"/>
        </w:rPr>
        <w:t> </w:t>
      </w:r>
      <w:r>
        <w:rPr>
          <w:sz w:val="20"/>
        </w:rPr>
        <w:t>that</w:t>
      </w:r>
      <w:r>
        <w:rPr>
          <w:spacing w:val="-8"/>
          <w:sz w:val="20"/>
        </w:rPr>
        <w:t> </w:t>
      </w:r>
      <w:r>
        <w:rPr>
          <w:sz w:val="20"/>
        </w:rPr>
        <w:t>in</w:t>
      </w:r>
      <w:r>
        <w:rPr>
          <w:spacing w:val="-9"/>
          <w:sz w:val="20"/>
        </w:rPr>
        <w:t> </w:t>
      </w:r>
      <w:r>
        <w:rPr>
          <w:sz w:val="20"/>
        </w:rPr>
        <w:t>the</w:t>
      </w:r>
      <w:r>
        <w:rPr>
          <w:spacing w:val="-8"/>
          <w:sz w:val="20"/>
        </w:rPr>
        <w:t> </w:t>
      </w:r>
      <w:r>
        <w:rPr>
          <w:sz w:val="20"/>
        </w:rPr>
        <w:t>past</w:t>
      </w:r>
      <w:r>
        <w:rPr>
          <w:spacing w:val="-8"/>
          <w:sz w:val="20"/>
        </w:rPr>
        <w:t> </w:t>
      </w:r>
      <w:r>
        <w:rPr>
          <w:sz w:val="20"/>
        </w:rPr>
        <w:t>there</w:t>
      </w:r>
      <w:r>
        <w:rPr>
          <w:spacing w:val="-10"/>
          <w:sz w:val="20"/>
        </w:rPr>
        <w:t> </w:t>
      </w:r>
      <w:r>
        <w:rPr>
          <w:sz w:val="20"/>
        </w:rPr>
        <w:t>was</w:t>
      </w:r>
      <w:r>
        <w:rPr>
          <w:spacing w:val="-9"/>
          <w:sz w:val="20"/>
        </w:rPr>
        <w:t> </w:t>
      </w:r>
      <w:r>
        <w:rPr>
          <w:sz w:val="20"/>
        </w:rPr>
        <w:t>a</w:t>
      </w:r>
      <w:r>
        <w:rPr>
          <w:spacing w:val="-8"/>
          <w:sz w:val="20"/>
        </w:rPr>
        <w:t> </w:t>
      </w:r>
      <w:r>
        <w:rPr>
          <w:sz w:val="20"/>
        </w:rPr>
        <w:t>lack of consultation both with individuals with disabilities and with independent organizations regarding disability-related policies and the process of implementation of the CRPD. The NHRC has remarked on the</w:t>
      </w:r>
      <w:r>
        <w:rPr>
          <w:spacing w:val="-9"/>
          <w:sz w:val="20"/>
        </w:rPr>
        <w:t> </w:t>
      </w:r>
      <w:r>
        <w:rPr>
          <w:sz w:val="20"/>
        </w:rPr>
        <w:t>lack</w:t>
      </w:r>
      <w:r>
        <w:rPr>
          <w:spacing w:val="-10"/>
          <w:sz w:val="20"/>
        </w:rPr>
        <w:t> </w:t>
      </w:r>
      <w:r>
        <w:rPr>
          <w:sz w:val="20"/>
        </w:rPr>
        <w:t>of</w:t>
      </w:r>
      <w:r>
        <w:rPr>
          <w:spacing w:val="-11"/>
          <w:sz w:val="20"/>
        </w:rPr>
        <w:t> </w:t>
      </w:r>
      <w:r>
        <w:rPr>
          <w:sz w:val="20"/>
        </w:rPr>
        <w:t>a</w:t>
      </w:r>
      <w:r>
        <w:rPr>
          <w:spacing w:val="-10"/>
          <w:sz w:val="20"/>
        </w:rPr>
        <w:t> </w:t>
      </w:r>
      <w:r>
        <w:rPr>
          <w:sz w:val="20"/>
        </w:rPr>
        <w:t>sufficient</w:t>
      </w:r>
      <w:r>
        <w:rPr>
          <w:spacing w:val="-10"/>
          <w:sz w:val="20"/>
        </w:rPr>
        <w:t> </w:t>
      </w:r>
      <w:r>
        <w:rPr>
          <w:sz w:val="20"/>
        </w:rPr>
        <w:t>number</w:t>
      </w:r>
      <w:r>
        <w:rPr>
          <w:spacing w:val="-10"/>
          <w:sz w:val="20"/>
        </w:rPr>
        <w:t> </w:t>
      </w:r>
      <w:r>
        <w:rPr>
          <w:sz w:val="20"/>
        </w:rPr>
        <w:t>of</w:t>
      </w:r>
      <w:r>
        <w:rPr>
          <w:spacing w:val="-11"/>
          <w:sz w:val="20"/>
        </w:rPr>
        <w:t> </w:t>
      </w:r>
      <w:r>
        <w:rPr>
          <w:sz w:val="20"/>
        </w:rPr>
        <w:t>civil</w:t>
      </w:r>
      <w:r>
        <w:rPr>
          <w:spacing w:val="-10"/>
          <w:sz w:val="20"/>
        </w:rPr>
        <w:t> </w:t>
      </w:r>
      <w:r>
        <w:rPr>
          <w:sz w:val="20"/>
        </w:rPr>
        <w:t>society</w:t>
      </w:r>
      <w:r>
        <w:rPr>
          <w:spacing w:val="-10"/>
          <w:sz w:val="20"/>
        </w:rPr>
        <w:t> </w:t>
      </w:r>
      <w:r>
        <w:rPr>
          <w:sz w:val="20"/>
        </w:rPr>
        <w:t>organizations</w:t>
      </w:r>
      <w:r>
        <w:rPr>
          <w:spacing w:val="-10"/>
          <w:sz w:val="20"/>
        </w:rPr>
        <w:t> </w:t>
      </w:r>
      <w:r>
        <w:rPr>
          <w:sz w:val="20"/>
        </w:rPr>
        <w:t>that</w:t>
      </w:r>
      <w:r>
        <w:rPr>
          <w:spacing w:val="-11"/>
          <w:sz w:val="20"/>
        </w:rPr>
        <w:t> </w:t>
      </w:r>
      <w:r>
        <w:rPr>
          <w:sz w:val="20"/>
        </w:rPr>
        <w:t>are</w:t>
      </w:r>
      <w:r>
        <w:rPr>
          <w:spacing w:val="-11"/>
          <w:sz w:val="20"/>
        </w:rPr>
        <w:t> </w:t>
      </w:r>
      <w:r>
        <w:rPr>
          <w:sz w:val="20"/>
        </w:rPr>
        <w:t>concerned</w:t>
      </w:r>
      <w:r>
        <w:rPr>
          <w:spacing w:val="-11"/>
          <w:sz w:val="20"/>
        </w:rPr>
        <w:t> </w:t>
      </w:r>
      <w:r>
        <w:rPr>
          <w:sz w:val="20"/>
        </w:rPr>
        <w:t>with</w:t>
      </w:r>
      <w:r>
        <w:rPr>
          <w:spacing w:val="-11"/>
          <w:sz w:val="20"/>
        </w:rPr>
        <w:t> </w:t>
      </w:r>
      <w:r>
        <w:rPr>
          <w:sz w:val="20"/>
        </w:rPr>
        <w:t>disability</w:t>
      </w:r>
      <w:r>
        <w:rPr>
          <w:spacing w:val="-10"/>
          <w:sz w:val="20"/>
        </w:rPr>
        <w:t> </w:t>
      </w:r>
      <w:r>
        <w:rPr>
          <w:sz w:val="20"/>
        </w:rPr>
        <w:t>issues</w:t>
      </w:r>
      <w:r>
        <w:rPr>
          <w:spacing w:val="-10"/>
          <w:sz w:val="20"/>
        </w:rPr>
        <w:t> </w:t>
      </w:r>
      <w:r>
        <w:rPr>
          <w:sz w:val="20"/>
        </w:rPr>
        <w:t>and the</w:t>
      </w:r>
      <w:r>
        <w:rPr>
          <w:spacing w:val="-5"/>
          <w:sz w:val="20"/>
        </w:rPr>
        <w:t> </w:t>
      </w:r>
      <w:r>
        <w:rPr>
          <w:sz w:val="20"/>
        </w:rPr>
        <w:t>non-existence</w:t>
      </w:r>
      <w:r>
        <w:rPr>
          <w:spacing w:val="-5"/>
          <w:sz w:val="20"/>
        </w:rPr>
        <w:t> </w:t>
      </w:r>
      <w:r>
        <w:rPr>
          <w:sz w:val="20"/>
        </w:rPr>
        <w:t>of</w:t>
      </w:r>
      <w:r>
        <w:rPr>
          <w:spacing w:val="-6"/>
          <w:sz w:val="20"/>
        </w:rPr>
        <w:t> </w:t>
      </w:r>
      <w:r>
        <w:rPr>
          <w:sz w:val="20"/>
        </w:rPr>
        <w:t>specialized</w:t>
      </w:r>
      <w:r>
        <w:rPr>
          <w:spacing w:val="-5"/>
          <w:sz w:val="20"/>
        </w:rPr>
        <w:t> </w:t>
      </w:r>
      <w:r>
        <w:rPr>
          <w:sz w:val="20"/>
        </w:rPr>
        <w:t>associations</w:t>
      </w:r>
      <w:r>
        <w:rPr>
          <w:spacing w:val="-4"/>
          <w:sz w:val="20"/>
        </w:rPr>
        <w:t> </w:t>
      </w:r>
      <w:r>
        <w:rPr>
          <w:sz w:val="20"/>
        </w:rPr>
        <w:t>for</w:t>
      </w:r>
      <w:r>
        <w:rPr>
          <w:spacing w:val="-5"/>
          <w:sz w:val="20"/>
        </w:rPr>
        <w:t> </w:t>
      </w:r>
      <w:r>
        <w:rPr>
          <w:sz w:val="20"/>
        </w:rPr>
        <w:t>certain</w:t>
      </w:r>
      <w:r>
        <w:rPr>
          <w:spacing w:val="-5"/>
          <w:sz w:val="20"/>
        </w:rPr>
        <w:t> </w:t>
      </w:r>
      <w:r>
        <w:rPr>
          <w:sz w:val="20"/>
        </w:rPr>
        <w:t>types</w:t>
      </w:r>
      <w:r>
        <w:rPr>
          <w:spacing w:val="-5"/>
          <w:sz w:val="20"/>
        </w:rPr>
        <w:t> </w:t>
      </w:r>
      <w:r>
        <w:rPr>
          <w:sz w:val="20"/>
        </w:rPr>
        <w:t>of</w:t>
      </w:r>
      <w:r>
        <w:rPr>
          <w:spacing w:val="-6"/>
          <w:sz w:val="20"/>
        </w:rPr>
        <w:t> </w:t>
      </w:r>
      <w:r>
        <w:rPr>
          <w:sz w:val="20"/>
        </w:rPr>
        <w:t>mental</w:t>
      </w:r>
      <w:r>
        <w:rPr>
          <w:spacing w:val="-5"/>
          <w:sz w:val="20"/>
        </w:rPr>
        <w:t> </w:t>
      </w:r>
      <w:r>
        <w:rPr>
          <w:sz w:val="20"/>
        </w:rPr>
        <w:t>disabilities.</w:t>
      </w:r>
      <w:r>
        <w:rPr>
          <w:spacing w:val="-4"/>
          <w:sz w:val="20"/>
        </w:rPr>
        <w:t> </w:t>
      </w:r>
      <w:r>
        <w:rPr>
          <w:sz w:val="20"/>
        </w:rPr>
        <w:t>In</w:t>
      </w:r>
      <w:r>
        <w:rPr>
          <w:spacing w:val="-5"/>
          <w:sz w:val="20"/>
        </w:rPr>
        <w:t> </w:t>
      </w:r>
      <w:r>
        <w:rPr>
          <w:sz w:val="20"/>
        </w:rPr>
        <w:t>particular,</w:t>
      </w:r>
      <w:r>
        <w:rPr>
          <w:spacing w:val="-4"/>
          <w:sz w:val="20"/>
        </w:rPr>
        <w:t> </w:t>
      </w:r>
      <w:r>
        <w:rPr>
          <w:sz w:val="20"/>
        </w:rPr>
        <w:t>it</w:t>
      </w:r>
      <w:r>
        <w:rPr>
          <w:spacing w:val="-4"/>
          <w:sz w:val="20"/>
        </w:rPr>
        <w:t> </w:t>
      </w:r>
      <w:r>
        <w:rPr>
          <w:sz w:val="20"/>
        </w:rPr>
        <w:t>has expressed</w:t>
      </w:r>
      <w:r>
        <w:rPr>
          <w:spacing w:val="-4"/>
          <w:sz w:val="20"/>
        </w:rPr>
        <w:t> </w:t>
      </w:r>
      <w:r>
        <w:rPr>
          <w:sz w:val="20"/>
        </w:rPr>
        <w:t>its</w:t>
      </w:r>
      <w:r>
        <w:rPr>
          <w:spacing w:val="-4"/>
          <w:sz w:val="20"/>
        </w:rPr>
        <w:t> </w:t>
      </w:r>
      <w:r>
        <w:rPr>
          <w:sz w:val="20"/>
        </w:rPr>
        <w:t>concern</w:t>
      </w:r>
      <w:r>
        <w:rPr>
          <w:spacing w:val="-4"/>
          <w:sz w:val="20"/>
        </w:rPr>
        <w:t> </w:t>
      </w:r>
      <w:r>
        <w:rPr>
          <w:sz w:val="20"/>
        </w:rPr>
        <w:t>about</w:t>
      </w:r>
      <w:r>
        <w:rPr>
          <w:spacing w:val="-4"/>
          <w:sz w:val="20"/>
        </w:rPr>
        <w:t> </w:t>
      </w:r>
      <w:r>
        <w:rPr>
          <w:sz w:val="20"/>
        </w:rPr>
        <w:t>the</w:t>
      </w:r>
      <w:r>
        <w:rPr>
          <w:spacing w:val="-3"/>
          <w:sz w:val="20"/>
        </w:rPr>
        <w:t> </w:t>
      </w:r>
      <w:r>
        <w:rPr>
          <w:sz w:val="20"/>
        </w:rPr>
        <w:t>absence</w:t>
      </w:r>
      <w:r>
        <w:rPr>
          <w:spacing w:val="-5"/>
          <w:sz w:val="20"/>
        </w:rPr>
        <w:t> </w:t>
      </w:r>
      <w:r>
        <w:rPr>
          <w:sz w:val="20"/>
        </w:rPr>
        <w:t>of</w:t>
      </w:r>
      <w:r>
        <w:rPr>
          <w:spacing w:val="-4"/>
          <w:sz w:val="20"/>
        </w:rPr>
        <w:t> </w:t>
      </w:r>
      <w:r>
        <w:rPr>
          <w:sz w:val="20"/>
        </w:rPr>
        <w:t>civil</w:t>
      </w:r>
      <w:r>
        <w:rPr>
          <w:spacing w:val="-4"/>
          <w:sz w:val="20"/>
        </w:rPr>
        <w:t> </w:t>
      </w:r>
      <w:r>
        <w:rPr>
          <w:sz w:val="20"/>
        </w:rPr>
        <w:t>society</w:t>
      </w:r>
      <w:r>
        <w:rPr>
          <w:spacing w:val="-4"/>
          <w:sz w:val="20"/>
        </w:rPr>
        <w:t> </w:t>
      </w:r>
      <w:r>
        <w:rPr>
          <w:sz w:val="20"/>
        </w:rPr>
        <w:t>organisations</w:t>
      </w:r>
      <w:r>
        <w:rPr>
          <w:spacing w:val="-3"/>
          <w:sz w:val="20"/>
        </w:rPr>
        <w:t> </w:t>
      </w:r>
      <w:r>
        <w:rPr>
          <w:sz w:val="20"/>
        </w:rPr>
        <w:t>in</w:t>
      </w:r>
      <w:r>
        <w:rPr>
          <w:spacing w:val="-4"/>
          <w:sz w:val="20"/>
        </w:rPr>
        <w:t> </w:t>
      </w:r>
      <w:r>
        <w:rPr>
          <w:sz w:val="20"/>
        </w:rPr>
        <w:t>the</w:t>
      </w:r>
      <w:r>
        <w:rPr>
          <w:spacing w:val="-4"/>
          <w:sz w:val="20"/>
        </w:rPr>
        <w:t> </w:t>
      </w:r>
      <w:r>
        <w:rPr>
          <w:sz w:val="20"/>
        </w:rPr>
        <w:t>mental</w:t>
      </w:r>
      <w:r>
        <w:rPr>
          <w:spacing w:val="-4"/>
          <w:sz w:val="20"/>
        </w:rPr>
        <w:t> </w:t>
      </w:r>
      <w:r>
        <w:rPr>
          <w:sz w:val="20"/>
        </w:rPr>
        <w:t>health</w:t>
      </w:r>
      <w:r>
        <w:rPr>
          <w:spacing w:val="-4"/>
          <w:sz w:val="20"/>
        </w:rPr>
        <w:t> </w:t>
      </w:r>
      <w:r>
        <w:rPr>
          <w:sz w:val="20"/>
        </w:rPr>
        <w:t>field,</w:t>
      </w:r>
      <w:r>
        <w:rPr>
          <w:spacing w:val="-3"/>
          <w:sz w:val="20"/>
        </w:rPr>
        <w:t> </w:t>
      </w:r>
      <w:r>
        <w:rPr>
          <w:sz w:val="20"/>
        </w:rPr>
        <w:t>see</w:t>
      </w:r>
      <w:r>
        <w:rPr>
          <w:spacing w:val="-4"/>
          <w:sz w:val="20"/>
        </w:rPr>
        <w:t> </w:t>
      </w:r>
      <w:r>
        <w:rPr>
          <w:sz w:val="20"/>
        </w:rPr>
        <w:t>–– the</w:t>
      </w:r>
      <w:r>
        <w:rPr>
          <w:spacing w:val="-9"/>
          <w:sz w:val="20"/>
        </w:rPr>
        <w:t> </w:t>
      </w:r>
      <w:r>
        <w:rPr>
          <w:sz w:val="20"/>
        </w:rPr>
        <w:t>2015</w:t>
      </w:r>
      <w:r>
        <w:rPr>
          <w:spacing w:val="-10"/>
          <w:sz w:val="20"/>
        </w:rPr>
        <w:t> </w:t>
      </w:r>
      <w:r>
        <w:rPr>
          <w:sz w:val="20"/>
        </w:rPr>
        <w:t>NHRC</w:t>
      </w:r>
      <w:r>
        <w:rPr>
          <w:spacing w:val="-10"/>
          <w:sz w:val="20"/>
        </w:rPr>
        <w:t> </w:t>
      </w:r>
      <w:r>
        <w:rPr>
          <w:i/>
          <w:sz w:val="21"/>
        </w:rPr>
        <w:t>Report</w:t>
      </w:r>
      <w:r>
        <w:rPr>
          <w:i/>
          <w:spacing w:val="-13"/>
          <w:sz w:val="21"/>
        </w:rPr>
        <w:t> </w:t>
      </w:r>
      <w:r>
        <w:rPr>
          <w:i/>
          <w:sz w:val="21"/>
        </w:rPr>
        <w:t>on</w:t>
      </w:r>
      <w:r>
        <w:rPr>
          <w:i/>
          <w:spacing w:val="-14"/>
          <w:sz w:val="21"/>
        </w:rPr>
        <w:t> </w:t>
      </w:r>
      <w:r>
        <w:rPr>
          <w:i/>
          <w:sz w:val="21"/>
        </w:rPr>
        <w:t>the</w:t>
      </w:r>
      <w:r>
        <w:rPr>
          <w:i/>
          <w:spacing w:val="-12"/>
          <w:sz w:val="21"/>
        </w:rPr>
        <w:t> </w:t>
      </w:r>
      <w:r>
        <w:rPr>
          <w:i/>
          <w:sz w:val="21"/>
        </w:rPr>
        <w:t>Situation</w:t>
      </w:r>
      <w:r>
        <w:rPr>
          <w:i/>
          <w:spacing w:val="-14"/>
          <w:sz w:val="21"/>
        </w:rPr>
        <w:t> </w:t>
      </w:r>
      <w:r>
        <w:rPr>
          <w:i/>
          <w:sz w:val="21"/>
        </w:rPr>
        <w:t>of</w:t>
      </w:r>
      <w:r>
        <w:rPr>
          <w:i/>
          <w:spacing w:val="-13"/>
          <w:sz w:val="21"/>
        </w:rPr>
        <w:t> </w:t>
      </w:r>
      <w:r>
        <w:rPr>
          <w:i/>
          <w:sz w:val="21"/>
        </w:rPr>
        <w:t>Human</w:t>
      </w:r>
      <w:r>
        <w:rPr>
          <w:i/>
          <w:spacing w:val="-14"/>
          <w:sz w:val="21"/>
        </w:rPr>
        <w:t> </w:t>
      </w:r>
      <w:r>
        <w:rPr>
          <w:i/>
          <w:sz w:val="21"/>
        </w:rPr>
        <w:t>Rights</w:t>
      </w:r>
      <w:r>
        <w:rPr>
          <w:i/>
          <w:spacing w:val="-12"/>
          <w:sz w:val="21"/>
        </w:rPr>
        <w:t> </w:t>
      </w:r>
      <w:r>
        <w:rPr>
          <w:i/>
          <w:sz w:val="21"/>
        </w:rPr>
        <w:t>in</w:t>
      </w:r>
      <w:r>
        <w:rPr>
          <w:i/>
          <w:spacing w:val="-13"/>
          <w:sz w:val="21"/>
        </w:rPr>
        <w:t> </w:t>
      </w:r>
      <w:r>
        <w:rPr>
          <w:i/>
          <w:sz w:val="21"/>
        </w:rPr>
        <w:t>the</w:t>
      </w:r>
      <w:r>
        <w:rPr>
          <w:i/>
          <w:spacing w:val="-13"/>
          <w:sz w:val="21"/>
        </w:rPr>
        <w:t> </w:t>
      </w:r>
      <w:r>
        <w:rPr>
          <w:i/>
          <w:sz w:val="21"/>
        </w:rPr>
        <w:t>State</w:t>
      </w:r>
      <w:r>
        <w:rPr>
          <w:i/>
          <w:spacing w:val="-13"/>
          <w:sz w:val="21"/>
        </w:rPr>
        <w:t> </w:t>
      </w:r>
      <w:r>
        <w:rPr>
          <w:i/>
          <w:sz w:val="21"/>
        </w:rPr>
        <w:t>of</w:t>
      </w:r>
      <w:r>
        <w:rPr>
          <w:i/>
          <w:spacing w:val="-13"/>
          <w:sz w:val="21"/>
        </w:rPr>
        <w:t> </w:t>
      </w:r>
      <w:r>
        <w:rPr>
          <w:i/>
          <w:sz w:val="21"/>
        </w:rPr>
        <w:t>Qatar,</w:t>
      </w:r>
      <w:r>
        <w:rPr>
          <w:i/>
          <w:spacing w:val="-13"/>
          <w:sz w:val="21"/>
        </w:rPr>
        <w:t> </w:t>
      </w:r>
      <w:r>
        <w:rPr>
          <w:sz w:val="20"/>
        </w:rPr>
        <w:t>[75]</w:t>
      </w:r>
      <w:r>
        <w:rPr>
          <w:spacing w:val="-10"/>
          <w:sz w:val="20"/>
        </w:rPr>
        <w:t> </w:t>
      </w:r>
      <w:r>
        <w:rPr>
          <w:sz w:val="20"/>
        </w:rPr>
        <w:t>and</w:t>
      </w:r>
      <w:r>
        <w:rPr>
          <w:spacing w:val="-10"/>
          <w:sz w:val="20"/>
        </w:rPr>
        <w:t> </w:t>
      </w:r>
      <w:r>
        <w:rPr>
          <w:sz w:val="20"/>
        </w:rPr>
        <w:t>[57].</w:t>
      </w:r>
    </w:p>
    <w:sectPr>
      <w:pgSz w:w="11910" w:h="16840"/>
      <w:pgMar w:header="0" w:footer="523" w:top="1320" w:bottom="720" w:left="94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Tahoma">
    <w:altName w:val="Tahoma"/>
    <w:charset w:val="0"/>
    <w:family w:val="swiss"/>
    <w:pitch w:val="variable"/>
  </w:font>
  <w:font w:name="Arial">
    <w:altName w:val="Arial"/>
    <w:charset w:val="0"/>
    <w:family w:val="swiss"/>
    <w:pitch w:val="variable"/>
  </w:font>
  <w:font w:name="Calibri">
    <w:altName w:val="Calibri"/>
    <w:charset w:val="0"/>
    <w:family w:val="swiss"/>
    <w:pitch w:val="variable"/>
  </w:font>
  <w:font w:name="MS PGothic">
    <w:altName w:val="MS PGothic"/>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91.21051pt;margin-top:804.793823pt;width:12.9pt;height:10.95pt;mso-position-horizontal-relative:page;mso-position-vertical-relative:page;z-index:-18640" type="#_x0000_t202" filled="false" stroked="false">
          <v:textbox inset="0,0,0,0">
            <w:txbxContent>
              <w:p>
                <w:pPr>
                  <w:spacing w:before="14"/>
                  <w:ind w:left="40" w:right="0" w:firstLine="0"/>
                  <w:jc w:val="left"/>
                  <w:rPr>
                    <w:rFonts w:ascii="Arial"/>
                    <w:sz w:val="16"/>
                  </w:rPr>
                </w:pPr>
                <w:r>
                  <w:rPr/>
                  <w:fldChar w:fldCharType="begin"/>
                </w:r>
                <w:r>
                  <w:rPr>
                    <w:rFonts w:ascii="Arial"/>
                    <w:sz w:val="16"/>
                  </w:rPr>
                  <w:instrText> PAGE </w:instrText>
                </w:r>
                <w:r>
                  <w:rPr/>
                  <w:fldChar w:fldCharType="separate"/>
                </w:r>
                <w:r>
                  <w:rPr/>
                  <w:t>55</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lowerLetter"/>
      <w:lvlText w:val="(%1)"/>
      <w:lvlJc w:val="left"/>
      <w:pPr>
        <w:ind w:left="397" w:hanging="383"/>
        <w:jc w:val="left"/>
      </w:pPr>
      <w:rPr>
        <w:rFonts w:hint="default" w:ascii="Tahoma" w:hAnsi="Tahoma" w:eastAsia="Tahoma" w:cs="Tahoma"/>
        <w:i/>
        <w:w w:val="96"/>
        <w:sz w:val="25"/>
        <w:szCs w:val="25"/>
      </w:rPr>
    </w:lvl>
    <w:lvl w:ilvl="1">
      <w:start w:val="0"/>
      <w:numFmt w:val="bullet"/>
      <w:lvlText w:val="•"/>
      <w:lvlJc w:val="left"/>
      <w:pPr>
        <w:ind w:left="1324" w:hanging="383"/>
      </w:pPr>
      <w:rPr>
        <w:rFonts w:hint="default"/>
      </w:rPr>
    </w:lvl>
    <w:lvl w:ilvl="2">
      <w:start w:val="0"/>
      <w:numFmt w:val="bullet"/>
      <w:lvlText w:val="•"/>
      <w:lvlJc w:val="left"/>
      <w:pPr>
        <w:ind w:left="2249" w:hanging="383"/>
      </w:pPr>
      <w:rPr>
        <w:rFonts w:hint="default"/>
      </w:rPr>
    </w:lvl>
    <w:lvl w:ilvl="3">
      <w:start w:val="0"/>
      <w:numFmt w:val="bullet"/>
      <w:lvlText w:val="•"/>
      <w:lvlJc w:val="left"/>
      <w:pPr>
        <w:ind w:left="3173" w:hanging="383"/>
      </w:pPr>
      <w:rPr>
        <w:rFonts w:hint="default"/>
      </w:rPr>
    </w:lvl>
    <w:lvl w:ilvl="4">
      <w:start w:val="0"/>
      <w:numFmt w:val="bullet"/>
      <w:lvlText w:val="•"/>
      <w:lvlJc w:val="left"/>
      <w:pPr>
        <w:ind w:left="4098" w:hanging="383"/>
      </w:pPr>
      <w:rPr>
        <w:rFonts w:hint="default"/>
      </w:rPr>
    </w:lvl>
    <w:lvl w:ilvl="5">
      <w:start w:val="0"/>
      <w:numFmt w:val="bullet"/>
      <w:lvlText w:val="•"/>
      <w:lvlJc w:val="left"/>
      <w:pPr>
        <w:ind w:left="5023" w:hanging="383"/>
      </w:pPr>
      <w:rPr>
        <w:rFonts w:hint="default"/>
      </w:rPr>
    </w:lvl>
    <w:lvl w:ilvl="6">
      <w:start w:val="0"/>
      <w:numFmt w:val="bullet"/>
      <w:lvlText w:val="•"/>
      <w:lvlJc w:val="left"/>
      <w:pPr>
        <w:ind w:left="5947" w:hanging="383"/>
      </w:pPr>
      <w:rPr>
        <w:rFonts w:hint="default"/>
      </w:rPr>
    </w:lvl>
    <w:lvl w:ilvl="7">
      <w:start w:val="0"/>
      <w:numFmt w:val="bullet"/>
      <w:lvlText w:val="•"/>
      <w:lvlJc w:val="left"/>
      <w:pPr>
        <w:ind w:left="6872" w:hanging="383"/>
      </w:pPr>
      <w:rPr>
        <w:rFonts w:hint="default"/>
      </w:rPr>
    </w:lvl>
    <w:lvl w:ilvl="8">
      <w:start w:val="0"/>
      <w:numFmt w:val="bullet"/>
      <w:lvlText w:val="•"/>
      <w:lvlJc w:val="left"/>
      <w:pPr>
        <w:ind w:left="7797" w:hanging="383"/>
      </w:pPr>
      <w:rPr>
        <w:rFonts w:hint="default"/>
      </w:rPr>
    </w:lvl>
  </w:abstractNum>
  <w:abstractNum w:abstractNumId="0">
    <w:multiLevelType w:val="hybridMultilevel"/>
    <w:lvl w:ilvl="0">
      <w:start w:val="1"/>
      <w:numFmt w:val="upperRoman"/>
      <w:lvlText w:val="%1."/>
      <w:lvlJc w:val="left"/>
      <w:pPr>
        <w:ind w:left="3915" w:hanging="239"/>
        <w:jc w:val="right"/>
      </w:pPr>
      <w:rPr>
        <w:rFonts w:hint="default" w:ascii="Tahoma" w:hAnsi="Tahoma" w:eastAsia="Tahoma" w:cs="Tahoma"/>
        <w:w w:val="99"/>
        <w:sz w:val="24"/>
        <w:szCs w:val="24"/>
      </w:rPr>
    </w:lvl>
    <w:lvl w:ilvl="1">
      <w:start w:val="0"/>
      <w:numFmt w:val="bullet"/>
      <w:lvlText w:val="•"/>
      <w:lvlJc w:val="left"/>
      <w:pPr>
        <w:ind w:left="4492" w:hanging="239"/>
      </w:pPr>
      <w:rPr>
        <w:rFonts w:hint="default"/>
      </w:rPr>
    </w:lvl>
    <w:lvl w:ilvl="2">
      <w:start w:val="0"/>
      <w:numFmt w:val="bullet"/>
      <w:lvlText w:val="•"/>
      <w:lvlJc w:val="left"/>
      <w:pPr>
        <w:ind w:left="5065" w:hanging="239"/>
      </w:pPr>
      <w:rPr>
        <w:rFonts w:hint="default"/>
      </w:rPr>
    </w:lvl>
    <w:lvl w:ilvl="3">
      <w:start w:val="0"/>
      <w:numFmt w:val="bullet"/>
      <w:lvlText w:val="•"/>
      <w:lvlJc w:val="left"/>
      <w:pPr>
        <w:ind w:left="5637" w:hanging="239"/>
      </w:pPr>
      <w:rPr>
        <w:rFonts w:hint="default"/>
      </w:rPr>
    </w:lvl>
    <w:lvl w:ilvl="4">
      <w:start w:val="0"/>
      <w:numFmt w:val="bullet"/>
      <w:lvlText w:val="•"/>
      <w:lvlJc w:val="left"/>
      <w:pPr>
        <w:ind w:left="6210" w:hanging="239"/>
      </w:pPr>
      <w:rPr>
        <w:rFonts w:hint="default"/>
      </w:rPr>
    </w:lvl>
    <w:lvl w:ilvl="5">
      <w:start w:val="0"/>
      <w:numFmt w:val="bullet"/>
      <w:lvlText w:val="•"/>
      <w:lvlJc w:val="left"/>
      <w:pPr>
        <w:ind w:left="6783" w:hanging="239"/>
      </w:pPr>
      <w:rPr>
        <w:rFonts w:hint="default"/>
      </w:rPr>
    </w:lvl>
    <w:lvl w:ilvl="6">
      <w:start w:val="0"/>
      <w:numFmt w:val="bullet"/>
      <w:lvlText w:val="•"/>
      <w:lvlJc w:val="left"/>
      <w:pPr>
        <w:ind w:left="7355" w:hanging="239"/>
      </w:pPr>
      <w:rPr>
        <w:rFonts w:hint="default"/>
      </w:rPr>
    </w:lvl>
    <w:lvl w:ilvl="7">
      <w:start w:val="0"/>
      <w:numFmt w:val="bullet"/>
      <w:lvlText w:val="•"/>
      <w:lvlJc w:val="left"/>
      <w:pPr>
        <w:ind w:left="7928" w:hanging="239"/>
      </w:pPr>
      <w:rPr>
        <w:rFonts w:hint="default"/>
      </w:rPr>
    </w:lvl>
    <w:lvl w:ilvl="8">
      <w:start w:val="0"/>
      <w:numFmt w:val="bullet"/>
      <w:lvlText w:val="•"/>
      <w:lvlJc w:val="left"/>
      <w:pPr>
        <w:ind w:left="8501" w:hanging="239"/>
      </w:pPr>
      <w:rPr>
        <w:rFonts w:hint="default"/>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ahoma" w:hAnsi="Tahoma" w:eastAsia="Tahoma" w:cs="Tahoma"/>
    </w:rPr>
  </w:style>
  <w:style w:styleId="BodyText" w:type="paragraph">
    <w:name w:val="Body Text"/>
    <w:basedOn w:val="Normal"/>
    <w:uiPriority w:val="1"/>
    <w:qFormat/>
    <w:pPr/>
    <w:rPr>
      <w:rFonts w:ascii="Tahoma" w:hAnsi="Tahoma" w:eastAsia="Tahoma" w:cs="Tahoma"/>
      <w:sz w:val="24"/>
      <w:szCs w:val="24"/>
    </w:rPr>
  </w:style>
  <w:style w:styleId="Heading1" w:type="paragraph">
    <w:name w:val="Heading 1"/>
    <w:basedOn w:val="Normal"/>
    <w:uiPriority w:val="1"/>
    <w:qFormat/>
    <w:pPr>
      <w:ind w:left="397" w:firstLine="1"/>
      <w:outlineLvl w:val="1"/>
    </w:pPr>
    <w:rPr>
      <w:rFonts w:ascii="Tahoma" w:hAnsi="Tahoma" w:eastAsia="Tahoma" w:cs="Tahoma"/>
      <w:i/>
      <w:sz w:val="25"/>
      <w:szCs w:val="25"/>
    </w:rPr>
  </w:style>
  <w:style w:styleId="ListParagraph" w:type="paragraph">
    <w:name w:val="List Paragraph"/>
    <w:basedOn w:val="Normal"/>
    <w:uiPriority w:val="1"/>
    <w:qFormat/>
    <w:pPr>
      <w:ind w:left="397" w:firstLine="1"/>
    </w:pPr>
    <w:rPr>
      <w:rFonts w:ascii="Tahoma" w:hAnsi="Tahoma" w:eastAsia="Tahoma" w:cs="Tahoma"/>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http://dx.doi.org/10.2139/ssrn.1928600" TargetMode="External"/><Relationship Id="rId7" Type="http://schemas.openxmlformats.org/officeDocument/2006/relationships/hyperlink" Target="http://www2.ohchr.org/english/bodies/hrcouncil/docs/10session/A.HRC.10.48.pdf" TargetMode="External"/><Relationship Id="rId8" Type="http://schemas.openxmlformats.org/officeDocument/2006/relationships/hyperlink" Target="http://www.ohchr.org/Documents/Issues/Disability/DeprivationLiberty/BackgroundNote.doc" TargetMode="External"/><Relationship Id="rId9" Type="http://schemas.openxmlformats.org/officeDocument/2006/relationships/hyperlink" Target="http://www.un.org/disabilities/images/A.63.175.doc" TargetMode="External"/><Relationship Id="rId10" Type="http://schemas.openxmlformats.org/officeDocument/2006/relationships/hyperlink" Target="http://www.ohchr.org/Documents/HRBodies/HRCouncil/RegularSession/Session22/A.HRC.22.53_Englis" TargetMode="External"/><Relationship Id="rId11" Type="http://schemas.openxmlformats.org/officeDocument/2006/relationships/hyperlink" Target="http://www.ohchr.org/Documents/HRBodies/CCPR/GConArticle9/Submissions/SRDisability.doc" TargetMode="External"/><Relationship Id="rId12" Type="http://schemas.openxmlformats.org/officeDocument/2006/relationships/hyperlink" Target="http://www.ohchr.org/EN/HRBodies/CRPD/Pages/GC.aspx" TargetMode="External"/><Relationship Id="rId13" Type="http://schemas.openxmlformats.org/officeDocument/2006/relationships/hyperlink" Target="http://www.penalreform.org/resource/standard-minimum-rules-treatment-prisoners-smr/" TargetMode="External"/><Relationship Id="rId14" Type="http://schemas.openxmlformats.org/officeDocument/2006/relationships/hyperlink" Target="http://www.unodc.org/documents/justice-and-prison-reform/SPECIAL_RAPPORTEUR_EN.pdf" TargetMode="External"/><Relationship Id="rId15" Type="http://schemas.openxmlformats.org/officeDocument/2006/relationships/hyperlink" Target="http://juris.ohchr.org/search/results" TargetMode="External"/><Relationship Id="rId16" Type="http://schemas.openxmlformats.org/officeDocument/2006/relationships/hyperlink" Target="http://www.inclusionireland.ie/sites/default/files/attach/basicpage/846/anideaspaperbygerardquinnjune2009.pdf" TargetMode="External"/><Relationship Id="rId17" Type="http://schemas.openxmlformats.org/officeDocument/2006/relationships/hyperlink" Target="http://www.mdps.gov.qa/en/qnv/Documents/QNV2030_English_v2.pdf" TargetMode="External"/><Relationship Id="rId18" Type="http://schemas.openxmlformats.org/officeDocument/2006/relationships/hyperlink" Target="http://dag.un.org/handle/11176/307320" TargetMode="External"/><Relationship Id="rId19" Type="http://schemas.openxmlformats.org/officeDocument/2006/relationships/hyperlink" Target="http://tbinternet.ohchr.org/_layouts/TreatyBodyExternal/SessionsList.aspx?Treaty=CRPD" TargetMode="External"/><Relationship Id="rId20" Type="http://schemas.openxmlformats.org/officeDocument/2006/relationships/hyperlink" Target="http://tbinternet.ohchr.org/_layouts/treatybodyexternal/Download.aspx?symbolno=CRPD%2fC%2fQAT%2fCO%2f1&amp;amp;Lang=en" TargetMode="External"/><Relationship Id="rId21" Type="http://schemas.openxmlformats.org/officeDocument/2006/relationships/hyperlink" Target="http://www.refworld.org/docid/55eed9fb4.html" TargetMode="External"/><Relationship Id="rId22" Type="http://schemas.openxmlformats.org/officeDocument/2006/relationships/hyperlink" Target="http://disabilitycouncilinternational.org/documents/ConcObv/Qatarcomments.doc" TargetMode="External"/><Relationship Id="rId23" Type="http://schemas.openxmlformats.org/officeDocument/2006/relationships/hyperlink" Target="http://nhsq.info/app/media/1166" TargetMode="External"/><Relationship Id="rId24" Type="http://schemas.openxmlformats.org/officeDocument/2006/relationships/hyperlink" Target="http://www.nhrc-qa.org/wp-content/uploads/2014/01/93621-National-Human-Rights-English.pdf" TargetMode="External"/><Relationship Id="rId25" Type="http://schemas.openxmlformats.org/officeDocument/2006/relationships/hyperlink" Target="http://www.ilo.org/dyn/natlex/natlex4.detail?p_lang=en&amp;amp;p_isn=105416&amp;amp;p_country=QAT" TargetMode="External"/><Relationship Id="rId26" Type="http://schemas.openxmlformats.org/officeDocument/2006/relationships/hyperlink" Target="https://www.hamad.qa/EN/hospitals-and-services/Rumailah-Hospital/Hospital-%20Services/Clinical%20Departments/Pages/Department-of-Psychiatry.aspx" TargetMode="External"/><Relationship Id="rId27" Type="http://schemas.openxmlformats.org/officeDocument/2006/relationships/hyperlink" Target="http://docstore.ohchr.org/SelfServices/FilesHandler.ashx?enc=6QkG1d%2FPPRiCAqhKb7yhsvozOgiFOpniYolYH2kyd5sA%2FJDRmUyncxHFfiqcb0XKKsBfp0Oi3ELvjS%2FsU%2B%2FYgjLv5EaHG9GZZH%2F87V0y4OpEzVDIvMT8Xs9mqErmWIM1" TargetMode="External"/><Relationship Id="rId28" Type="http://schemas.openxmlformats.org/officeDocument/2006/relationships/hyperlink" Target="http://tbinternet.ohchr.org/_layouts/treatybodyexternal/Download.aspx?symbolno=CRPD%2FC%2FQA" TargetMode="External"/><Relationship Id="rId29" Type="http://schemas.openxmlformats.org/officeDocument/2006/relationships/hyperlink" Target="http://www.nhrc-qa.org/wp-content/uploads/2014/01/en_2014-NHRC-report_finalss2.pdf" TargetMode="External"/><Relationship Id="rId3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 Brinton [lw13hb]</dc:creator>
  <dcterms:created xsi:type="dcterms:W3CDTF">2018-10-24T11:09:26Z</dcterms:created>
  <dcterms:modified xsi:type="dcterms:W3CDTF">2018-10-24T11:09:26Z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2018-10-23T00:00:00Z</vt:filetime>
  </property>
  <property fmtid="{D5CDD505-2E9C-101B-9397-08002B2CF9AE}" pid="3" name="Creator">
    <vt:lpwstr>Acrobat PDFMaker 18 for Word</vt:lpwstr>
  </property>
  <property fmtid="{D5CDD505-2E9C-101B-9397-08002B2CF9AE}" pid="4" name="LastSaved">
    <vt:filetime>2018-10-24T00:00:00Z</vt:filetime>
  </property>
</Properties>
</file>