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D05C2" w:rsidRPr="00AD312F" w:rsidRDefault="002947DC" w:rsidP="00AD312F">
      <w:pPr>
        <w:spacing w:after="0" w:line="480" w:lineRule="auto"/>
        <w:rPr>
          <w:rFonts w:ascii="Palatino Linotype" w:hAnsi="Palatino Linotype"/>
          <w:b/>
          <w:sz w:val="24"/>
          <w:szCs w:val="24"/>
          <w:u w:val="single"/>
          <w:lang w:val="en-GB"/>
        </w:rPr>
      </w:pPr>
      <w:r w:rsidRPr="00AD312F">
        <w:rPr>
          <w:rFonts w:ascii="Palatino Linotype" w:hAnsi="Palatino Linotype"/>
          <w:b/>
          <w:sz w:val="24"/>
          <w:szCs w:val="24"/>
          <w:u w:val="single"/>
          <w:lang w:val="en-GB"/>
        </w:rPr>
        <w:t>Why there is a need for Street Law programmes?</w:t>
      </w:r>
    </w:p>
    <w:p w:rsidR="000E5A89" w:rsidRPr="00AD312F" w:rsidRDefault="000E5A89" w:rsidP="00AD312F">
      <w:pPr>
        <w:spacing w:after="0" w:line="480" w:lineRule="auto"/>
        <w:rPr>
          <w:rFonts w:ascii="Palatino Linotype" w:hAnsi="Palatino Linotype"/>
          <w:i/>
          <w:sz w:val="24"/>
          <w:szCs w:val="24"/>
          <w:lang w:val="en-GB"/>
        </w:rPr>
      </w:pPr>
      <w:r w:rsidRPr="00AD312F">
        <w:rPr>
          <w:rFonts w:ascii="Palatino Linotype" w:hAnsi="Palatino Linotype"/>
          <w:i/>
          <w:sz w:val="24"/>
          <w:szCs w:val="24"/>
          <w:lang w:val="en-GB"/>
        </w:rPr>
        <w:t>Michal Urban</w:t>
      </w:r>
    </w:p>
    <w:p w:rsidR="000E5A89" w:rsidRPr="00AD312F" w:rsidRDefault="000E5A89" w:rsidP="00AD312F">
      <w:pPr>
        <w:spacing w:after="0" w:line="480" w:lineRule="auto"/>
        <w:rPr>
          <w:rFonts w:ascii="Palatino Linotype" w:hAnsi="Palatino Linotype"/>
          <w:i/>
          <w:sz w:val="24"/>
          <w:szCs w:val="24"/>
          <w:lang w:val="en-GB"/>
        </w:rPr>
      </w:pPr>
      <w:r w:rsidRPr="00AD312F">
        <w:rPr>
          <w:rFonts w:ascii="Palatino Linotype" w:hAnsi="Palatino Linotype"/>
          <w:i/>
          <w:sz w:val="24"/>
          <w:szCs w:val="24"/>
          <w:lang w:val="en-GB"/>
        </w:rPr>
        <w:t>Editorial Board member, International Journal of Public Legal Education</w:t>
      </w:r>
    </w:p>
    <w:p w:rsidR="00AD312F" w:rsidRDefault="00AD312F" w:rsidP="00AD312F">
      <w:pPr>
        <w:spacing w:after="0" w:line="480" w:lineRule="auto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</w:p>
    <w:p w:rsidR="000578D7" w:rsidRPr="00AD312F" w:rsidRDefault="008247EA" w:rsidP="00AD312F">
      <w:pPr>
        <w:spacing w:after="0" w:line="480" w:lineRule="auto"/>
        <w:jc w:val="both"/>
        <w:rPr>
          <w:rFonts w:ascii="Palatino Linotype" w:hAnsi="Palatino Linotype" w:cstheme="minorHAnsi"/>
          <w:sz w:val="24"/>
          <w:szCs w:val="24"/>
          <w:lang w:val="en-US"/>
        </w:rPr>
      </w:pP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Winston </w:t>
      </w:r>
      <w:r w:rsidR="00DC3ED1" w:rsidRPr="00AD312F">
        <w:rPr>
          <w:rFonts w:ascii="Palatino Linotype" w:hAnsi="Palatino Linotype" w:cstheme="minorHAnsi"/>
          <w:sz w:val="24"/>
          <w:szCs w:val="24"/>
          <w:lang w:val="en-GB"/>
        </w:rPr>
        <w:t>Churchill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famously </w:t>
      </w:r>
      <w:r w:rsidR="0044211A" w:rsidRPr="00AD312F">
        <w:rPr>
          <w:rFonts w:ascii="Palatino Linotype" w:hAnsi="Palatino Linotype" w:cstheme="minorHAnsi"/>
          <w:sz w:val="24"/>
          <w:szCs w:val="24"/>
          <w:lang w:val="en-GB"/>
        </w:rPr>
        <w:t>noted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that democracy is the worst form of government, except for all th</w:t>
      </w:r>
      <w:r w:rsidR="00735212" w:rsidRPr="00AD312F">
        <w:rPr>
          <w:rFonts w:ascii="Palatino Linotype" w:hAnsi="Palatino Linotype" w:cstheme="minorHAnsi"/>
          <w:sz w:val="24"/>
          <w:szCs w:val="24"/>
          <w:lang w:val="en-GB"/>
        </w:rPr>
        <w:t>ose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73521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other </w:t>
      </w:r>
      <w:r w:rsidR="0044211A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forms </w:t>
      </w:r>
      <w:r w:rsidR="002947D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that </w:t>
      </w:r>
      <w:r w:rsidR="0044211A" w:rsidRPr="00AD312F">
        <w:rPr>
          <w:rFonts w:ascii="Palatino Linotype" w:hAnsi="Palatino Linotype" w:cstheme="minorHAnsi"/>
          <w:sz w:val="24"/>
          <w:szCs w:val="24"/>
          <w:lang w:val="en-GB"/>
        </w:rPr>
        <w:t>have been tried from time to time.</w:t>
      </w:r>
      <w:r w:rsidR="00C21D04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1"/>
      </w:r>
      <w:r w:rsidR="0044211A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0C554D" w:rsidRPr="00AD312F">
        <w:rPr>
          <w:rFonts w:ascii="Palatino Linotype" w:hAnsi="Palatino Linotype" w:cstheme="minorHAnsi"/>
          <w:sz w:val="24"/>
          <w:szCs w:val="24"/>
          <w:lang w:val="en-GB"/>
        </w:rPr>
        <w:t>He was talking about constitutional liberal democrac</w:t>
      </w:r>
      <w:r w:rsidR="00BC0190" w:rsidRPr="00AD312F">
        <w:rPr>
          <w:rFonts w:ascii="Palatino Linotype" w:hAnsi="Palatino Linotype" w:cstheme="minorHAnsi"/>
          <w:sz w:val="24"/>
          <w:szCs w:val="24"/>
          <w:lang w:val="en-GB"/>
        </w:rPr>
        <w:t>y</w:t>
      </w:r>
      <w:r w:rsidR="000C554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in Fareed </w:t>
      </w:r>
      <w:proofErr w:type="spellStart"/>
      <w:r w:rsidR="000C554D" w:rsidRPr="00AD312F">
        <w:rPr>
          <w:rFonts w:ascii="Palatino Linotype" w:hAnsi="Palatino Linotype" w:cstheme="minorHAnsi"/>
          <w:sz w:val="24"/>
          <w:szCs w:val="24"/>
          <w:lang w:val="en-GB"/>
        </w:rPr>
        <w:t>Zakaria</w:t>
      </w:r>
      <w:proofErr w:type="spellEnd"/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>’s terms</w:t>
      </w:r>
      <w:r w:rsidR="00D66C06" w:rsidRPr="00AD312F">
        <w:rPr>
          <w:rFonts w:ascii="Palatino Linotype" w:hAnsi="Palatino Linotype" w:cstheme="minorHAnsi"/>
          <w:sz w:val="24"/>
          <w:szCs w:val="24"/>
          <w:lang w:val="en-US"/>
        </w:rPr>
        <w:t>,</w:t>
      </w:r>
      <w:r w:rsidR="00D66C06" w:rsidRPr="00AD312F">
        <w:rPr>
          <w:rStyle w:val="FootnoteReference"/>
          <w:rFonts w:ascii="Palatino Linotype" w:hAnsi="Palatino Linotype" w:cstheme="minorHAnsi"/>
          <w:sz w:val="24"/>
          <w:szCs w:val="24"/>
          <w:lang w:val="en-US"/>
        </w:rPr>
        <w:footnoteReference w:id="2"/>
      </w:r>
      <w:r w:rsidR="00D66C06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combining classical liberalism with </w:t>
      </w:r>
      <w:r w:rsidR="00735212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the </w:t>
      </w:r>
      <w:r w:rsidR="00D66C06" w:rsidRPr="00AD312F">
        <w:rPr>
          <w:rFonts w:ascii="Palatino Linotype" w:hAnsi="Palatino Linotype" w:cstheme="minorHAnsi"/>
          <w:sz w:val="24"/>
          <w:szCs w:val="24"/>
          <w:lang w:val="en-US"/>
        </w:rPr>
        <w:t>rule of law,</w:t>
      </w:r>
      <w:r w:rsidR="00BC0190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and</w:t>
      </w:r>
      <w:r w:rsidR="002947DC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he</w:t>
      </w:r>
      <w:r w:rsidR="00BC0190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</w:t>
      </w:r>
      <w:r w:rsidR="00B96949" w:rsidRPr="00AD312F">
        <w:rPr>
          <w:rFonts w:ascii="Palatino Linotype" w:hAnsi="Palatino Linotype" w:cstheme="minorHAnsi"/>
          <w:sz w:val="24"/>
          <w:szCs w:val="24"/>
          <w:lang w:val="en-US"/>
        </w:rPr>
        <w:t>had</w:t>
      </w:r>
      <w:r w:rsidR="00BC0190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no illusion</w:t>
      </w:r>
      <w:r w:rsidR="00B96949" w:rsidRPr="00AD312F">
        <w:rPr>
          <w:rFonts w:ascii="Palatino Linotype" w:hAnsi="Palatino Linotype" w:cstheme="minorHAnsi"/>
          <w:sz w:val="24"/>
          <w:szCs w:val="24"/>
          <w:lang w:val="en-US"/>
        </w:rPr>
        <w:t>s</w:t>
      </w:r>
      <w:r w:rsidR="00BC0190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</w:t>
      </w:r>
      <w:r w:rsidR="00B96949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about </w:t>
      </w:r>
      <w:r w:rsidR="00BC0190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its 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>weaknesses. After all, he was a witness to fall of many of th</w:t>
      </w:r>
      <w:r w:rsidR="006F6C92" w:rsidRPr="00AD312F">
        <w:rPr>
          <w:rFonts w:ascii="Palatino Linotype" w:hAnsi="Palatino Linotype" w:cstheme="minorHAnsi"/>
          <w:sz w:val="24"/>
          <w:szCs w:val="24"/>
          <w:lang w:val="en-US"/>
        </w:rPr>
        <w:t>o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se </w:t>
      </w:r>
      <w:r w:rsidR="000578D7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European 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democracies under the pressures of Nazism, fascism or communism in 1930s and 1940s.  However imperfect system </w:t>
      </w:r>
      <w:r w:rsidR="001340AF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this kind of 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democracy </w:t>
      </w:r>
      <w:r w:rsidR="00735212" w:rsidRPr="00AD312F">
        <w:rPr>
          <w:rFonts w:ascii="Palatino Linotype" w:hAnsi="Palatino Linotype" w:cstheme="minorHAnsi"/>
          <w:sz w:val="24"/>
          <w:szCs w:val="24"/>
          <w:lang w:val="en-US"/>
        </w:rPr>
        <w:t>may be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, it is the system </w:t>
      </w:r>
      <w:r w:rsidR="00735212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that </w:t>
      </w:r>
      <w:r w:rsidR="001340AF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most European countries currently </w:t>
      </w:r>
      <w:r w:rsidR="00735212" w:rsidRPr="00AD312F">
        <w:rPr>
          <w:rFonts w:ascii="Palatino Linotype" w:hAnsi="Palatino Linotype" w:cstheme="minorHAnsi"/>
          <w:sz w:val="24"/>
          <w:szCs w:val="24"/>
          <w:lang w:val="en-US"/>
        </w:rPr>
        <w:t>have, for better or worse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>, and all the alternatives to it we</w:t>
      </w:r>
      <w:r w:rsidR="002947DC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are 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>currently observ</w:t>
      </w:r>
      <w:r w:rsidR="002947DC" w:rsidRPr="00AD312F">
        <w:rPr>
          <w:rFonts w:ascii="Palatino Linotype" w:hAnsi="Palatino Linotype" w:cstheme="minorHAnsi"/>
          <w:sz w:val="24"/>
          <w:szCs w:val="24"/>
          <w:lang w:val="en-US"/>
        </w:rPr>
        <w:t>ing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</w:t>
      </w:r>
      <w:r w:rsidR="00735212" w:rsidRPr="00AD312F">
        <w:rPr>
          <w:rFonts w:ascii="Palatino Linotype" w:hAnsi="Palatino Linotype" w:cstheme="minorHAnsi"/>
          <w:sz w:val="24"/>
          <w:szCs w:val="24"/>
          <w:lang w:val="en-US"/>
        </w:rPr>
        <w:t>across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the world, be it in China, Russia, Hungary or Turkey present no tempting substitute. On the contrary, </w:t>
      </w:r>
      <w:r w:rsidR="00D8489B" w:rsidRPr="00AD312F">
        <w:rPr>
          <w:rFonts w:ascii="Palatino Linotype" w:hAnsi="Palatino Linotype" w:cstheme="minorHAnsi"/>
          <w:sz w:val="24"/>
          <w:szCs w:val="24"/>
          <w:lang w:val="en-US"/>
        </w:rPr>
        <w:t>these more or less illiberal democracies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 </w:t>
      </w:r>
      <w:r w:rsidR="000578D7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evoke pleasantly </w:t>
      </w:r>
      <w:r w:rsidR="000C554D" w:rsidRPr="00AD312F">
        <w:rPr>
          <w:rFonts w:ascii="Palatino Linotype" w:hAnsi="Palatino Linotype" w:cstheme="minorHAnsi"/>
          <w:sz w:val="24"/>
          <w:szCs w:val="24"/>
          <w:lang w:val="en-US"/>
        </w:rPr>
        <w:t>positive feeling towards our version of democrac</w:t>
      </w:r>
      <w:r w:rsidR="000578D7" w:rsidRPr="00AD312F">
        <w:rPr>
          <w:rFonts w:ascii="Palatino Linotype" w:hAnsi="Palatino Linotype" w:cstheme="minorHAnsi"/>
          <w:sz w:val="24"/>
          <w:szCs w:val="24"/>
          <w:lang w:val="en-US"/>
        </w:rPr>
        <w:t xml:space="preserve">y, even with all its flaws. </w:t>
      </w:r>
    </w:p>
    <w:p w:rsidR="00DC3ED1" w:rsidRPr="00AD312F" w:rsidRDefault="001C0CE3" w:rsidP="00AD312F">
      <w:pPr>
        <w:spacing w:after="0" w:line="480" w:lineRule="auto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What </w:t>
      </w:r>
      <w:r w:rsidR="002947D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makes 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constitutional liberal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democrac</w:t>
      </w:r>
      <w:r w:rsidR="002947DC" w:rsidRPr="00AD312F">
        <w:rPr>
          <w:rFonts w:ascii="Palatino Linotype" w:hAnsi="Palatino Linotype" w:cstheme="minorHAnsi"/>
          <w:sz w:val="24"/>
          <w:szCs w:val="24"/>
          <w:lang w:val="en-GB"/>
        </w:rPr>
        <w:t>y worth preserving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?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It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>, at least in theory,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more than </w:t>
      </w:r>
      <w:r w:rsidR="002947D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any 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>other system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>,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DC3ED1" w:rsidRPr="00AD312F">
        <w:rPr>
          <w:rFonts w:ascii="Palatino Linotype" w:hAnsi="Palatino Linotype" w:cstheme="minorHAnsi"/>
          <w:sz w:val="24"/>
          <w:szCs w:val="24"/>
          <w:lang w:val="en-GB"/>
        </w:rPr>
        <w:t>believe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DC3ED1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in the people and their potential to govern themselves.</w:t>
      </w:r>
      <w:r w:rsidR="00C21D0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It 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>has faith</w:t>
      </w:r>
      <w:r w:rsidR="00C21D0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that citizens 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are in the end good, </w:t>
      </w:r>
      <w:r w:rsidR="00C21D04" w:rsidRPr="00AD312F">
        <w:rPr>
          <w:rFonts w:ascii="Palatino Linotype" w:hAnsi="Palatino Linotype" w:cstheme="minorHAnsi"/>
          <w:sz w:val="24"/>
          <w:szCs w:val="24"/>
          <w:lang w:val="en-GB"/>
        </w:rPr>
        <w:t>possess the power to grow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lastRenderedPageBreak/>
        <w:t xml:space="preserve">and </w:t>
      </w:r>
      <w:r w:rsidR="00C21D04" w:rsidRPr="00AD312F">
        <w:rPr>
          <w:rFonts w:ascii="Palatino Linotype" w:hAnsi="Palatino Linotype" w:cstheme="minorHAnsi"/>
          <w:sz w:val="24"/>
          <w:szCs w:val="24"/>
          <w:lang w:val="en-GB"/>
        </w:rPr>
        <w:t>learn from mistakes</w:t>
      </w:r>
      <w:r w:rsidR="00BC0190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3"/>
      </w:r>
      <w:r w:rsidR="00C21D0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and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>,</w:t>
      </w:r>
      <w:r w:rsidR="00C21D0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>with sufficient systemic support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>,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2947D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are 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>able to handle their liberty and use it for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the benefit of themselves and wider</w:t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society.</w:t>
      </w:r>
      <w:r w:rsidR="00BC0190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4"/>
      </w:r>
      <w:r w:rsidR="000578D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1340AF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It invests in institutions that fight for rule of law and protection of human rights, especially against the ruling political power. </w:t>
      </w:r>
      <w:r w:rsidR="00BA173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Time and again we experience how difficult 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it </w:t>
      </w:r>
      <w:r w:rsidR="00BA173C" w:rsidRPr="00AD312F">
        <w:rPr>
          <w:rFonts w:ascii="Palatino Linotype" w:hAnsi="Palatino Linotype" w:cstheme="minorHAnsi"/>
          <w:sz w:val="24"/>
          <w:szCs w:val="24"/>
          <w:lang w:val="en-GB"/>
        </w:rPr>
        <w:t>is to pu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 these principles in practice. </w:t>
      </w:r>
      <w:r w:rsidR="00DC3ED1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As 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we </w:t>
      </w:r>
      <w:r w:rsidR="001340AF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all </w:t>
      </w:r>
      <w:r w:rsidR="002947D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are 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>experienc</w:t>
      </w:r>
      <w:r w:rsidR="002947DC" w:rsidRPr="00AD312F">
        <w:rPr>
          <w:rFonts w:ascii="Palatino Linotype" w:hAnsi="Palatino Linotype" w:cstheme="minorHAnsi"/>
          <w:sz w:val="24"/>
          <w:szCs w:val="24"/>
          <w:lang w:val="en-GB"/>
        </w:rPr>
        <w:t>ing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, </w:t>
      </w:r>
      <w:r w:rsidR="00DC3ED1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it is 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challenging </w:t>
      </w:r>
      <w:r w:rsidR="00DC3ED1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to find </w:t>
      </w:r>
      <w:r w:rsidR="002947D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reasonable </w:t>
      </w:r>
      <w:r w:rsidR="00DC3ED1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consensus </w:t>
      </w:r>
      <w:r w:rsidR="001340AF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and refrain from using physical or psychological dominance 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even in </w:t>
      </w:r>
      <w:r w:rsidR="00DC3ED1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families, not to mention 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larger </w:t>
      </w:r>
      <w:r w:rsidR="001340AF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diverse </w:t>
      </w:r>
      <w:r w:rsidR="00DC3ED1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communities or whole societies. 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Moreover, the natural disadvantage of democracy, as </w:t>
      </w:r>
      <w:proofErr w:type="spellStart"/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>Václav</w:t>
      </w:r>
      <w:proofErr w:type="spellEnd"/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Havel put it, is that it binds the hands of those who take it seriously while allow</w:t>
      </w:r>
      <w:r w:rsidR="00867E4F" w:rsidRPr="00AD312F">
        <w:rPr>
          <w:rFonts w:ascii="Palatino Linotype" w:hAnsi="Palatino Linotype" w:cstheme="minorHAnsi"/>
          <w:sz w:val="24"/>
          <w:szCs w:val="24"/>
          <w:lang w:val="en-GB"/>
        </w:rPr>
        <w:t>ing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those who </w:t>
      </w:r>
      <w:r w:rsidR="00867E4F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do not </w:t>
      </w:r>
      <w:r w:rsidR="00D8489B" w:rsidRPr="00AD312F">
        <w:rPr>
          <w:rFonts w:ascii="Palatino Linotype" w:hAnsi="Palatino Linotype" w:cstheme="minorHAnsi"/>
          <w:sz w:val="24"/>
          <w:szCs w:val="24"/>
          <w:lang w:val="en-GB"/>
        </w:rPr>
        <w:t>take it seriously to do almost anything they want.</w:t>
      </w:r>
      <w:r w:rsidR="00D8489B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5"/>
      </w:r>
    </w:p>
    <w:p w:rsidR="00867E4F" w:rsidRPr="00AD312F" w:rsidRDefault="00867E4F" w:rsidP="00AD312F">
      <w:pPr>
        <w:spacing w:after="0" w:line="480" w:lineRule="auto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AD312F">
        <w:rPr>
          <w:rFonts w:ascii="Palatino Linotype" w:hAnsi="Palatino Linotype" w:cstheme="minorHAnsi"/>
          <w:sz w:val="24"/>
          <w:szCs w:val="24"/>
          <w:lang w:val="en-GB"/>
        </w:rPr>
        <w:t>Despite the power of democratic institutions, be it courts, local and national parliaments</w:t>
      </w:r>
      <w:r w:rsidR="002947D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, public administration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or schools, n</w:t>
      </w:r>
      <w:r w:rsidR="0076150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 constitutional liberal democracy </w:t>
      </w:r>
      <w:r w:rsidR="009974EC" w:rsidRPr="00AD312F">
        <w:rPr>
          <w:rFonts w:ascii="Palatino Linotype" w:hAnsi="Palatino Linotype" w:cstheme="minorHAnsi"/>
          <w:sz w:val="24"/>
          <w:szCs w:val="24"/>
          <w:lang w:val="en-GB"/>
        </w:rPr>
        <w:t>can</w:t>
      </w:r>
      <w:r w:rsidR="0076150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be 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>notably</w:t>
      </w:r>
      <w:r w:rsidR="0076150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stronger than its citizens. Since it places so much trust into its members, it would be terribly short-sighted not to care about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the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depth and extent of initial and </w:t>
      </w:r>
      <w:r w:rsidR="00AB230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life-long </w:t>
      </w:r>
      <w:r w:rsidR="0076150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education. </w:t>
      </w:r>
      <w:r w:rsidR="00BD0A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Legally, there are clear checkpoints which we pass and </w:t>
      </w:r>
      <w:r w:rsidR="00AB230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on which we </w:t>
      </w:r>
      <w:r w:rsidR="00BD0A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receive proofs of </w:t>
      </w:r>
      <w:r w:rsidR="00AB230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our growing </w:t>
      </w:r>
      <w:r w:rsidR="00BD0A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maturity: an ID, right to 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>sexual relations and marriage and</w:t>
      </w:r>
      <w:r w:rsidR="00BD0A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right to vote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to name but a few</w:t>
      </w:r>
      <w:r w:rsidR="00BD0A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. Typically at the age of 18-21 we 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become, </w:t>
      </w:r>
      <w:r w:rsidR="00BD0AF7" w:rsidRPr="00AD312F">
        <w:rPr>
          <w:rFonts w:ascii="Palatino Linotype" w:hAnsi="Palatino Linotype" w:cstheme="minorHAnsi"/>
          <w:sz w:val="24"/>
          <w:szCs w:val="24"/>
          <w:lang w:val="en-GB"/>
        </w:rPr>
        <w:t>legally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at least,</w:t>
      </w:r>
      <w:r w:rsidR="00BD0A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fully-developed citizens, who possess the whole catalogue of rights</w:t>
      </w:r>
      <w:r w:rsidR="009D29D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9D29D2" w:rsidRPr="00AD312F">
        <w:rPr>
          <w:rFonts w:ascii="Palatino Linotype" w:hAnsi="Palatino Linotype" w:cstheme="minorHAnsi"/>
          <w:sz w:val="24"/>
          <w:szCs w:val="24"/>
          <w:lang w:val="en-GB"/>
        </w:rPr>
        <w:lastRenderedPageBreak/>
        <w:t>and duties</w:t>
      </w:r>
      <w:r w:rsidR="00AB230D" w:rsidRPr="00AD312F">
        <w:rPr>
          <w:rFonts w:ascii="Palatino Linotype" w:hAnsi="Palatino Linotype" w:cstheme="minorHAnsi"/>
          <w:sz w:val="24"/>
          <w:szCs w:val="24"/>
          <w:lang w:val="en-GB"/>
        </w:rPr>
        <w:t>.</w:t>
      </w:r>
      <w:r w:rsidR="009D29D2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6"/>
      </w:r>
      <w:r w:rsidR="009D29D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Typically</w:t>
      </w:r>
      <w:r w:rsidR="009D29D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, we perceive ourselves and are perceived by others as </w:t>
      </w:r>
      <w:r w:rsidR="00860EAC" w:rsidRPr="00AD312F">
        <w:rPr>
          <w:rFonts w:ascii="Palatino Linotype" w:hAnsi="Palatino Linotype" w:cstheme="minorHAnsi"/>
          <w:sz w:val="24"/>
          <w:szCs w:val="24"/>
          <w:lang w:val="en-GB"/>
        </w:rPr>
        <w:t>“</w:t>
      </w:r>
      <w:r w:rsidR="009D29D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completed”, fully ready for our 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role, even </w:t>
      </w:r>
      <w:r w:rsidR="00860EAC" w:rsidRPr="00AD312F">
        <w:rPr>
          <w:rFonts w:ascii="Palatino Linotype" w:hAnsi="Palatino Linotype" w:cstheme="minorHAnsi"/>
          <w:sz w:val="24"/>
          <w:szCs w:val="24"/>
          <w:lang w:val="en-GB"/>
        </w:rPr>
        <w:t>“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>job</w:t>
      </w:r>
      <w:r w:rsidR="00860EAC" w:rsidRPr="00AD312F">
        <w:rPr>
          <w:rFonts w:ascii="Palatino Linotype" w:hAnsi="Palatino Linotype" w:cstheme="minorHAnsi"/>
          <w:sz w:val="24"/>
          <w:szCs w:val="24"/>
          <w:lang w:val="en-GB"/>
        </w:rPr>
        <w:t>”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as responsible</w:t>
      </w:r>
      <w:r w:rsidR="009D29D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citizens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. </w:t>
      </w:r>
    </w:p>
    <w:p w:rsidR="003A5F8D" w:rsidRPr="00AD312F" w:rsidRDefault="00867E4F" w:rsidP="00AD312F">
      <w:pPr>
        <w:spacing w:after="0" w:line="480" w:lineRule="auto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Yes, a job, because to be that kind of </w:t>
      </w:r>
      <w:r w:rsidR="00B9694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citizen democracies truly need, 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>individuals and communities need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to take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responsibility and carry out duties as well as assume rights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– </w:t>
      </w:r>
      <w:r w:rsidR="009974E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i.e. to enter into </w:t>
      </w:r>
      <w:r w:rsidR="003A5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long-term, often difficult and </w:t>
      </w:r>
      <w:r w:rsidR="003A5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only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sometimes rewarding re</w:t>
      </w:r>
      <w:r w:rsidR="003A5F8D" w:rsidRPr="00AD312F">
        <w:rPr>
          <w:rFonts w:ascii="Palatino Linotype" w:hAnsi="Palatino Linotype" w:cstheme="minorHAnsi"/>
          <w:sz w:val="24"/>
          <w:szCs w:val="24"/>
          <w:lang w:val="en-GB"/>
        </w:rPr>
        <w:t>lationship</w:t>
      </w:r>
      <w:r w:rsidR="009974E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with the democratic system</w:t>
      </w:r>
      <w:r w:rsidR="003A5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. We generally understand that to perform </w:t>
      </w:r>
      <w:r w:rsidR="00B96949" w:rsidRPr="00AD312F">
        <w:rPr>
          <w:rFonts w:ascii="Palatino Linotype" w:hAnsi="Palatino Linotype" w:cstheme="minorHAnsi"/>
          <w:sz w:val="24"/>
          <w:szCs w:val="24"/>
          <w:lang w:val="en-GB"/>
        </w:rPr>
        <w:t>any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task </w:t>
      </w:r>
      <w:r w:rsidR="003A5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properly, we need to prepare for it: go to school, study at home, </w:t>
      </w:r>
      <w:r w:rsidR="00BC174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and 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perhaps </w:t>
      </w:r>
      <w:r w:rsidR="00BC1742" w:rsidRPr="00AD312F">
        <w:rPr>
          <w:rFonts w:ascii="Palatino Linotype" w:hAnsi="Palatino Linotype" w:cstheme="minorHAnsi"/>
          <w:sz w:val="24"/>
          <w:szCs w:val="24"/>
          <w:lang w:val="en-GB"/>
        </w:rPr>
        <w:t>take</w:t>
      </w:r>
      <w:r w:rsidR="003A5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exams. There is one clear exception</w:t>
      </w:r>
      <w:r w:rsidR="00B9694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to that</w:t>
      </w:r>
      <w:r w:rsidR="003A5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, though. </w:t>
      </w:r>
      <w:r w:rsidR="00BC1742" w:rsidRPr="00AD312F">
        <w:rPr>
          <w:rFonts w:ascii="Palatino Linotype" w:hAnsi="Palatino Linotype" w:cstheme="minorHAnsi"/>
          <w:sz w:val="24"/>
          <w:szCs w:val="24"/>
          <w:lang w:val="en-GB"/>
        </w:rPr>
        <w:t>Although w</w:t>
      </w:r>
      <w:r w:rsidR="003A5F8D" w:rsidRPr="00AD312F">
        <w:rPr>
          <w:rFonts w:ascii="Palatino Linotype" w:hAnsi="Palatino Linotype" w:cstheme="minorHAnsi"/>
          <w:sz w:val="24"/>
          <w:szCs w:val="24"/>
          <w:lang w:val="en-GB"/>
        </w:rPr>
        <w:t>e do not expect a carpenter to ma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>ster woodwork by himself, no</w:t>
      </w:r>
      <w:r w:rsidR="003A5F8D" w:rsidRPr="00AD312F">
        <w:rPr>
          <w:rFonts w:ascii="Palatino Linotype" w:hAnsi="Palatino Linotype" w:cstheme="minorHAnsi"/>
          <w:sz w:val="24"/>
          <w:szCs w:val="24"/>
          <w:lang w:val="en-GB"/>
        </w:rPr>
        <w:t>r a pilot to leave ground without proper training, we still tend to believe that people generally naturally grow into their role of citizens.</w:t>
      </w:r>
    </w:p>
    <w:p w:rsidR="00867E4F" w:rsidRPr="00AD312F" w:rsidRDefault="003A5F8D" w:rsidP="00AD312F">
      <w:pPr>
        <w:spacing w:after="0" w:line="480" w:lineRule="auto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It is clearly a myth 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that we develop simply organically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and the</w:t>
      </w:r>
      <w:r w:rsidR="00BC174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growing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support for populists</w:t>
      </w:r>
      <w:r w:rsidR="00B9694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in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Europe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and beyond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is a clear proof of it. </w:t>
      </w:r>
      <w:r w:rsidR="00544B76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We all need guidance and mentors: </w:t>
      </w:r>
      <w:r w:rsidR="00D34CA7" w:rsidRPr="00AD312F">
        <w:rPr>
          <w:rFonts w:ascii="Palatino Linotype" w:hAnsi="Palatino Linotype" w:cstheme="minorHAnsi"/>
          <w:sz w:val="24"/>
          <w:szCs w:val="24"/>
          <w:lang w:val="en-GB"/>
        </w:rPr>
        <w:t>p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arents educate their children,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more experienced members of a sport team coach</w:t>
      </w:r>
      <w:r w:rsidR="00BC174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newcomers and new employ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ees learn from more senior ones. </w:t>
      </w:r>
      <w:proofErr w:type="gramStart"/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Likewise</w:t>
      </w:r>
      <w:proofErr w:type="gramEnd"/>
      <w:r w:rsidR="00BC174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D34CA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we need </w:t>
      </w:r>
      <w:r w:rsidR="00E628D8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to have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overt </w:t>
      </w:r>
      <w:r w:rsidR="00D34CA7" w:rsidRPr="00AD312F">
        <w:rPr>
          <w:rFonts w:ascii="Palatino Linotype" w:hAnsi="Palatino Linotype" w:cstheme="minorHAnsi"/>
          <w:sz w:val="24"/>
          <w:szCs w:val="24"/>
          <w:lang w:val="en-GB"/>
        </w:rPr>
        <w:t>citizenship education.</w:t>
      </w:r>
      <w:r w:rsidR="00B446A8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An e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ssential part of this,</w:t>
      </w:r>
      <w:r w:rsidR="00B446A8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especially due to constantly rising number of laws and complexity of the world, is 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public </w:t>
      </w:r>
      <w:r w:rsidR="00B446A8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legal 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>education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, aimed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at increasing legal literacy</w:t>
      </w:r>
      <w:r w:rsidR="00B446A8" w:rsidRPr="00AD312F">
        <w:rPr>
          <w:rFonts w:ascii="Palatino Linotype" w:hAnsi="Palatino Linotype" w:cstheme="minorHAnsi"/>
          <w:sz w:val="24"/>
          <w:szCs w:val="24"/>
          <w:lang w:val="en-GB"/>
        </w:rPr>
        <w:t>.</w:t>
      </w:r>
      <w:r w:rsidR="00BC1742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7"/>
      </w:r>
    </w:p>
    <w:p w:rsidR="00317F7B" w:rsidRPr="00AD312F" w:rsidRDefault="00250FCB" w:rsidP="00AD312F">
      <w:pPr>
        <w:spacing w:after="0" w:line="480" w:lineRule="auto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AD312F">
        <w:rPr>
          <w:rFonts w:ascii="Palatino Linotype" w:hAnsi="Palatino Linotype" w:cstheme="minorHAnsi"/>
          <w:sz w:val="24"/>
          <w:szCs w:val="24"/>
          <w:lang w:val="en-GB"/>
        </w:rPr>
        <w:lastRenderedPageBreak/>
        <w:t>On</w:t>
      </w:r>
      <w:r w:rsidR="004D5ECD" w:rsidRPr="00AD312F">
        <w:rPr>
          <w:rFonts w:ascii="Palatino Linotype" w:hAnsi="Palatino Linotype" w:cstheme="minorHAnsi"/>
          <w:sz w:val="24"/>
          <w:szCs w:val="24"/>
          <w:lang w:val="en-GB"/>
        </w:rPr>
        <w:t>e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ever powerful way of delivering public legal education is through Street Law. 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>Street Law programmes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now exist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around the globe, inspired by the original Georgetown Law </w:t>
      </w:r>
      <w:proofErr w:type="spellStart"/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>Center</w:t>
      </w:r>
      <w:proofErr w:type="spellEnd"/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initiative in Washington, D.C.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in the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7051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early 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>19</w:t>
      </w:r>
      <w:r w:rsidR="003E54FC" w:rsidRPr="00AD312F">
        <w:rPr>
          <w:rFonts w:ascii="Palatino Linotype" w:hAnsi="Palatino Linotype" w:cstheme="minorHAnsi"/>
          <w:sz w:val="24"/>
          <w:szCs w:val="24"/>
          <w:lang w:val="en-GB"/>
        </w:rPr>
        <w:t>7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>0s,</w:t>
      </w:r>
      <w:r w:rsidR="00747F8D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8"/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and 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>are one way to increas</w:t>
      </w:r>
      <w:r w:rsidR="003E54F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e legal literacy of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the public</w:t>
      </w:r>
      <w:r w:rsidR="003E54F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, to 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help them </w:t>
      </w:r>
      <w:r w:rsidR="007051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resist </w:t>
      </w:r>
      <w:r w:rsidR="00747F8D" w:rsidRPr="00AD312F">
        <w:rPr>
          <w:rFonts w:ascii="Palatino Linotype" w:hAnsi="Palatino Linotype" w:cstheme="minorHAnsi"/>
          <w:sz w:val="24"/>
          <w:szCs w:val="24"/>
          <w:lang w:val="en-GB"/>
        </w:rPr>
        <w:t>manipulation</w:t>
      </w:r>
      <w:r w:rsidR="00D7325F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7051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of </w:t>
      </w:r>
      <w:r w:rsidR="00B96949" w:rsidRPr="00AD312F">
        <w:rPr>
          <w:rFonts w:ascii="Palatino Linotype" w:hAnsi="Palatino Linotype" w:cstheme="minorHAnsi"/>
          <w:sz w:val="24"/>
          <w:szCs w:val="24"/>
          <w:lang w:val="en-GB"/>
        </w:rPr>
        <w:t>different</w:t>
      </w:r>
      <w:r w:rsidR="007051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kind</w:t>
      </w:r>
      <w:r w:rsidR="00B96949"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7051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D7325F" w:rsidRPr="00AD312F">
        <w:rPr>
          <w:rFonts w:ascii="Palatino Linotype" w:hAnsi="Palatino Linotype" w:cstheme="minorHAnsi"/>
          <w:sz w:val="24"/>
          <w:szCs w:val="24"/>
          <w:lang w:val="en-GB"/>
        </w:rPr>
        <w:t>and empower</w:t>
      </w:r>
      <w:r w:rsidR="00AB230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them in relation to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the law and the legal system as its affects their everyday lives</w:t>
      </w:r>
      <w:r w:rsidR="00D7325F" w:rsidRPr="00AD312F">
        <w:rPr>
          <w:rFonts w:ascii="Palatino Linotype" w:hAnsi="Palatino Linotype" w:cstheme="minorHAnsi"/>
          <w:sz w:val="24"/>
          <w:szCs w:val="24"/>
          <w:lang w:val="en-GB"/>
        </w:rPr>
        <w:t>.</w:t>
      </w:r>
      <w:r w:rsidR="00D7325F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9"/>
      </w:r>
      <w:r w:rsidR="003E54F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One of these Street Law programmes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operates at Charles University, Faculty of Law in Prague, Czech Republic, and </w:t>
      </w:r>
      <w:r w:rsidR="000718AA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may serve as one concrete example of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 positive 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contribution to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the </w:t>
      </w:r>
      <w:r w:rsidR="00AB230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cultivation of 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>public legal literacy.</w:t>
      </w:r>
      <w:r w:rsidR="000718AA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10"/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</w:p>
    <w:p w:rsidR="00867E4F" w:rsidRPr="00AD312F" w:rsidRDefault="001B037F" w:rsidP="00AD312F">
      <w:pPr>
        <w:spacing w:after="0" w:line="480" w:lineRule="auto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Found 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in 2009, it </w:t>
      </w:r>
      <w:r w:rsidR="00AB230D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is already 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well-established 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>progra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mme. It originally started as a simple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elective</w:t>
      </w:r>
      <w:r w:rsidR="007051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course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for 15 law students but 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over the years it expanded into a programme of six </w:t>
      </w:r>
      <w:r w:rsidR="00B96949" w:rsidRPr="00AD312F">
        <w:rPr>
          <w:rFonts w:ascii="Palatino Linotype" w:hAnsi="Palatino Linotype" w:cstheme="minorHAnsi"/>
          <w:sz w:val="24"/>
          <w:szCs w:val="24"/>
          <w:lang w:val="en-GB"/>
        </w:rPr>
        <w:t>inter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>linked accredited courses, which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have</w:t>
      </w:r>
      <w:r w:rsidR="00317F7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already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sent around</w:t>
      </w:r>
      <w:r w:rsidR="007051F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300 future lawyers to teach at public schools</w:t>
      </w:r>
      <w:r w:rsidR="00E628D8" w:rsidRPr="00AD312F">
        <w:rPr>
          <w:rFonts w:ascii="Palatino Linotype" w:hAnsi="Palatino Linotype" w:cstheme="minorHAnsi"/>
          <w:sz w:val="24"/>
          <w:szCs w:val="24"/>
          <w:lang w:val="en-GB"/>
        </w:rPr>
        <w:t>, and following activities of the</w:t>
      </w:r>
      <w:r w:rsidR="008A6AB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Street Law</w:t>
      </w:r>
      <w:r w:rsidR="00E628D8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alumni</w:t>
      </w:r>
      <w:r w:rsidR="007051F7" w:rsidRPr="00AD312F">
        <w:rPr>
          <w:rFonts w:ascii="Palatino Linotype" w:hAnsi="Palatino Linotype" w:cstheme="minorHAnsi"/>
          <w:sz w:val="24"/>
          <w:szCs w:val="24"/>
          <w:lang w:val="en-GB"/>
        </w:rPr>
        <w:t>.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883B30" w:rsidRPr="00AD312F">
        <w:rPr>
          <w:rFonts w:ascii="Palatino Linotype" w:hAnsi="Palatino Linotype" w:cstheme="minorHAnsi"/>
          <w:sz w:val="24"/>
          <w:szCs w:val="24"/>
          <w:lang w:val="en-GB"/>
        </w:rPr>
        <w:t>Street Law activities are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run by a team of </w:t>
      </w:r>
      <w:r w:rsidR="000F69C7" w:rsidRPr="00AD312F">
        <w:rPr>
          <w:rFonts w:ascii="Palatino Linotype" w:hAnsi="Palatino Linotype" w:cstheme="minorHAnsi"/>
          <w:sz w:val="24"/>
          <w:szCs w:val="24"/>
          <w:lang w:val="en-GB"/>
        </w:rPr>
        <w:t>about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15 </w:t>
      </w:r>
      <w:r w:rsidR="008A6ABC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alumni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of the </w:t>
      </w:r>
      <w:r w:rsidR="00883B30" w:rsidRPr="00AD312F">
        <w:rPr>
          <w:rFonts w:ascii="Palatino Linotype" w:hAnsi="Palatino Linotype" w:cstheme="minorHAnsi"/>
          <w:sz w:val="24"/>
          <w:szCs w:val="24"/>
          <w:lang w:val="en-GB"/>
        </w:rPr>
        <w:t>basic course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, </w:t>
      </w:r>
      <w:r w:rsidR="00B9694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consisting of 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>current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law school students, young lawyers in practice and </w:t>
      </w:r>
      <w:r w:rsidR="000F69C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academics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employed by the university.</w:t>
      </w:r>
      <w:r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11"/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The original aim, to increase legal literacy of u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pper-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lastRenderedPageBreak/>
        <w:t>secondary school students ha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,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over the years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,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been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expanded and now 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>involves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0F69C7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number of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socially-challenged groups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–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the elderly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>, members of the Roma minority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and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prisoners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. Our view is that everyone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may 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>need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and certainly deserves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improved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legal awareness and </w:t>
      </w:r>
      <w:r w:rsidR="00697A1A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alumni 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certainly benefit from the experience of working with different groups and in challenging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>environments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.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The team offers 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>mock trials for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groups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of non-lawyers, 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>publish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>es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teaching materials and build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public database</w:t>
      </w:r>
      <w:r w:rsidR="00F408E5"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of tested lesson plans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>.</w:t>
      </w:r>
      <w:r w:rsidR="00B50FC4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12"/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>It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>train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school teachers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>, help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school classes to attend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real 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court hearings </w:t>
      </w:r>
      <w:r w:rsidR="00044C0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and 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>run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044C05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 mock trial </w:t>
      </w:r>
      <w:r w:rsidR="00B50FC4" w:rsidRPr="00AD312F">
        <w:rPr>
          <w:rFonts w:ascii="Palatino Linotype" w:hAnsi="Palatino Linotype" w:cstheme="minorHAnsi"/>
          <w:sz w:val="24"/>
          <w:szCs w:val="24"/>
          <w:lang w:val="en-GB"/>
        </w:rPr>
        <w:t>competition among Czech secondary schools</w:t>
      </w:r>
      <w:r w:rsidR="00044C05" w:rsidRPr="00AD312F">
        <w:rPr>
          <w:rFonts w:ascii="Palatino Linotype" w:hAnsi="Palatino Linotype" w:cstheme="minorHAnsi"/>
          <w:sz w:val="24"/>
          <w:szCs w:val="24"/>
          <w:lang w:val="en-GB"/>
        </w:rPr>
        <w:t>.</w:t>
      </w:r>
      <w:r w:rsidR="00044C05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13"/>
      </w:r>
    </w:p>
    <w:p w:rsidR="00CB21B9" w:rsidRPr="00AD312F" w:rsidRDefault="00F408E5" w:rsidP="00AD312F">
      <w:pPr>
        <w:spacing w:after="0" w:line="480" w:lineRule="auto"/>
        <w:jc w:val="both"/>
        <w:rPr>
          <w:rFonts w:ascii="Palatino Linotype" w:hAnsi="Palatino Linotype" w:cstheme="minorHAnsi"/>
          <w:sz w:val="24"/>
          <w:szCs w:val="24"/>
          <w:lang w:val="en-GB"/>
        </w:rPr>
      </w:pPr>
      <w:r w:rsidRPr="00AD312F">
        <w:rPr>
          <w:rFonts w:ascii="Palatino Linotype" w:hAnsi="Palatino Linotype" w:cstheme="minorHAnsi"/>
          <w:sz w:val="24"/>
          <w:szCs w:val="24"/>
          <w:lang w:val="en-GB"/>
        </w:rPr>
        <w:t>In its</w:t>
      </w:r>
      <w:r w:rsidR="00917D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ninth season and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now running a record </w:t>
      </w:r>
      <w:r w:rsidR="00917D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number of 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>projects</w:t>
      </w:r>
      <w:r w:rsidR="00917D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, </w:t>
      </w:r>
      <w:r w:rsidRPr="00AD312F">
        <w:rPr>
          <w:rFonts w:ascii="Palatino Linotype" w:hAnsi="Palatino Linotype" w:cstheme="minorHAnsi"/>
          <w:sz w:val="24"/>
          <w:szCs w:val="24"/>
          <w:lang w:val="en-GB"/>
        </w:rPr>
        <w:t>the Charles University Street Law team continues to develop its work and still faces numerous</w:t>
      </w:r>
      <w:r w:rsidR="00F20EB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917D23" w:rsidRPr="00AD312F">
        <w:rPr>
          <w:rFonts w:ascii="Palatino Linotype" w:hAnsi="Palatino Linotype" w:cstheme="minorHAnsi"/>
          <w:sz w:val="24"/>
          <w:szCs w:val="24"/>
          <w:lang w:val="en-GB"/>
        </w:rPr>
        <w:t>challenges</w:t>
      </w:r>
      <w:r w:rsidR="00F20EB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. The first and foremost is to keep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the </w:t>
      </w:r>
      <w:r w:rsidR="00F20EBB" w:rsidRPr="00AD312F">
        <w:rPr>
          <w:rFonts w:ascii="Palatino Linotype" w:hAnsi="Palatino Linotype" w:cstheme="minorHAnsi"/>
          <w:sz w:val="24"/>
          <w:szCs w:val="24"/>
          <w:lang w:val="en-GB"/>
        </w:rPr>
        <w:t>team large enough to manage all th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e work, but yet still friendly and </w:t>
      </w:r>
      <w:r w:rsidR="00F20EBB" w:rsidRPr="00AD312F">
        <w:rPr>
          <w:rFonts w:ascii="Palatino Linotype" w:hAnsi="Palatino Linotype" w:cstheme="minorHAnsi"/>
          <w:sz w:val="24"/>
          <w:szCs w:val="24"/>
          <w:lang w:val="en-GB"/>
        </w:rPr>
        <w:t>cooperat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>ive,</w:t>
      </w:r>
      <w:r w:rsidR="00F20EB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keeping the 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>‘</w:t>
      </w:r>
      <w:r w:rsidR="00F20EBB" w:rsidRPr="00AD312F">
        <w:rPr>
          <w:rFonts w:ascii="Palatino Linotype" w:hAnsi="Palatino Linotype" w:cstheme="minorHAnsi"/>
          <w:sz w:val="24"/>
          <w:szCs w:val="24"/>
          <w:lang w:val="en-GB"/>
        </w:rPr>
        <w:t>student spirit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>’</w:t>
      </w:r>
      <w:r w:rsidR="00F20EB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, since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it runs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on </w:t>
      </w:r>
      <w:r w:rsidR="00B1306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>voluntary basis and want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its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>members to feel wel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come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in the team. 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Apart from the team members, who are all doing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Street Law 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for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at least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couple of years, 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there are also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>newcomers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joining an extended Street Law team.</w:t>
      </w:r>
      <w:r w:rsidR="000C2565" w:rsidRPr="00AD312F">
        <w:rPr>
          <w:rStyle w:val="FootnoteReference"/>
          <w:rFonts w:ascii="Palatino Linotype" w:hAnsi="Palatino Linotype" w:cstheme="minorHAnsi"/>
          <w:sz w:val="24"/>
          <w:szCs w:val="24"/>
          <w:lang w:val="en-GB"/>
        </w:rPr>
        <w:footnoteReference w:id="14"/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Both 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these groups require attention of the head of the team and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need </w:t>
      </w:r>
      <w:r w:rsidR="00282F1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to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>feel that they learn something new and contribute to Street Law aims</w:t>
      </w:r>
      <w:r w:rsidR="000C2565" w:rsidRPr="00AD312F">
        <w:rPr>
          <w:rFonts w:ascii="Palatino Linotype" w:hAnsi="Palatino Linotype" w:cstheme="minorHAnsi"/>
          <w:sz w:val="24"/>
          <w:szCs w:val="24"/>
          <w:lang w:val="en-GB"/>
        </w:rPr>
        <w:t>.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Similarly,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the programme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>struggle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>s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to find balance between concentrating on working with non-lawyers and investing time and energy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lastRenderedPageBreak/>
        <w:t xml:space="preserve">into development of the Street Law team. Which target group is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the </w:t>
      </w:r>
      <w:r w:rsidR="00CB21B9" w:rsidRPr="00AD312F">
        <w:rPr>
          <w:rFonts w:ascii="Palatino Linotype" w:hAnsi="Palatino Linotype" w:cstheme="minorHAnsi"/>
          <w:sz w:val="24"/>
          <w:szCs w:val="24"/>
          <w:lang w:val="en-GB"/>
        </w:rPr>
        <w:t>true priority, non-lawyers, or young lawyers doing Street Law?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The answer to this question differs not only among Street Law programmes, but also 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>within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teams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>.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Both alternatives are praiseworthy, but to reach true symbioses is not as 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>easy as one might</w:t>
      </w:r>
      <w:r w:rsidR="00217DDE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think.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E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ither way, as long as </w:t>
      </w:r>
      <w:r w:rsidR="006F6C92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the Street Law programme 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helps </w:t>
      </w:r>
      <w:r w:rsidR="00250FCB" w:rsidRPr="00AD312F">
        <w:rPr>
          <w:rFonts w:ascii="Palatino Linotype" w:hAnsi="Palatino Linotype" w:cstheme="minorHAnsi"/>
          <w:sz w:val="24"/>
          <w:szCs w:val="24"/>
          <w:lang w:val="en-GB"/>
        </w:rPr>
        <w:t>increasing legal literary, it is a win/win situation for all.</w:t>
      </w:r>
      <w:r w:rsidR="00D11423" w:rsidRPr="00AD312F">
        <w:rPr>
          <w:rFonts w:ascii="Palatino Linotype" w:hAnsi="Palatino Linotype" w:cstheme="minorHAnsi"/>
          <w:sz w:val="24"/>
          <w:szCs w:val="24"/>
          <w:lang w:val="en-GB"/>
        </w:rPr>
        <w:t xml:space="preserve"> </w:t>
      </w:r>
    </w:p>
    <w:sectPr w:rsidR="00CB21B9" w:rsidRPr="00AD312F" w:rsidSect="00676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A7" w:rsidRDefault="005640A7" w:rsidP="00C21D04">
      <w:pPr>
        <w:spacing w:after="0" w:line="240" w:lineRule="auto"/>
      </w:pPr>
      <w:r>
        <w:separator/>
      </w:r>
    </w:p>
  </w:endnote>
  <w:endnote w:type="continuationSeparator" w:id="0">
    <w:p w:rsidR="005640A7" w:rsidRDefault="005640A7" w:rsidP="00C2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1" w:rsidRDefault="00676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53871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76151" w:rsidRDefault="006761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p>
    </w:sdtContent>
  </w:sdt>
  <w:p w:rsidR="00676151" w:rsidRDefault="00676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1" w:rsidRDefault="00676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A7" w:rsidRDefault="005640A7" w:rsidP="00C21D04">
      <w:pPr>
        <w:spacing w:after="0" w:line="240" w:lineRule="auto"/>
      </w:pPr>
      <w:r>
        <w:separator/>
      </w:r>
    </w:p>
  </w:footnote>
  <w:footnote w:type="continuationSeparator" w:id="0">
    <w:p w:rsidR="005640A7" w:rsidRDefault="005640A7" w:rsidP="00C21D04">
      <w:pPr>
        <w:spacing w:after="0" w:line="240" w:lineRule="auto"/>
      </w:pPr>
      <w:r>
        <w:continuationSeparator/>
      </w:r>
    </w:p>
  </w:footnote>
  <w:footnote w:id="1">
    <w:p w:rsidR="00C21D04" w:rsidRPr="00D11423" w:rsidRDefault="00C21D04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See https://www.winstonchurchill.org/resources/quotes/the-worst-form-of-government</w:t>
      </w:r>
      <w:r w:rsidR="005E4A40">
        <w:rPr>
          <w:rFonts w:cstheme="minorHAnsi"/>
          <w:lang w:val="en-GB"/>
        </w:rPr>
        <w:t>.</w:t>
      </w:r>
    </w:p>
  </w:footnote>
  <w:footnote w:id="2">
    <w:p w:rsidR="00D66C06" w:rsidRPr="00D11423" w:rsidRDefault="00D66C06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</w:t>
      </w:r>
      <w:proofErr w:type="spellStart"/>
      <w:r w:rsidRPr="00D11423">
        <w:rPr>
          <w:rFonts w:cstheme="minorHAnsi"/>
          <w:lang w:val="en-GB"/>
        </w:rPr>
        <w:t>Zakaria</w:t>
      </w:r>
      <w:proofErr w:type="spellEnd"/>
      <w:r w:rsidRPr="00D11423">
        <w:rPr>
          <w:rFonts w:cstheme="minorHAnsi"/>
          <w:lang w:val="en-GB"/>
        </w:rPr>
        <w:t xml:space="preserve">, Fareed. The Future of Freedom: Illiberal Democracy at Home and Abroad. W.W. Norton &amp; </w:t>
      </w:r>
      <w:proofErr w:type="gramStart"/>
      <w:r w:rsidRPr="00D11423">
        <w:rPr>
          <w:rFonts w:cstheme="minorHAnsi"/>
          <w:lang w:val="en-GB"/>
        </w:rPr>
        <w:t>Company,  2003</w:t>
      </w:r>
      <w:proofErr w:type="gramEnd"/>
      <w:r w:rsidRPr="00D11423">
        <w:rPr>
          <w:rFonts w:cstheme="minorHAnsi"/>
          <w:lang w:val="en-GB"/>
        </w:rPr>
        <w:t>.</w:t>
      </w:r>
    </w:p>
  </w:footnote>
  <w:footnote w:id="3">
    <w:p w:rsidR="00BC0190" w:rsidRPr="00D11423" w:rsidRDefault="00BC0190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Psychologist Carol </w:t>
      </w:r>
      <w:proofErr w:type="spellStart"/>
      <w:r w:rsidRPr="00D11423">
        <w:rPr>
          <w:rFonts w:cstheme="minorHAnsi"/>
          <w:lang w:val="en-GB"/>
        </w:rPr>
        <w:t>Dweck</w:t>
      </w:r>
      <w:proofErr w:type="spellEnd"/>
      <w:r w:rsidRPr="00D11423">
        <w:rPr>
          <w:rFonts w:cstheme="minorHAnsi"/>
          <w:lang w:val="en-GB"/>
        </w:rPr>
        <w:t xml:space="preserve"> considers our ability to grow and learn from mistakes one of the key element</w:t>
      </w:r>
      <w:r w:rsidR="005E4A40">
        <w:rPr>
          <w:rFonts w:cstheme="minorHAnsi"/>
          <w:lang w:val="en-GB"/>
        </w:rPr>
        <w:t>s</w:t>
      </w:r>
      <w:r w:rsidRPr="00D11423">
        <w:rPr>
          <w:rFonts w:cstheme="minorHAnsi"/>
          <w:lang w:val="en-GB"/>
        </w:rPr>
        <w:t xml:space="preserve"> of human development. See </w:t>
      </w:r>
      <w:proofErr w:type="spellStart"/>
      <w:r w:rsidRPr="00D11423">
        <w:rPr>
          <w:rFonts w:cstheme="minorHAnsi"/>
          <w:lang w:val="en-GB"/>
        </w:rPr>
        <w:t>Dweck</w:t>
      </w:r>
      <w:proofErr w:type="spellEnd"/>
      <w:r w:rsidRPr="00D11423">
        <w:rPr>
          <w:rFonts w:cstheme="minorHAnsi"/>
          <w:lang w:val="en-GB"/>
        </w:rPr>
        <w:t xml:space="preserve">, Carol. </w:t>
      </w:r>
      <w:r w:rsidR="001E6F80" w:rsidRPr="00D11423">
        <w:rPr>
          <w:rFonts w:cstheme="minorHAnsi"/>
          <w:lang w:val="en-GB"/>
        </w:rPr>
        <w:t xml:space="preserve">Mindset: Changing the Way You Think to </w:t>
      </w:r>
      <w:proofErr w:type="spellStart"/>
      <w:r w:rsidR="001E6F80" w:rsidRPr="00D11423">
        <w:rPr>
          <w:rFonts w:cstheme="minorHAnsi"/>
          <w:lang w:val="en-GB"/>
        </w:rPr>
        <w:t>Fulfill</w:t>
      </w:r>
      <w:proofErr w:type="spellEnd"/>
      <w:r w:rsidR="001E6F80" w:rsidRPr="00D11423">
        <w:rPr>
          <w:rFonts w:cstheme="minorHAnsi"/>
          <w:lang w:val="en-GB"/>
        </w:rPr>
        <w:t xml:space="preserve"> Your Potential. Little, Brown Book Group Limited, 2017.</w:t>
      </w:r>
    </w:p>
  </w:footnote>
  <w:footnote w:id="4">
    <w:p w:rsidR="00BC0190" w:rsidRPr="00D11423" w:rsidRDefault="00BC0190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Not everybody be</w:t>
      </w:r>
      <w:r w:rsidR="0034787C">
        <w:rPr>
          <w:rFonts w:cstheme="minorHAnsi"/>
          <w:lang w:val="en-GB"/>
        </w:rPr>
        <w:t>lieves that people are able to “handle themselves”</w:t>
      </w:r>
      <w:r w:rsidRPr="00D11423">
        <w:rPr>
          <w:rFonts w:cstheme="minorHAnsi"/>
          <w:lang w:val="en-GB"/>
        </w:rPr>
        <w:t xml:space="preserve">, not to mention to govern the matters of their community together. For a thought-provoking literary capture of this view, see </w:t>
      </w:r>
      <w:r w:rsidR="001E6F80" w:rsidRPr="00D11423">
        <w:rPr>
          <w:rFonts w:cstheme="minorHAnsi"/>
          <w:lang w:val="en-GB"/>
        </w:rPr>
        <w:t>a chapter “The Grand Inquisitor</w:t>
      </w:r>
      <w:r w:rsidR="001E6F80" w:rsidRPr="00D11423">
        <w:rPr>
          <w:rFonts w:cstheme="minorHAnsi"/>
          <w:lang w:val="en-US"/>
        </w:rPr>
        <w:t xml:space="preserve">” in </w:t>
      </w:r>
      <w:r w:rsidR="00697A1A" w:rsidRPr="00697A1A">
        <w:rPr>
          <w:rFonts w:cstheme="minorHAnsi"/>
          <w:lang w:val="en-US"/>
        </w:rPr>
        <w:t>Fyodor Dostoevsky</w:t>
      </w:r>
      <w:r w:rsidR="001E6F80" w:rsidRPr="00D11423">
        <w:rPr>
          <w:rFonts w:cstheme="minorHAnsi"/>
          <w:lang w:val="en-US"/>
        </w:rPr>
        <w:t xml:space="preserve">’s novel The </w:t>
      </w:r>
      <w:r w:rsidR="001E6F80" w:rsidRPr="00D11423">
        <w:rPr>
          <w:rFonts w:cstheme="minorHAnsi"/>
          <w:lang w:val="en-GB"/>
        </w:rPr>
        <w:t>brothers Karamazov.</w:t>
      </w:r>
      <w:r w:rsidRPr="00D11423">
        <w:rPr>
          <w:rFonts w:cstheme="minorHAnsi"/>
          <w:lang w:val="en-GB"/>
        </w:rPr>
        <w:t xml:space="preserve"> </w:t>
      </w:r>
      <w:r w:rsidR="00697A1A" w:rsidRPr="00697A1A">
        <w:rPr>
          <w:rFonts w:cstheme="minorHAnsi"/>
          <w:lang w:val="en-GB"/>
        </w:rPr>
        <w:t>Dostoevsky</w:t>
      </w:r>
      <w:r w:rsidR="00603732">
        <w:rPr>
          <w:rFonts w:cstheme="minorHAnsi"/>
          <w:lang w:val="en-GB"/>
        </w:rPr>
        <w:t xml:space="preserve">, </w:t>
      </w:r>
      <w:r w:rsidR="00603732" w:rsidRPr="00697A1A">
        <w:rPr>
          <w:rFonts w:cstheme="minorHAnsi"/>
          <w:lang w:val="en-GB"/>
        </w:rPr>
        <w:t>Fyodor</w:t>
      </w:r>
      <w:r w:rsidR="00603732">
        <w:rPr>
          <w:rFonts w:cstheme="minorHAnsi"/>
          <w:lang w:val="en-GB"/>
        </w:rPr>
        <w:t xml:space="preserve">. </w:t>
      </w:r>
      <w:r w:rsidR="00697A1A" w:rsidRPr="00697A1A">
        <w:rPr>
          <w:rFonts w:cstheme="minorHAnsi"/>
          <w:lang w:val="en-GB"/>
        </w:rPr>
        <w:t>The brothers Karamazov: a novel in four parts with epilogue. New York: F</w:t>
      </w:r>
      <w:r w:rsidR="00603732">
        <w:rPr>
          <w:rFonts w:cstheme="minorHAnsi"/>
          <w:lang w:val="en-GB"/>
        </w:rPr>
        <w:t>arrar, Straus and Giroux, 2002.</w:t>
      </w:r>
    </w:p>
  </w:footnote>
  <w:footnote w:id="5">
    <w:p w:rsidR="00D8489B" w:rsidRPr="005E4A40" w:rsidRDefault="00D8489B" w:rsidP="00D11423">
      <w:pPr>
        <w:pStyle w:val="FootnoteText"/>
        <w:rPr>
          <w:rFonts w:cstheme="minorHAnsi"/>
          <w:i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</w:t>
      </w:r>
      <w:r w:rsidR="00A16862">
        <w:rPr>
          <w:rFonts w:cstheme="minorHAnsi"/>
          <w:lang w:val="en-GB"/>
        </w:rPr>
        <w:t xml:space="preserve">Havel, </w:t>
      </w:r>
      <w:proofErr w:type="spellStart"/>
      <w:r w:rsidR="00A16862">
        <w:rPr>
          <w:rFonts w:cstheme="minorHAnsi"/>
          <w:lang w:val="en-GB"/>
        </w:rPr>
        <w:t>Václav</w:t>
      </w:r>
      <w:proofErr w:type="spellEnd"/>
      <w:r w:rsidR="00A16862">
        <w:rPr>
          <w:rFonts w:cstheme="minorHAnsi"/>
          <w:lang w:val="en-GB"/>
        </w:rPr>
        <w:t xml:space="preserve">. </w:t>
      </w:r>
      <w:r w:rsidR="00E34A20">
        <w:rPr>
          <w:rFonts w:cstheme="minorHAnsi"/>
          <w:lang w:val="en-GB"/>
        </w:rPr>
        <w:t>Conspirators, 1971.</w:t>
      </w:r>
    </w:p>
  </w:footnote>
  <w:footnote w:id="6">
    <w:p w:rsidR="009D29D2" w:rsidRPr="00D11423" w:rsidRDefault="009D29D2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</w:t>
      </w:r>
      <w:r w:rsidR="00AB230D" w:rsidRPr="00D11423">
        <w:rPr>
          <w:rFonts w:cstheme="minorHAnsi"/>
          <w:lang w:val="en-GB"/>
        </w:rPr>
        <w:t xml:space="preserve">There are only minor exceptions such as the right to be elected a member of an upper chamber </w:t>
      </w:r>
      <w:r w:rsidRPr="00D11423">
        <w:rPr>
          <w:rFonts w:cstheme="minorHAnsi"/>
          <w:lang w:val="en-GB"/>
        </w:rPr>
        <w:t>of a parliament</w:t>
      </w:r>
      <w:r w:rsidR="00AB230D" w:rsidRPr="00D11423">
        <w:rPr>
          <w:rFonts w:cstheme="minorHAnsi"/>
          <w:lang w:val="en-GB"/>
        </w:rPr>
        <w:t>, which is typically higher than for the lower chamber.</w:t>
      </w:r>
    </w:p>
  </w:footnote>
  <w:footnote w:id="7">
    <w:p w:rsidR="00BC1742" w:rsidRPr="00D11423" w:rsidRDefault="00BC1742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Apart from legal literacy, </w:t>
      </w:r>
      <w:r w:rsidR="00D7325F" w:rsidRPr="00D11423">
        <w:rPr>
          <w:rFonts w:cstheme="minorHAnsi"/>
          <w:lang w:val="en-GB"/>
        </w:rPr>
        <w:t xml:space="preserve">quality citizenship education should </w:t>
      </w:r>
      <w:r w:rsidRPr="00D11423">
        <w:rPr>
          <w:rFonts w:cstheme="minorHAnsi"/>
          <w:lang w:val="en-GB"/>
        </w:rPr>
        <w:t xml:space="preserve">also </w:t>
      </w:r>
      <w:r w:rsidR="00D7325F" w:rsidRPr="00D11423">
        <w:rPr>
          <w:rFonts w:cstheme="minorHAnsi"/>
          <w:lang w:val="en-GB"/>
        </w:rPr>
        <w:t xml:space="preserve">increase </w:t>
      </w:r>
      <w:r w:rsidRPr="00D11423">
        <w:rPr>
          <w:rFonts w:cstheme="minorHAnsi"/>
          <w:lang w:val="en-GB"/>
        </w:rPr>
        <w:t>political literacy, media literacy, information literacy</w:t>
      </w:r>
      <w:r w:rsidR="00D7325F" w:rsidRPr="00D11423">
        <w:rPr>
          <w:rFonts w:cstheme="minorHAnsi"/>
          <w:lang w:val="en-GB"/>
        </w:rPr>
        <w:t xml:space="preserve"> and </w:t>
      </w:r>
      <w:r w:rsidRPr="00D11423">
        <w:rPr>
          <w:rFonts w:cstheme="minorHAnsi"/>
          <w:lang w:val="en-GB"/>
        </w:rPr>
        <w:t xml:space="preserve">financial literacy. </w:t>
      </w:r>
    </w:p>
  </w:footnote>
  <w:footnote w:id="8">
    <w:p w:rsidR="00747F8D" w:rsidRPr="00D11423" w:rsidRDefault="00747F8D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</w:t>
      </w:r>
      <w:r w:rsidR="00A16862" w:rsidRPr="00A16862">
        <w:rPr>
          <w:rFonts w:cstheme="minorHAnsi"/>
          <w:lang w:val="en-GB"/>
        </w:rPr>
        <w:t>Grimes, Richard, McQuoid-Mason, David, O'Brien, Ed, Zimmer, Judy</w:t>
      </w:r>
      <w:r w:rsidR="00A16862">
        <w:rPr>
          <w:rFonts w:cstheme="minorHAnsi"/>
          <w:lang w:val="en-GB"/>
        </w:rPr>
        <w:t xml:space="preserve">. </w:t>
      </w:r>
      <w:r w:rsidR="00A16862" w:rsidRPr="00A16862">
        <w:rPr>
          <w:rFonts w:cstheme="minorHAnsi"/>
          <w:lang w:val="en-GB"/>
        </w:rPr>
        <w:t>Street Law and Social Justice Education. in Bloch</w:t>
      </w:r>
      <w:r w:rsidR="00A16862">
        <w:rPr>
          <w:rFonts w:cstheme="minorHAnsi"/>
          <w:lang w:val="en-GB"/>
        </w:rPr>
        <w:t>, Frank</w:t>
      </w:r>
      <w:r w:rsidR="00A16862" w:rsidRPr="00A16862">
        <w:rPr>
          <w:rFonts w:cstheme="minorHAnsi"/>
          <w:lang w:val="en-GB"/>
        </w:rPr>
        <w:t xml:space="preserve"> (ed.)</w:t>
      </w:r>
      <w:r w:rsidR="00A16862">
        <w:rPr>
          <w:rFonts w:cstheme="minorHAnsi"/>
          <w:lang w:val="en-GB"/>
        </w:rPr>
        <w:t xml:space="preserve">. </w:t>
      </w:r>
      <w:r w:rsidR="00A16862" w:rsidRPr="00A16862">
        <w:rPr>
          <w:rFonts w:cstheme="minorHAnsi"/>
          <w:lang w:val="en-GB"/>
        </w:rPr>
        <w:t xml:space="preserve">The global clinical movement: educating lawyers for social justice. Oxford University Press, </w:t>
      </w:r>
      <w:r w:rsidR="00A16862">
        <w:rPr>
          <w:rFonts w:cstheme="minorHAnsi"/>
          <w:lang w:val="en-GB"/>
        </w:rPr>
        <w:t>2011</w:t>
      </w:r>
      <w:r w:rsidR="00A16862" w:rsidRPr="00A16862">
        <w:rPr>
          <w:rFonts w:cstheme="minorHAnsi"/>
          <w:lang w:val="en-GB"/>
        </w:rPr>
        <w:t>.</w:t>
      </w:r>
    </w:p>
  </w:footnote>
  <w:footnote w:id="9">
    <w:p w:rsidR="00D7325F" w:rsidRPr="00D11423" w:rsidRDefault="00D7325F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See Zariski, Archie. What is legal literacy? Available here: http://www.athabascau.ca/syllabi/lgst/docs/LGST249_sample.pdf.</w:t>
      </w:r>
    </w:p>
  </w:footnote>
  <w:footnote w:id="10">
    <w:p w:rsidR="000718AA" w:rsidRPr="00D11423" w:rsidRDefault="000718AA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="005E4A40">
        <w:rPr>
          <w:rFonts w:cstheme="minorHAnsi"/>
          <w:lang w:val="en-GB"/>
        </w:rPr>
        <w:t xml:space="preserve"> I ha</w:t>
      </w:r>
      <w:r w:rsidRPr="00D11423">
        <w:rPr>
          <w:rFonts w:cstheme="minorHAnsi"/>
          <w:lang w:val="en-GB"/>
        </w:rPr>
        <w:t xml:space="preserve">ve chosen it as </w:t>
      </w:r>
      <w:r w:rsidR="00A16862" w:rsidRPr="00D11423">
        <w:rPr>
          <w:rFonts w:cstheme="minorHAnsi"/>
          <w:lang w:val="en-GB"/>
        </w:rPr>
        <w:t>an</w:t>
      </w:r>
      <w:r w:rsidRPr="00D11423">
        <w:rPr>
          <w:rFonts w:cstheme="minorHAnsi"/>
          <w:lang w:val="en-GB"/>
        </w:rPr>
        <w:t xml:space="preserve"> example for this text not because I consider it the b</w:t>
      </w:r>
      <w:r w:rsidR="005E4A40">
        <w:rPr>
          <w:rFonts w:cstheme="minorHAnsi"/>
          <w:lang w:val="en-GB"/>
        </w:rPr>
        <w:t>est in the world, but because I a</w:t>
      </w:r>
      <w:r w:rsidRPr="00D11423">
        <w:rPr>
          <w:rFonts w:cstheme="minorHAnsi"/>
          <w:lang w:val="en-GB"/>
        </w:rPr>
        <w:t xml:space="preserve">m the most familiar with it, since I have been running it from the very first steps. The fact that it does not belong to large, well-established programmes running for decades may serve as an advantage, since </w:t>
      </w:r>
      <w:r w:rsidR="00E628D8">
        <w:rPr>
          <w:rFonts w:cstheme="minorHAnsi"/>
          <w:lang w:val="en-GB"/>
        </w:rPr>
        <w:t xml:space="preserve">on one hand </w:t>
      </w:r>
      <w:r w:rsidRPr="00D11423">
        <w:rPr>
          <w:rFonts w:cstheme="minorHAnsi"/>
          <w:lang w:val="en-GB"/>
        </w:rPr>
        <w:t>there is still much to improve</w:t>
      </w:r>
      <w:r w:rsidR="00E628D8">
        <w:rPr>
          <w:rFonts w:cstheme="minorHAnsi"/>
          <w:lang w:val="en-GB"/>
        </w:rPr>
        <w:t xml:space="preserve">, but on the other hand its activities expanded quite </w:t>
      </w:r>
      <w:r w:rsidR="003C36C2">
        <w:rPr>
          <w:rFonts w:cstheme="minorHAnsi"/>
          <w:lang w:val="en-GB"/>
        </w:rPr>
        <w:t>promptly</w:t>
      </w:r>
      <w:r w:rsidR="00E628D8">
        <w:rPr>
          <w:rFonts w:cstheme="minorHAnsi"/>
          <w:lang w:val="en-GB"/>
        </w:rPr>
        <w:t>, whi</w:t>
      </w:r>
      <w:r w:rsidR="003C36C2">
        <w:rPr>
          <w:rFonts w:cstheme="minorHAnsi"/>
          <w:lang w:val="en-GB"/>
        </w:rPr>
        <w:t>ch might be inspiring for those</w:t>
      </w:r>
      <w:r w:rsidR="00E628D8">
        <w:rPr>
          <w:rFonts w:cstheme="minorHAnsi"/>
          <w:lang w:val="en-GB"/>
        </w:rPr>
        <w:t xml:space="preserve"> who are thinking about starting Street Law </w:t>
      </w:r>
      <w:r w:rsidR="003C36C2">
        <w:rPr>
          <w:rFonts w:cstheme="minorHAnsi"/>
          <w:lang w:val="en-GB"/>
        </w:rPr>
        <w:t xml:space="preserve">programme </w:t>
      </w:r>
      <w:r w:rsidR="00697A1A">
        <w:rPr>
          <w:rFonts w:cstheme="minorHAnsi"/>
          <w:lang w:val="en-GB"/>
        </w:rPr>
        <w:t>at their universities.</w:t>
      </w:r>
    </w:p>
  </w:footnote>
  <w:footnote w:id="11">
    <w:p w:rsidR="001B037F" w:rsidRPr="00D11423" w:rsidRDefault="001B037F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The head of the programme is a senior assistant and there is one assistant and one Ph.D. student.</w:t>
      </w:r>
      <w:r w:rsidR="00AB230D" w:rsidRPr="00D11423">
        <w:rPr>
          <w:rFonts w:cstheme="minorHAnsi"/>
          <w:lang w:val="en-GB"/>
        </w:rPr>
        <w:t xml:space="preserve"> The fact that the programme is </w:t>
      </w:r>
      <w:r w:rsidR="000F69C7" w:rsidRPr="00D11423">
        <w:rPr>
          <w:rFonts w:cstheme="minorHAnsi"/>
          <w:lang w:val="en-GB"/>
        </w:rPr>
        <w:t>co-</w:t>
      </w:r>
      <w:r w:rsidR="00AB230D" w:rsidRPr="00D11423">
        <w:rPr>
          <w:rFonts w:cstheme="minorHAnsi"/>
          <w:lang w:val="en-GB"/>
        </w:rPr>
        <w:t xml:space="preserve">run by academic staff employed by the university is essential for continuity and sustainability of the programme. Many Street Law programmes, including a previous one at Charles University, were opened by an NGO </w:t>
      </w:r>
      <w:r w:rsidR="000F69C7" w:rsidRPr="00D11423">
        <w:rPr>
          <w:rFonts w:cstheme="minorHAnsi"/>
          <w:lang w:val="en-GB"/>
        </w:rPr>
        <w:t>and/</w:t>
      </w:r>
      <w:r w:rsidR="00AB230D" w:rsidRPr="00D11423">
        <w:rPr>
          <w:rFonts w:cstheme="minorHAnsi"/>
          <w:lang w:val="en-GB"/>
        </w:rPr>
        <w:t xml:space="preserve">or student unions, which </w:t>
      </w:r>
      <w:r w:rsidR="000F69C7" w:rsidRPr="00D11423">
        <w:rPr>
          <w:rFonts w:cstheme="minorHAnsi"/>
          <w:lang w:val="en-GB"/>
        </w:rPr>
        <w:t xml:space="preserve">for various reasons </w:t>
      </w:r>
      <w:r w:rsidR="00AB230D" w:rsidRPr="00D11423">
        <w:rPr>
          <w:rFonts w:cstheme="minorHAnsi"/>
          <w:lang w:val="en-GB"/>
        </w:rPr>
        <w:t xml:space="preserve">could not support </w:t>
      </w:r>
      <w:r w:rsidR="000F69C7" w:rsidRPr="00D11423">
        <w:rPr>
          <w:rFonts w:cstheme="minorHAnsi"/>
          <w:lang w:val="en-GB"/>
        </w:rPr>
        <w:t xml:space="preserve">them </w:t>
      </w:r>
      <w:r w:rsidR="00AB230D" w:rsidRPr="00D11423">
        <w:rPr>
          <w:rFonts w:cstheme="minorHAnsi"/>
          <w:lang w:val="en-GB"/>
        </w:rPr>
        <w:t>longer than couple of years</w:t>
      </w:r>
      <w:r w:rsidR="00874226" w:rsidRPr="00D11423">
        <w:rPr>
          <w:rFonts w:cstheme="minorHAnsi"/>
          <w:lang w:val="en-GB"/>
        </w:rPr>
        <w:t xml:space="preserve">, after which the programmes </w:t>
      </w:r>
      <w:r w:rsidR="000F69C7" w:rsidRPr="00D11423">
        <w:rPr>
          <w:rFonts w:cstheme="minorHAnsi"/>
          <w:lang w:val="en-GB"/>
        </w:rPr>
        <w:t>ceased</w:t>
      </w:r>
      <w:r w:rsidR="00874226" w:rsidRPr="00D11423">
        <w:rPr>
          <w:rFonts w:cstheme="minorHAnsi"/>
          <w:lang w:val="en-GB"/>
        </w:rPr>
        <w:t xml:space="preserve"> to exist.</w:t>
      </w:r>
      <w:r w:rsidR="00AB230D" w:rsidRPr="00D11423">
        <w:rPr>
          <w:rFonts w:cstheme="minorHAnsi"/>
          <w:lang w:val="en-GB"/>
        </w:rPr>
        <w:t xml:space="preserve"> </w:t>
      </w:r>
    </w:p>
  </w:footnote>
  <w:footnote w:id="12">
    <w:p w:rsidR="00B50FC4" w:rsidRPr="00D11423" w:rsidRDefault="00B50FC4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See http://streetlaw.livepreview.cz/lekce.</w:t>
      </w:r>
    </w:p>
  </w:footnote>
  <w:footnote w:id="13">
    <w:p w:rsidR="00044C05" w:rsidRPr="00D11423" w:rsidRDefault="00044C05" w:rsidP="00D11423">
      <w:pPr>
        <w:pStyle w:val="FootnoteText"/>
        <w:rPr>
          <w:rFonts w:cstheme="minorHAnsi"/>
          <w:lang w:val="en-GB"/>
        </w:rPr>
      </w:pPr>
      <w:r w:rsidRPr="00D11423">
        <w:rPr>
          <w:rStyle w:val="FootnoteReference"/>
          <w:rFonts w:cstheme="minorHAnsi"/>
          <w:lang w:val="en-GB"/>
        </w:rPr>
        <w:footnoteRef/>
      </w:r>
      <w:r w:rsidRPr="00D11423">
        <w:rPr>
          <w:rFonts w:cstheme="minorHAnsi"/>
          <w:lang w:val="en-GB"/>
        </w:rPr>
        <w:t xml:space="preserve"> For more insight into our Street Law programme, see our webpage http://www.streetlaw.eu/. Although it is mostly in Czech, there is a short English version, too.</w:t>
      </w:r>
    </w:p>
  </w:footnote>
  <w:footnote w:id="14">
    <w:p w:rsidR="000C2565" w:rsidRPr="00D11423" w:rsidRDefault="000C2565" w:rsidP="00D11423">
      <w:pPr>
        <w:spacing w:line="240" w:lineRule="auto"/>
        <w:rPr>
          <w:rFonts w:cstheme="minorHAnsi"/>
          <w:sz w:val="20"/>
          <w:szCs w:val="20"/>
          <w:lang w:val="en-GB"/>
        </w:rPr>
      </w:pPr>
      <w:r w:rsidRPr="00D11423">
        <w:rPr>
          <w:rStyle w:val="FootnoteReference"/>
          <w:rFonts w:cstheme="minorHAnsi"/>
          <w:sz w:val="20"/>
          <w:szCs w:val="20"/>
          <w:lang w:val="en-GB"/>
        </w:rPr>
        <w:footnoteRef/>
      </w:r>
      <w:r w:rsidRPr="00D11423">
        <w:rPr>
          <w:rFonts w:cstheme="minorHAnsi"/>
          <w:sz w:val="20"/>
          <w:szCs w:val="20"/>
          <w:lang w:val="en-GB"/>
        </w:rPr>
        <w:t xml:space="preserve"> Apart from 15 older members, who form the Street Law team, there are some 10-15 younger members, who graduated from the basi</w:t>
      </w:r>
      <w:r w:rsidR="005E4A40">
        <w:rPr>
          <w:rFonts w:cstheme="minorHAnsi"/>
          <w:sz w:val="20"/>
          <w:szCs w:val="20"/>
          <w:lang w:val="en-GB"/>
        </w:rPr>
        <w:t>c</w:t>
      </w:r>
      <w:r w:rsidRPr="00D11423">
        <w:rPr>
          <w:rFonts w:cstheme="minorHAnsi"/>
          <w:sz w:val="20"/>
          <w:szCs w:val="20"/>
          <w:lang w:val="en-GB"/>
        </w:rPr>
        <w:t xml:space="preserve"> Street Law course and are helping with follow</w:t>
      </w:r>
      <w:r w:rsidR="005E4A40">
        <w:rPr>
          <w:rFonts w:cstheme="minorHAnsi"/>
          <w:sz w:val="20"/>
          <w:szCs w:val="20"/>
          <w:lang w:val="en-GB"/>
        </w:rPr>
        <w:t xml:space="preserve">-up </w:t>
      </w:r>
      <w:r w:rsidRPr="00D11423">
        <w:rPr>
          <w:rFonts w:cstheme="minorHAnsi"/>
          <w:sz w:val="20"/>
          <w:szCs w:val="20"/>
          <w:lang w:val="en-GB"/>
        </w:rPr>
        <w:t>activities. To recruit more Street Lawyers allows us to do more for the community, but inevitably changes the atmosphere and manageability of the team.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1" w:rsidRDefault="00676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1" w:rsidRDefault="00676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151" w:rsidRDefault="00676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D082E"/>
    <w:multiLevelType w:val="hybridMultilevel"/>
    <w:tmpl w:val="F17CE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68"/>
    <w:rsid w:val="00044C05"/>
    <w:rsid w:val="000578D7"/>
    <w:rsid w:val="000718AA"/>
    <w:rsid w:val="000C2565"/>
    <w:rsid w:val="000C554D"/>
    <w:rsid w:val="000D05C2"/>
    <w:rsid w:val="000E5A89"/>
    <w:rsid w:val="000F69C7"/>
    <w:rsid w:val="001340AF"/>
    <w:rsid w:val="0016643E"/>
    <w:rsid w:val="001801CF"/>
    <w:rsid w:val="001B037F"/>
    <w:rsid w:val="001C0CE3"/>
    <w:rsid w:val="001E6F80"/>
    <w:rsid w:val="00217DDE"/>
    <w:rsid w:val="00250FCB"/>
    <w:rsid w:val="0026640C"/>
    <w:rsid w:val="00282F13"/>
    <w:rsid w:val="002947DC"/>
    <w:rsid w:val="00317F7B"/>
    <w:rsid w:val="00345DB8"/>
    <w:rsid w:val="0034787C"/>
    <w:rsid w:val="003A5F8D"/>
    <w:rsid w:val="003C36C2"/>
    <w:rsid w:val="003E54FC"/>
    <w:rsid w:val="0044211A"/>
    <w:rsid w:val="004B2C39"/>
    <w:rsid w:val="004C34BA"/>
    <w:rsid w:val="004D5ECD"/>
    <w:rsid w:val="00544B76"/>
    <w:rsid w:val="005640A7"/>
    <w:rsid w:val="005A47F6"/>
    <w:rsid w:val="005E4A40"/>
    <w:rsid w:val="00603732"/>
    <w:rsid w:val="00676151"/>
    <w:rsid w:val="00676F39"/>
    <w:rsid w:val="00695B69"/>
    <w:rsid w:val="00697A1A"/>
    <w:rsid w:val="006D2FAA"/>
    <w:rsid w:val="006F6C92"/>
    <w:rsid w:val="007051F7"/>
    <w:rsid w:val="00735212"/>
    <w:rsid w:val="0073703A"/>
    <w:rsid w:val="00747F8D"/>
    <w:rsid w:val="00761509"/>
    <w:rsid w:val="007A2807"/>
    <w:rsid w:val="007E6F68"/>
    <w:rsid w:val="007F2FB1"/>
    <w:rsid w:val="008247EA"/>
    <w:rsid w:val="00860EAC"/>
    <w:rsid w:val="00867E4F"/>
    <w:rsid w:val="00874226"/>
    <w:rsid w:val="00883B30"/>
    <w:rsid w:val="008A6ABC"/>
    <w:rsid w:val="008E5092"/>
    <w:rsid w:val="00917D23"/>
    <w:rsid w:val="009974EC"/>
    <w:rsid w:val="009D29D2"/>
    <w:rsid w:val="00A16862"/>
    <w:rsid w:val="00A47F96"/>
    <w:rsid w:val="00A5302E"/>
    <w:rsid w:val="00A85768"/>
    <w:rsid w:val="00AB230D"/>
    <w:rsid w:val="00AD312F"/>
    <w:rsid w:val="00B1306B"/>
    <w:rsid w:val="00B446A8"/>
    <w:rsid w:val="00B50FC4"/>
    <w:rsid w:val="00B96949"/>
    <w:rsid w:val="00BA173C"/>
    <w:rsid w:val="00BC0190"/>
    <w:rsid w:val="00BC1742"/>
    <w:rsid w:val="00BC22D1"/>
    <w:rsid w:val="00BD0AF7"/>
    <w:rsid w:val="00C21D04"/>
    <w:rsid w:val="00C70E4A"/>
    <w:rsid w:val="00CB21B9"/>
    <w:rsid w:val="00D11423"/>
    <w:rsid w:val="00D269D4"/>
    <w:rsid w:val="00D34CA7"/>
    <w:rsid w:val="00D66C06"/>
    <w:rsid w:val="00D7325F"/>
    <w:rsid w:val="00D8489B"/>
    <w:rsid w:val="00D97F6E"/>
    <w:rsid w:val="00DA550C"/>
    <w:rsid w:val="00DC3ED1"/>
    <w:rsid w:val="00E34A20"/>
    <w:rsid w:val="00E628D8"/>
    <w:rsid w:val="00ED5186"/>
    <w:rsid w:val="00F1325B"/>
    <w:rsid w:val="00F20EBB"/>
    <w:rsid w:val="00F408E5"/>
    <w:rsid w:val="00F6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B6738-F6F9-421A-B589-93AD89CF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A8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D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D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D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4C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E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E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A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7A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151"/>
  </w:style>
  <w:style w:type="paragraph" w:styleId="Footer">
    <w:name w:val="footer"/>
    <w:basedOn w:val="Normal"/>
    <w:link w:val="FooterChar"/>
    <w:uiPriority w:val="99"/>
    <w:unhideWhenUsed/>
    <w:rsid w:val="00676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CE2F-843C-4080-B3F6-90B2A234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Urban</dc:creator>
  <cp:lastModifiedBy>Ay Okpokam</cp:lastModifiedBy>
  <cp:revision>5</cp:revision>
  <dcterms:created xsi:type="dcterms:W3CDTF">2017-09-07T10:37:00Z</dcterms:created>
  <dcterms:modified xsi:type="dcterms:W3CDTF">2017-10-10T16:19:00Z</dcterms:modified>
</cp:coreProperties>
</file>