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237A5" w14:textId="0A7674C7" w:rsidR="00B447E4" w:rsidRPr="001D510A" w:rsidRDefault="00DF584C" w:rsidP="00197016">
      <w:pPr>
        <w:spacing w:after="120" w:line="240" w:lineRule="auto"/>
        <w:jc w:val="center"/>
        <w:rPr>
          <w:rFonts w:ascii="Garamond" w:hAnsi="Garamond"/>
          <w:b/>
          <w:bCs/>
          <w:sz w:val="32"/>
          <w:szCs w:val="32"/>
        </w:rPr>
      </w:pPr>
      <w:r w:rsidRPr="001D510A">
        <w:rPr>
          <w:rFonts w:ascii="Garamond" w:hAnsi="Garamond"/>
          <w:b/>
          <w:bCs/>
          <w:sz w:val="32"/>
          <w:szCs w:val="32"/>
        </w:rPr>
        <w:t>Ethnic Disparities in Sentencing in England and Wales:</w:t>
      </w:r>
    </w:p>
    <w:p w14:paraId="0219440F" w14:textId="7D8F928E" w:rsidR="00DF584C" w:rsidRPr="001D510A" w:rsidRDefault="00125A8D" w:rsidP="00197016">
      <w:pPr>
        <w:spacing w:after="120" w:line="240" w:lineRule="auto"/>
        <w:jc w:val="center"/>
        <w:rPr>
          <w:rFonts w:ascii="Garamond" w:hAnsi="Garamond"/>
          <w:b/>
          <w:bCs/>
          <w:sz w:val="32"/>
          <w:szCs w:val="32"/>
        </w:rPr>
      </w:pPr>
      <w:r w:rsidRPr="001D510A">
        <w:rPr>
          <w:rFonts w:ascii="Garamond" w:hAnsi="Garamond"/>
          <w:b/>
          <w:bCs/>
          <w:sz w:val="32"/>
          <w:szCs w:val="32"/>
        </w:rPr>
        <w:t>Review of Recent Findings</w:t>
      </w:r>
    </w:p>
    <w:p w14:paraId="47043F3D" w14:textId="77777777" w:rsidR="008115FA" w:rsidRDefault="008115FA" w:rsidP="00197016">
      <w:pPr>
        <w:spacing w:after="120" w:line="240" w:lineRule="auto"/>
        <w:rPr>
          <w:rFonts w:ascii="Garamond" w:hAnsi="Garamond"/>
        </w:rPr>
      </w:pPr>
    </w:p>
    <w:p w14:paraId="47047A36" w14:textId="77777777" w:rsidR="001809F3" w:rsidRDefault="001809F3" w:rsidP="00197016">
      <w:pPr>
        <w:spacing w:after="120" w:line="240" w:lineRule="auto"/>
        <w:rPr>
          <w:rFonts w:ascii="Garamond" w:hAnsi="Garamond"/>
        </w:rPr>
      </w:pPr>
    </w:p>
    <w:p w14:paraId="7C7EA957" w14:textId="15574048" w:rsidR="001D510A" w:rsidRDefault="00046D2E" w:rsidP="001809F3">
      <w:pPr>
        <w:spacing w:after="120" w:line="240" w:lineRule="auto"/>
        <w:jc w:val="both"/>
        <w:rPr>
          <w:rFonts w:ascii="Garamond" w:hAnsi="Garamond"/>
        </w:rPr>
      </w:pPr>
      <w:r>
        <w:rPr>
          <w:rFonts w:ascii="Garamond" w:hAnsi="Garamond"/>
        </w:rPr>
        <w:t>Jose Pina-Sánchez</w:t>
      </w:r>
      <w:r>
        <w:rPr>
          <w:rStyle w:val="FootnoteReference"/>
          <w:rFonts w:ascii="Garamond" w:hAnsi="Garamond"/>
        </w:rPr>
        <w:footnoteReference w:id="1"/>
      </w:r>
      <w:r>
        <w:rPr>
          <w:rFonts w:ascii="Garamond" w:hAnsi="Garamond"/>
        </w:rPr>
        <w:t xml:space="preserve"> &amp; Eoin Guilfoyle</w:t>
      </w:r>
      <w:r>
        <w:rPr>
          <w:rStyle w:val="FootnoteReference"/>
          <w:rFonts w:ascii="Garamond" w:hAnsi="Garamond"/>
        </w:rPr>
        <w:footnoteReference w:id="2"/>
      </w:r>
    </w:p>
    <w:p w14:paraId="5BBA78FD" w14:textId="77777777" w:rsidR="001809F3" w:rsidRDefault="001809F3" w:rsidP="001809F3">
      <w:pPr>
        <w:spacing w:after="120" w:line="240" w:lineRule="auto"/>
        <w:jc w:val="both"/>
        <w:rPr>
          <w:rFonts w:ascii="Garamond" w:hAnsi="Garamond"/>
        </w:rPr>
      </w:pPr>
    </w:p>
    <w:p w14:paraId="2D72ED95" w14:textId="006E6D36" w:rsidR="001809F3" w:rsidRDefault="001809F3" w:rsidP="001809F3">
      <w:pPr>
        <w:spacing w:after="120" w:line="240" w:lineRule="auto"/>
        <w:jc w:val="both"/>
        <w:rPr>
          <w:rFonts w:ascii="Garamond" w:hAnsi="Garamond"/>
        </w:rPr>
      </w:pPr>
      <w:r w:rsidRPr="001809F3">
        <w:rPr>
          <w:rFonts w:ascii="Garamond" w:hAnsi="Garamond"/>
          <w:b/>
          <w:bCs/>
        </w:rPr>
        <w:t>Acknowledgemen</w:t>
      </w:r>
      <w:r>
        <w:rPr>
          <w:rFonts w:ascii="Garamond" w:hAnsi="Garamond"/>
        </w:rPr>
        <w:t xml:space="preserve">t: </w:t>
      </w:r>
      <w:r w:rsidR="008115FA" w:rsidRPr="008115FA">
        <w:rPr>
          <w:rFonts w:ascii="Garamond" w:hAnsi="Garamond"/>
        </w:rPr>
        <w:t>This work was supported by the Secondary Data Analysis Initiative of the Economic and Social</w:t>
      </w:r>
      <w:r w:rsidR="008115FA">
        <w:rPr>
          <w:rFonts w:ascii="Garamond" w:hAnsi="Garamond"/>
        </w:rPr>
        <w:t xml:space="preserve"> </w:t>
      </w:r>
      <w:r w:rsidR="008115FA" w:rsidRPr="008115FA">
        <w:rPr>
          <w:rFonts w:ascii="Garamond" w:hAnsi="Garamond"/>
        </w:rPr>
        <w:t>Research Council (Grant Ref: ES/W00738X/1).</w:t>
      </w:r>
      <w:r>
        <w:rPr>
          <w:rFonts w:ascii="Garamond" w:hAnsi="Garamond"/>
        </w:rPr>
        <w:t xml:space="preserve"> We also thank participants of </w:t>
      </w:r>
      <w:r w:rsidRPr="001809F3">
        <w:rPr>
          <w:rFonts w:ascii="Garamond" w:hAnsi="Garamond"/>
        </w:rPr>
        <w:t xml:space="preserve">‘Ethnic Disparities in Sentencing in England and Wales: Taking Stock and Moving Forward’, a symposium </w:t>
      </w:r>
      <w:r>
        <w:rPr>
          <w:rFonts w:ascii="Garamond" w:hAnsi="Garamond"/>
        </w:rPr>
        <w:t>held</w:t>
      </w:r>
      <w:r w:rsidRPr="001809F3">
        <w:rPr>
          <w:rFonts w:ascii="Garamond" w:hAnsi="Garamond"/>
        </w:rPr>
        <w:t xml:space="preserve"> in November 2024 at the LSE, which inspired this review. </w:t>
      </w:r>
    </w:p>
    <w:p w14:paraId="10400CAA" w14:textId="77777777" w:rsidR="001809F3" w:rsidRDefault="001809F3" w:rsidP="00197016">
      <w:pPr>
        <w:spacing w:after="120" w:line="240" w:lineRule="auto"/>
        <w:rPr>
          <w:rFonts w:ascii="Garamond" w:hAnsi="Garamond"/>
        </w:rPr>
      </w:pPr>
    </w:p>
    <w:p w14:paraId="2C09A1E8" w14:textId="4FC457AD" w:rsidR="00DF584C" w:rsidRPr="008115FA" w:rsidRDefault="00F4430C" w:rsidP="00197016">
      <w:pPr>
        <w:spacing w:after="120" w:line="240" w:lineRule="auto"/>
        <w:jc w:val="both"/>
        <w:rPr>
          <w:rFonts w:ascii="Garamond" w:hAnsi="Garamond"/>
          <w:b/>
          <w:bCs/>
        </w:rPr>
      </w:pPr>
      <w:r>
        <w:rPr>
          <w:rFonts w:ascii="Garamond" w:hAnsi="Garamond"/>
          <w:b/>
          <w:bCs/>
        </w:rPr>
        <w:t>Abstract</w:t>
      </w:r>
    </w:p>
    <w:p w14:paraId="07B73A2C" w14:textId="77777777" w:rsidR="00F4430C" w:rsidRDefault="00F4430C" w:rsidP="00046D2E">
      <w:pPr>
        <w:spacing w:after="120" w:line="240" w:lineRule="auto"/>
        <w:jc w:val="both"/>
        <w:rPr>
          <w:rFonts w:ascii="Garamond" w:hAnsi="Garamond"/>
        </w:rPr>
      </w:pPr>
      <w:r w:rsidRPr="00F4430C">
        <w:rPr>
          <w:rFonts w:ascii="Garamond" w:hAnsi="Garamond"/>
        </w:rPr>
        <w:t xml:space="preserve">Following the 2017 Lammy Review, research into ethnic disparities in sentencing in England and Wales has intensified. This </w:t>
      </w:r>
      <w:r>
        <w:rPr>
          <w:rFonts w:ascii="Garamond" w:hAnsi="Garamond"/>
        </w:rPr>
        <w:t>article reviews</w:t>
      </w:r>
      <w:r w:rsidRPr="00F4430C">
        <w:rPr>
          <w:rFonts w:ascii="Garamond" w:hAnsi="Garamond"/>
        </w:rPr>
        <w:t xml:space="preserve"> the main findings from recent studies, focusing on the robustness of evidence, areas where disparities are most prevalent, gaps in the literature, and potential solutions. </w:t>
      </w:r>
    </w:p>
    <w:p w14:paraId="66A1242E" w14:textId="23552D89" w:rsidR="00F4430C" w:rsidRDefault="00A44308" w:rsidP="00046D2E">
      <w:pPr>
        <w:spacing w:after="120" w:line="240" w:lineRule="auto"/>
        <w:jc w:val="both"/>
        <w:rPr>
          <w:rFonts w:ascii="Garamond" w:hAnsi="Garamond"/>
        </w:rPr>
      </w:pPr>
      <w:r>
        <w:rPr>
          <w:rFonts w:ascii="Garamond" w:hAnsi="Garamond"/>
        </w:rPr>
        <w:t>Ethnic d</w:t>
      </w:r>
      <w:r w:rsidR="00F4430C" w:rsidRPr="00F4430C">
        <w:rPr>
          <w:rFonts w:ascii="Garamond" w:hAnsi="Garamond"/>
        </w:rPr>
        <w:t xml:space="preserve">isparities are less severe and more offence-specific than previously reported. </w:t>
      </w:r>
      <w:r>
        <w:rPr>
          <w:rFonts w:ascii="Garamond" w:hAnsi="Garamond"/>
        </w:rPr>
        <w:t>There are no substantial differences in</w:t>
      </w:r>
      <w:r w:rsidR="00F4430C" w:rsidRPr="00F4430C">
        <w:rPr>
          <w:rFonts w:ascii="Garamond" w:hAnsi="Garamond"/>
        </w:rPr>
        <w:t xml:space="preserve"> custodial sentence length, while </w:t>
      </w:r>
      <w:r>
        <w:rPr>
          <w:rFonts w:ascii="Garamond" w:hAnsi="Garamond"/>
        </w:rPr>
        <w:t xml:space="preserve">for </w:t>
      </w:r>
      <w:r w:rsidR="00F4430C" w:rsidRPr="00F4430C">
        <w:rPr>
          <w:rFonts w:ascii="Garamond" w:hAnsi="Garamond"/>
        </w:rPr>
        <w:t>the probability of receiving a custodial sentence</w:t>
      </w:r>
      <w:r>
        <w:rPr>
          <w:rFonts w:ascii="Garamond" w:hAnsi="Garamond"/>
        </w:rPr>
        <w:t>,</w:t>
      </w:r>
      <w:r w:rsidR="00F4430C" w:rsidRPr="00F4430C">
        <w:rPr>
          <w:rFonts w:ascii="Garamond" w:hAnsi="Garamond"/>
        </w:rPr>
        <w:t xml:space="preserve"> </w:t>
      </w:r>
      <w:r>
        <w:rPr>
          <w:rFonts w:ascii="Garamond" w:hAnsi="Garamond"/>
        </w:rPr>
        <w:t xml:space="preserve">disparities </w:t>
      </w:r>
      <w:r w:rsidR="00F4430C" w:rsidRPr="00F4430C">
        <w:rPr>
          <w:rFonts w:ascii="Garamond" w:hAnsi="Garamond"/>
        </w:rPr>
        <w:t>are concentrated primarily among drug offences</w:t>
      </w:r>
      <w:r w:rsidR="00F4430C">
        <w:rPr>
          <w:rFonts w:ascii="Garamond" w:hAnsi="Garamond"/>
        </w:rPr>
        <w:t xml:space="preserve">. </w:t>
      </w:r>
      <w:r w:rsidR="00F4430C" w:rsidRPr="00F4430C">
        <w:rPr>
          <w:rFonts w:ascii="Garamond" w:hAnsi="Garamond"/>
        </w:rPr>
        <w:t xml:space="preserve">However, such disparities cannot be fully explained by statistical bias, suggesting a degree of </w:t>
      </w:r>
      <w:r w:rsidR="008570D6">
        <w:rPr>
          <w:rFonts w:ascii="Garamond" w:hAnsi="Garamond"/>
        </w:rPr>
        <w:t xml:space="preserve">direct or indirect </w:t>
      </w:r>
      <w:r w:rsidR="00F4430C" w:rsidRPr="00F4430C">
        <w:rPr>
          <w:rFonts w:ascii="Garamond" w:hAnsi="Garamond"/>
        </w:rPr>
        <w:t>sentencing discrimination.</w:t>
      </w:r>
      <w:r w:rsidR="00F4430C">
        <w:rPr>
          <w:rFonts w:ascii="Garamond" w:hAnsi="Garamond"/>
        </w:rPr>
        <w:t xml:space="preserve"> </w:t>
      </w:r>
    </w:p>
    <w:p w14:paraId="4DDA4389" w14:textId="064D0A39" w:rsidR="00F4430C" w:rsidRPr="00F4430C" w:rsidRDefault="00F4430C" w:rsidP="00046D2E">
      <w:pPr>
        <w:spacing w:after="120" w:line="240" w:lineRule="auto"/>
        <w:jc w:val="both"/>
        <w:rPr>
          <w:rFonts w:ascii="Garamond" w:hAnsi="Garamond"/>
        </w:rPr>
      </w:pPr>
      <w:r>
        <w:rPr>
          <w:rFonts w:ascii="Garamond" w:hAnsi="Garamond"/>
        </w:rPr>
        <w:t>S</w:t>
      </w:r>
      <w:r w:rsidRPr="00F4430C">
        <w:rPr>
          <w:rFonts w:ascii="Garamond" w:hAnsi="Garamond"/>
        </w:rPr>
        <w:t xml:space="preserve">entencing disparities appear consistent across most minority groups. </w:t>
      </w:r>
      <w:r w:rsidR="0077347C">
        <w:rPr>
          <w:rFonts w:ascii="Garamond" w:hAnsi="Garamond"/>
        </w:rPr>
        <w:t xml:space="preserve">However, </w:t>
      </w:r>
      <w:r>
        <w:rPr>
          <w:rFonts w:ascii="Garamond" w:hAnsi="Garamond"/>
        </w:rPr>
        <w:t>i</w:t>
      </w:r>
      <w:r w:rsidRPr="00F4430C">
        <w:rPr>
          <w:rFonts w:ascii="Garamond" w:hAnsi="Garamond"/>
        </w:rPr>
        <w:t>ntersectional analyses reveal nuanced patterns; for instance, white male offenders require over 50% longer criminal records than black male offenders before crossing the custody threshold, while no significant differences are observed between black and white female offenders.</w:t>
      </w:r>
      <w:r>
        <w:rPr>
          <w:rFonts w:ascii="Garamond" w:hAnsi="Garamond"/>
        </w:rPr>
        <w:t xml:space="preserve"> </w:t>
      </w:r>
      <w:r w:rsidRPr="00F4430C">
        <w:rPr>
          <w:rFonts w:ascii="Garamond" w:hAnsi="Garamond"/>
        </w:rPr>
        <w:t xml:space="preserve">Notably, socioeconomic factors, such as area deprivation, do not seem directly linked to ethnic disparities, although deprivation independently influences sentencing outcomes. </w:t>
      </w:r>
    </w:p>
    <w:p w14:paraId="495DBD1B" w14:textId="65BE397A" w:rsidR="00F4430C" w:rsidRPr="00F4430C" w:rsidRDefault="00F4430C" w:rsidP="00046D2E">
      <w:pPr>
        <w:spacing w:after="120" w:line="240" w:lineRule="auto"/>
        <w:jc w:val="both"/>
        <w:rPr>
          <w:rFonts w:ascii="Garamond" w:hAnsi="Garamond"/>
        </w:rPr>
      </w:pPr>
      <w:r w:rsidRPr="00F4430C">
        <w:rPr>
          <w:rFonts w:ascii="Garamond" w:hAnsi="Garamond"/>
        </w:rPr>
        <w:t xml:space="preserve">Several gaps remain in the literature. Multivariate analyses focused on magistrates’ courts, where most sentences are imposed, are lacking. Qualitative research is also needed to explore disparities in areas like drug offences, male ethnic minority offenders, and assessments of mitigating factors. </w:t>
      </w:r>
    </w:p>
    <w:p w14:paraId="2C2C8296" w14:textId="20CF4CC9" w:rsidR="00F4430C" w:rsidRPr="00F4430C" w:rsidRDefault="00F4430C" w:rsidP="00046D2E">
      <w:pPr>
        <w:spacing w:after="120" w:line="240" w:lineRule="auto"/>
        <w:jc w:val="both"/>
        <w:rPr>
          <w:rFonts w:ascii="Garamond" w:hAnsi="Garamond"/>
        </w:rPr>
      </w:pPr>
      <w:r w:rsidRPr="00F4430C">
        <w:rPr>
          <w:rFonts w:ascii="Garamond" w:hAnsi="Garamond"/>
        </w:rPr>
        <w:t xml:space="preserve">Current efforts to mitigate disparities </w:t>
      </w:r>
      <w:r w:rsidR="00A44308">
        <w:rPr>
          <w:rFonts w:ascii="Garamond" w:hAnsi="Garamond"/>
        </w:rPr>
        <w:t>should be expanded to include</w:t>
      </w:r>
      <w:r w:rsidRPr="00F4430C">
        <w:rPr>
          <w:rFonts w:ascii="Garamond" w:hAnsi="Garamond"/>
        </w:rPr>
        <w:t xml:space="preserve"> more structural solutions, such as increasing funding for legal aid, improving the quality of pre-sentence reports, and ensuring community services for addiction, mental health, and employment are </w:t>
      </w:r>
      <w:r w:rsidR="008570D6">
        <w:rPr>
          <w:rFonts w:ascii="Garamond" w:hAnsi="Garamond"/>
        </w:rPr>
        <w:t xml:space="preserve">universally </w:t>
      </w:r>
      <w:r w:rsidRPr="00F4430C">
        <w:rPr>
          <w:rFonts w:ascii="Garamond" w:hAnsi="Garamond"/>
        </w:rPr>
        <w:t>accessible</w:t>
      </w:r>
      <w:r w:rsidR="00A44308">
        <w:rPr>
          <w:rFonts w:ascii="Garamond" w:hAnsi="Garamond"/>
        </w:rPr>
        <w:t>.</w:t>
      </w:r>
      <w:r w:rsidRPr="00F4430C">
        <w:rPr>
          <w:rFonts w:ascii="Garamond" w:hAnsi="Garamond"/>
        </w:rPr>
        <w:t xml:space="preserve"> </w:t>
      </w:r>
    </w:p>
    <w:p w14:paraId="3425F1BA" w14:textId="242E2A94" w:rsidR="001D510A" w:rsidRDefault="001D510A" w:rsidP="00197016">
      <w:pPr>
        <w:spacing w:after="120" w:line="240" w:lineRule="auto"/>
        <w:rPr>
          <w:rFonts w:ascii="Garamond" w:hAnsi="Garamond"/>
        </w:rPr>
      </w:pPr>
      <w:r>
        <w:rPr>
          <w:rFonts w:ascii="Garamond" w:hAnsi="Garamond"/>
        </w:rPr>
        <w:br w:type="page"/>
      </w:r>
    </w:p>
    <w:p w14:paraId="353440BB" w14:textId="626382C1" w:rsidR="00474432" w:rsidRPr="00474432" w:rsidRDefault="00F266FF" w:rsidP="00197016">
      <w:pPr>
        <w:pStyle w:val="ListParagraph"/>
        <w:numPr>
          <w:ilvl w:val="0"/>
          <w:numId w:val="1"/>
        </w:numPr>
        <w:spacing w:after="120" w:line="240" w:lineRule="auto"/>
        <w:jc w:val="both"/>
        <w:rPr>
          <w:rFonts w:ascii="Garamond" w:hAnsi="Garamond"/>
          <w:b/>
          <w:bCs/>
        </w:rPr>
      </w:pPr>
      <w:r>
        <w:rPr>
          <w:rFonts w:ascii="Garamond" w:hAnsi="Garamond"/>
          <w:b/>
          <w:bCs/>
        </w:rPr>
        <w:lastRenderedPageBreak/>
        <w:t>Background</w:t>
      </w:r>
    </w:p>
    <w:p w14:paraId="6ABF8298" w14:textId="44D40D5E" w:rsidR="00D63CD7" w:rsidRDefault="000A4D1E" w:rsidP="00FC67E7">
      <w:pPr>
        <w:spacing w:after="120" w:line="240" w:lineRule="auto"/>
        <w:jc w:val="both"/>
        <w:rPr>
          <w:rFonts w:ascii="Garamond" w:hAnsi="Garamond"/>
        </w:rPr>
      </w:pPr>
      <w:r>
        <w:rPr>
          <w:rFonts w:ascii="Garamond" w:hAnsi="Garamond"/>
        </w:rPr>
        <w:t>In a</w:t>
      </w:r>
      <w:r w:rsidR="004C52D2">
        <w:rPr>
          <w:rFonts w:ascii="Garamond" w:hAnsi="Garamond"/>
        </w:rPr>
        <w:t xml:space="preserve"> recent survey of 373 legal professionals</w:t>
      </w:r>
      <w:r w:rsidR="004C52D2">
        <w:rPr>
          <w:rStyle w:val="FootnoteReference"/>
          <w:rFonts w:ascii="Garamond" w:hAnsi="Garamond"/>
        </w:rPr>
        <w:footnoteReference w:id="3"/>
      </w:r>
      <w:r w:rsidR="004C52D2">
        <w:rPr>
          <w:rFonts w:ascii="Garamond" w:hAnsi="Garamond"/>
        </w:rPr>
        <w:t>, 56% report</w:t>
      </w:r>
      <w:r>
        <w:rPr>
          <w:rFonts w:ascii="Garamond" w:hAnsi="Garamond"/>
        </w:rPr>
        <w:t>ed</w:t>
      </w:r>
      <w:r w:rsidR="004C52D2">
        <w:rPr>
          <w:rFonts w:ascii="Garamond" w:hAnsi="Garamond"/>
        </w:rPr>
        <w:t xml:space="preserve"> having witnessed one or more judges </w:t>
      </w:r>
      <w:r w:rsidRPr="000A4D1E">
        <w:rPr>
          <w:rFonts w:ascii="Garamond" w:hAnsi="Garamond"/>
        </w:rPr>
        <w:t>exhibit racial bias</w:t>
      </w:r>
      <w:r w:rsidR="004C52D2">
        <w:rPr>
          <w:rFonts w:ascii="Garamond" w:hAnsi="Garamond"/>
        </w:rPr>
        <w:t xml:space="preserve"> towards a defendant (Monteith et al., 2022).</w:t>
      </w:r>
      <w:r w:rsidR="004C52D2" w:rsidRPr="004C52D2">
        <w:rPr>
          <w:rFonts w:ascii="Garamond" w:hAnsi="Garamond"/>
        </w:rPr>
        <w:t xml:space="preserve"> </w:t>
      </w:r>
      <w:r w:rsidR="004C52D2">
        <w:rPr>
          <w:rFonts w:ascii="Garamond" w:hAnsi="Garamond"/>
        </w:rPr>
        <w:t>These subjective perceptions are congruent with the scientific evidence</w:t>
      </w:r>
      <w:r w:rsidR="0089138C">
        <w:rPr>
          <w:rFonts w:ascii="Garamond" w:hAnsi="Garamond"/>
        </w:rPr>
        <w:t xml:space="preserve"> most widely shared</w:t>
      </w:r>
      <w:r w:rsidR="004C52D2">
        <w:rPr>
          <w:rFonts w:ascii="Garamond" w:hAnsi="Garamond"/>
        </w:rPr>
        <w:t xml:space="preserve">. The Lammy Review (2017) </w:t>
      </w:r>
      <w:r w:rsidR="00E66F82">
        <w:rPr>
          <w:rFonts w:ascii="Garamond" w:hAnsi="Garamond"/>
        </w:rPr>
        <w:t xml:space="preserve">documented ethnic disparities throughout the criminal justice system. In relation to </w:t>
      </w:r>
      <w:r w:rsidR="001B6AD2">
        <w:rPr>
          <w:rFonts w:ascii="Garamond" w:hAnsi="Garamond"/>
        </w:rPr>
        <w:t>sentencing,</w:t>
      </w:r>
      <w:r w:rsidR="00E66F82">
        <w:rPr>
          <w:rFonts w:ascii="Garamond" w:hAnsi="Garamond"/>
        </w:rPr>
        <w:t xml:space="preserve"> they referred to a study conducted by the Ministry of Justice (Hopkins, 201</w:t>
      </w:r>
      <w:r w:rsidR="00D43BBC">
        <w:rPr>
          <w:rFonts w:ascii="Garamond" w:hAnsi="Garamond"/>
        </w:rPr>
        <w:t>6</w:t>
      </w:r>
      <w:r w:rsidR="00E66F82">
        <w:rPr>
          <w:rFonts w:ascii="Garamond" w:hAnsi="Garamond"/>
        </w:rPr>
        <w:t xml:space="preserve">), </w:t>
      </w:r>
      <w:r w:rsidR="008A180A">
        <w:rPr>
          <w:rFonts w:ascii="Garamond" w:hAnsi="Garamond"/>
        </w:rPr>
        <w:t>highlighting how</w:t>
      </w:r>
      <w:r w:rsidR="00E66F82">
        <w:rPr>
          <w:rFonts w:ascii="Garamond" w:hAnsi="Garamond"/>
        </w:rPr>
        <w:t xml:space="preserve"> </w:t>
      </w:r>
      <w:r w:rsidR="008A180A">
        <w:rPr>
          <w:rFonts w:ascii="Garamond" w:hAnsi="Garamond"/>
        </w:rPr>
        <w:t>the odds of receiving a custodial sentence are 240% higher for ethnic minority offenders compared to white offenders charged with the same drug offence and equivalent criminal histories and propensities to plead guilty.</w:t>
      </w:r>
      <w:r w:rsidR="00D63CD7">
        <w:rPr>
          <w:rFonts w:ascii="Garamond" w:hAnsi="Garamond"/>
        </w:rPr>
        <w:t xml:space="preserve"> </w:t>
      </w:r>
    </w:p>
    <w:p w14:paraId="57D53D40" w14:textId="21EE6A85" w:rsidR="00890B2B" w:rsidRDefault="00366948" w:rsidP="00FC67E7">
      <w:pPr>
        <w:spacing w:after="120" w:line="240" w:lineRule="auto"/>
        <w:jc w:val="both"/>
        <w:rPr>
          <w:rFonts w:ascii="Garamond" w:hAnsi="Garamond"/>
        </w:rPr>
      </w:pPr>
      <w:r>
        <w:rPr>
          <w:rFonts w:ascii="Garamond" w:hAnsi="Garamond"/>
        </w:rPr>
        <w:t xml:space="preserve">Odds ratios are notoriously difficult to interpret, but a 240% disparity is simply huge. To put this in context, and assuming </w:t>
      </w:r>
      <w:r w:rsidR="009E0B03">
        <w:rPr>
          <w:rFonts w:ascii="Garamond" w:hAnsi="Garamond"/>
        </w:rPr>
        <w:t>a baseline</w:t>
      </w:r>
      <w:r>
        <w:rPr>
          <w:rFonts w:ascii="Garamond" w:hAnsi="Garamond"/>
        </w:rPr>
        <w:t xml:space="preserve"> probability of custody of 0.50 for white offenders, 240 higher odds for ethnic minority offenders would represent a probability of custody close to 0.77, i.e., a custody rate differential of 27 percentage points.</w:t>
      </w:r>
      <w:r w:rsidR="008A180A">
        <w:rPr>
          <w:rFonts w:ascii="Garamond" w:hAnsi="Garamond"/>
        </w:rPr>
        <w:t xml:space="preserve"> </w:t>
      </w:r>
      <w:r w:rsidR="0089138C">
        <w:rPr>
          <w:rFonts w:ascii="Garamond" w:hAnsi="Garamond"/>
        </w:rPr>
        <w:t>This shocking data point</w:t>
      </w:r>
      <w:r w:rsidR="00FC67E7">
        <w:rPr>
          <w:rFonts w:ascii="Garamond" w:hAnsi="Garamond"/>
        </w:rPr>
        <w:t xml:space="preserve"> has been extremely influential in signifying the presence of vast ethnic disparities in sentencing in England and Wales. </w:t>
      </w:r>
      <w:r w:rsidR="00A61457">
        <w:rPr>
          <w:rFonts w:ascii="Garamond" w:hAnsi="Garamond"/>
        </w:rPr>
        <w:t xml:space="preserve">Specifically, the above </w:t>
      </w:r>
      <w:r w:rsidR="0089138C">
        <w:rPr>
          <w:rFonts w:ascii="Garamond" w:hAnsi="Garamond"/>
        </w:rPr>
        <w:t>odds ratio</w:t>
      </w:r>
      <w:r w:rsidR="00A61457">
        <w:rPr>
          <w:rFonts w:ascii="Garamond" w:hAnsi="Garamond"/>
        </w:rPr>
        <w:t xml:space="preserve"> </w:t>
      </w:r>
      <w:r w:rsidR="00FC67E7">
        <w:rPr>
          <w:rFonts w:ascii="Garamond" w:hAnsi="Garamond"/>
        </w:rPr>
        <w:t xml:space="preserve">has been referred to in </w:t>
      </w:r>
      <w:r w:rsidR="00DC0519">
        <w:rPr>
          <w:rFonts w:ascii="Garamond" w:hAnsi="Garamond"/>
        </w:rPr>
        <w:t xml:space="preserve">almost </w:t>
      </w:r>
      <w:r w:rsidR="00FC67E7">
        <w:rPr>
          <w:rFonts w:ascii="Garamond" w:hAnsi="Garamond"/>
        </w:rPr>
        <w:t xml:space="preserve">every </w:t>
      </w:r>
      <w:r w:rsidR="00A61457">
        <w:rPr>
          <w:rFonts w:ascii="Garamond" w:hAnsi="Garamond"/>
        </w:rPr>
        <w:t>discussion on the topic following the Lammy Review. See for e</w:t>
      </w:r>
      <w:r w:rsidR="00FC67E7">
        <w:rPr>
          <w:rFonts w:ascii="Garamond" w:hAnsi="Garamond"/>
        </w:rPr>
        <w:t>xample</w:t>
      </w:r>
      <w:r w:rsidR="00670398">
        <w:rPr>
          <w:rFonts w:ascii="Garamond" w:hAnsi="Garamond"/>
        </w:rPr>
        <w:t xml:space="preserve"> responses to the Lammy Review (Neilson, 2017), the </w:t>
      </w:r>
      <w:r w:rsidR="00890B2B" w:rsidRPr="003D52C4">
        <w:rPr>
          <w:rFonts w:ascii="Garamond" w:hAnsi="Garamond"/>
        </w:rPr>
        <w:t xml:space="preserve">House of Commons </w:t>
      </w:r>
      <w:r w:rsidR="00890B2B">
        <w:rPr>
          <w:rFonts w:ascii="Garamond" w:hAnsi="Garamond"/>
        </w:rPr>
        <w:t>d</w:t>
      </w:r>
      <w:r w:rsidR="00890B2B" w:rsidRPr="003D52C4">
        <w:rPr>
          <w:rFonts w:ascii="Garamond" w:hAnsi="Garamond"/>
        </w:rPr>
        <w:t>ebate</w:t>
      </w:r>
      <w:r w:rsidR="00670398">
        <w:rPr>
          <w:rFonts w:ascii="Garamond" w:hAnsi="Garamond"/>
        </w:rPr>
        <w:t>s</w:t>
      </w:r>
      <w:r w:rsidR="00890B2B" w:rsidRPr="003D52C4">
        <w:rPr>
          <w:rFonts w:ascii="Garamond" w:hAnsi="Garamond"/>
        </w:rPr>
        <w:t xml:space="preserve"> </w:t>
      </w:r>
      <w:r w:rsidR="00890B2B">
        <w:rPr>
          <w:rFonts w:ascii="Garamond" w:hAnsi="Garamond"/>
        </w:rPr>
        <w:t xml:space="preserve">(2021) </w:t>
      </w:r>
      <w:r w:rsidR="00890B2B" w:rsidRPr="003D52C4">
        <w:rPr>
          <w:rFonts w:ascii="Garamond" w:hAnsi="Garamond"/>
        </w:rPr>
        <w:t>on the Police, Crime, Sentencing and Courts Bill</w:t>
      </w:r>
      <w:r w:rsidR="00890B2B">
        <w:rPr>
          <w:rFonts w:ascii="Garamond" w:hAnsi="Garamond"/>
        </w:rPr>
        <w:t xml:space="preserve">, </w:t>
      </w:r>
      <w:r w:rsidR="00670398">
        <w:rPr>
          <w:rFonts w:ascii="Garamond" w:hAnsi="Garamond"/>
        </w:rPr>
        <w:t>as well as</w:t>
      </w:r>
      <w:r w:rsidR="00890B2B">
        <w:rPr>
          <w:rFonts w:ascii="Garamond" w:hAnsi="Garamond"/>
        </w:rPr>
        <w:t xml:space="preserve"> </w:t>
      </w:r>
      <w:r w:rsidR="00670398">
        <w:rPr>
          <w:rFonts w:ascii="Garamond" w:hAnsi="Garamond"/>
        </w:rPr>
        <w:t>other publications on ethnic disparities</w:t>
      </w:r>
      <w:r w:rsidR="00890B2B">
        <w:rPr>
          <w:rFonts w:ascii="Garamond" w:hAnsi="Garamond"/>
        </w:rPr>
        <w:t xml:space="preserve"> in England and Wales (</w:t>
      </w:r>
      <w:r w:rsidR="00670398">
        <w:rPr>
          <w:rFonts w:ascii="Garamond" w:hAnsi="Garamond"/>
        </w:rPr>
        <w:t>Institute of Race Relations, 2024; Clinks, 20</w:t>
      </w:r>
      <w:r w:rsidR="00890B2B" w:rsidRPr="005D597B">
        <w:rPr>
          <w:rFonts w:ascii="Garamond" w:hAnsi="Garamond"/>
        </w:rPr>
        <w:t>2</w:t>
      </w:r>
      <w:r w:rsidR="00670398">
        <w:rPr>
          <w:rFonts w:ascii="Garamond" w:hAnsi="Garamond"/>
        </w:rPr>
        <w:t>0</w:t>
      </w:r>
      <w:r w:rsidR="00890B2B" w:rsidRPr="005D597B">
        <w:rPr>
          <w:rFonts w:ascii="Garamond" w:hAnsi="Garamond"/>
        </w:rPr>
        <w:t>)</w:t>
      </w:r>
      <w:r w:rsidR="00890B2B">
        <w:rPr>
          <w:rFonts w:ascii="Garamond" w:hAnsi="Garamond"/>
        </w:rPr>
        <w:t>.</w:t>
      </w:r>
      <w:r w:rsidR="00A61457">
        <w:rPr>
          <w:rFonts w:ascii="Garamond" w:hAnsi="Garamond"/>
        </w:rPr>
        <w:t xml:space="preserve"> </w:t>
      </w:r>
    </w:p>
    <w:p w14:paraId="1B0592E6" w14:textId="7072F71F" w:rsidR="00A61457" w:rsidRDefault="0089138C" w:rsidP="00FC67E7">
      <w:pPr>
        <w:spacing w:after="120" w:line="240" w:lineRule="auto"/>
        <w:jc w:val="both"/>
        <w:rPr>
          <w:rFonts w:ascii="Garamond" w:hAnsi="Garamond"/>
        </w:rPr>
      </w:pPr>
      <w:r>
        <w:rPr>
          <w:rFonts w:ascii="Garamond" w:hAnsi="Garamond"/>
        </w:rPr>
        <w:t>Understandably, criminal justice agencies have been pressed to respond to this</w:t>
      </w:r>
      <w:r w:rsidR="0040563C">
        <w:rPr>
          <w:rFonts w:ascii="Garamond" w:hAnsi="Garamond"/>
        </w:rPr>
        <w:t xml:space="preserve"> problem</w:t>
      </w:r>
      <w:r w:rsidR="00D63CD7">
        <w:rPr>
          <w:rStyle w:val="FootnoteReference"/>
          <w:rFonts w:ascii="Garamond" w:hAnsi="Garamond"/>
        </w:rPr>
        <w:footnoteReference w:id="4"/>
      </w:r>
      <w:r>
        <w:rPr>
          <w:rFonts w:ascii="Garamond" w:hAnsi="Garamond"/>
        </w:rPr>
        <w:t xml:space="preserve">, while perceptions of discrimination have widened amongst the ethnic minority population. </w:t>
      </w:r>
      <w:r w:rsidR="00D63CD7">
        <w:rPr>
          <w:rFonts w:ascii="Garamond" w:hAnsi="Garamond"/>
        </w:rPr>
        <w:t xml:space="preserve">In reference to the 2015 Crime Survey for England and Wales, the Lammy Review indicated how 51% of the ethnic minority population </w:t>
      </w:r>
      <w:r w:rsidR="00D63CD7" w:rsidRPr="00645F0B">
        <w:rPr>
          <w:rFonts w:ascii="Garamond" w:hAnsi="Garamond"/>
        </w:rPr>
        <w:t xml:space="preserve">believe ‘the </w:t>
      </w:r>
      <w:r w:rsidR="00D63CD7">
        <w:rPr>
          <w:rFonts w:ascii="Garamond" w:hAnsi="Garamond"/>
        </w:rPr>
        <w:t>Criminal Justice system</w:t>
      </w:r>
      <w:r w:rsidR="00D63CD7" w:rsidRPr="00645F0B">
        <w:rPr>
          <w:rFonts w:ascii="Garamond" w:hAnsi="Garamond"/>
        </w:rPr>
        <w:t xml:space="preserve"> discriminates against </w:t>
      </w:r>
      <w:proofErr w:type="gramStart"/>
      <w:r w:rsidR="00D63CD7" w:rsidRPr="00645F0B">
        <w:rPr>
          <w:rFonts w:ascii="Garamond" w:hAnsi="Garamond"/>
        </w:rPr>
        <w:t>particular groups</w:t>
      </w:r>
      <w:proofErr w:type="gramEnd"/>
      <w:r w:rsidR="00D63CD7" w:rsidRPr="00645F0B">
        <w:rPr>
          <w:rFonts w:ascii="Garamond" w:hAnsi="Garamond"/>
        </w:rPr>
        <w:t xml:space="preserve"> and </w:t>
      </w:r>
      <w:r w:rsidR="00046D2E" w:rsidRPr="00645F0B">
        <w:rPr>
          <w:rFonts w:ascii="Garamond" w:hAnsi="Garamond"/>
        </w:rPr>
        <w:t>individuals</w:t>
      </w:r>
      <w:r w:rsidR="00D63CD7">
        <w:rPr>
          <w:rFonts w:ascii="Garamond" w:hAnsi="Garamond"/>
        </w:rPr>
        <w:t xml:space="preserve">. According to the 2023 version of the crime survey, that figure has risen to 65%. </w:t>
      </w:r>
    </w:p>
    <w:p w14:paraId="047DB739" w14:textId="3B0A7EA3" w:rsidR="00D06515" w:rsidRDefault="0040563C" w:rsidP="00FC67E7">
      <w:pPr>
        <w:spacing w:after="120" w:line="240" w:lineRule="auto"/>
        <w:jc w:val="both"/>
        <w:rPr>
          <w:rFonts w:ascii="Garamond" w:hAnsi="Garamond"/>
        </w:rPr>
      </w:pPr>
      <w:r>
        <w:rPr>
          <w:rFonts w:ascii="Garamond" w:hAnsi="Garamond"/>
        </w:rPr>
        <w:t>The sense of urgency is clear</w:t>
      </w:r>
      <w:r w:rsidR="0055330F">
        <w:rPr>
          <w:rFonts w:ascii="Garamond" w:hAnsi="Garamond"/>
        </w:rPr>
        <w:t>. H</w:t>
      </w:r>
      <w:r>
        <w:rPr>
          <w:rFonts w:ascii="Garamond" w:hAnsi="Garamond"/>
        </w:rPr>
        <w:t>ow to respond to the problem</w:t>
      </w:r>
      <w:r w:rsidR="0055330F">
        <w:rPr>
          <w:rFonts w:ascii="Garamond" w:hAnsi="Garamond"/>
        </w:rPr>
        <w:t xml:space="preserve">, however, </w:t>
      </w:r>
      <w:r w:rsidR="002D0702">
        <w:rPr>
          <w:rFonts w:ascii="Garamond" w:hAnsi="Garamond"/>
        </w:rPr>
        <w:t>is not</w:t>
      </w:r>
      <w:r>
        <w:rPr>
          <w:rFonts w:ascii="Garamond" w:hAnsi="Garamond"/>
        </w:rPr>
        <w:t xml:space="preserve">. </w:t>
      </w:r>
      <w:r w:rsidR="00287EF0">
        <w:rPr>
          <w:rFonts w:ascii="Garamond" w:hAnsi="Garamond"/>
        </w:rPr>
        <w:t xml:space="preserve">As correctly identified by the Lammy Review, the evidence base documenting the presence of sentencing disparities in England and Wales was practically non-existent. </w:t>
      </w:r>
      <w:r w:rsidR="00D43BBC">
        <w:rPr>
          <w:rFonts w:ascii="Garamond" w:hAnsi="Garamond"/>
        </w:rPr>
        <w:t>Ironically, to a great extent, the dearth of evidence available to criminal justice agencies to provide effective responses to the crisis stemmed from their own inability to share their data with researchers outside their organisations.</w:t>
      </w:r>
      <w:r w:rsidR="00D06515">
        <w:rPr>
          <w:rStyle w:val="FootnoteReference"/>
          <w:rFonts w:ascii="Garamond" w:hAnsi="Garamond"/>
        </w:rPr>
        <w:footnoteReference w:id="5"/>
      </w:r>
      <w:r w:rsidR="00D06515">
        <w:rPr>
          <w:rFonts w:ascii="Garamond" w:hAnsi="Garamond"/>
        </w:rPr>
        <w:t xml:space="preserve"> </w:t>
      </w:r>
      <w:r w:rsidR="00F40ABD">
        <w:rPr>
          <w:rFonts w:ascii="Garamond" w:hAnsi="Garamond"/>
        </w:rPr>
        <w:t xml:space="preserve">With the exception of </w:t>
      </w:r>
      <w:r w:rsidR="00287EF0">
        <w:rPr>
          <w:rFonts w:ascii="Garamond" w:hAnsi="Garamond"/>
        </w:rPr>
        <w:t>Hopkins (201</w:t>
      </w:r>
      <w:r w:rsidR="00D43BBC">
        <w:rPr>
          <w:rFonts w:ascii="Garamond" w:hAnsi="Garamond"/>
        </w:rPr>
        <w:t>6</w:t>
      </w:r>
      <w:r w:rsidR="00287EF0">
        <w:rPr>
          <w:rFonts w:ascii="Garamond" w:hAnsi="Garamond"/>
        </w:rPr>
        <w:t xml:space="preserve">), all we knew relied on Ministry of Justice </w:t>
      </w:r>
      <w:r w:rsidR="002D0702">
        <w:rPr>
          <w:rFonts w:ascii="Garamond" w:hAnsi="Garamond"/>
        </w:rPr>
        <w:t xml:space="preserve">aggregate </w:t>
      </w:r>
      <w:r w:rsidR="00287EF0">
        <w:rPr>
          <w:rFonts w:ascii="Garamond" w:hAnsi="Garamond"/>
        </w:rPr>
        <w:t>statistics (</w:t>
      </w:r>
      <w:r w:rsidR="00411BB6">
        <w:rPr>
          <w:rFonts w:ascii="Garamond" w:hAnsi="Garamond"/>
        </w:rPr>
        <w:t>Roberts &amp; Bild</w:t>
      </w:r>
      <w:r w:rsidR="00287EF0">
        <w:rPr>
          <w:rFonts w:ascii="Garamond" w:hAnsi="Garamond"/>
        </w:rPr>
        <w:t>, 20</w:t>
      </w:r>
      <w:r w:rsidR="00411BB6">
        <w:rPr>
          <w:rFonts w:ascii="Garamond" w:hAnsi="Garamond"/>
        </w:rPr>
        <w:t>2</w:t>
      </w:r>
      <w:r w:rsidR="00287EF0">
        <w:rPr>
          <w:rFonts w:ascii="Garamond" w:hAnsi="Garamond"/>
        </w:rPr>
        <w:t>1)</w:t>
      </w:r>
      <w:r w:rsidR="002D0702">
        <w:rPr>
          <w:rFonts w:ascii="Garamond" w:hAnsi="Garamond"/>
        </w:rPr>
        <w:t xml:space="preserve">, limiting the types of analyses that could be carried to explore the </w:t>
      </w:r>
      <w:r w:rsidR="00411BB6">
        <w:rPr>
          <w:rFonts w:ascii="Garamond" w:hAnsi="Garamond"/>
        </w:rPr>
        <w:t xml:space="preserve">causal mechanisms behind the observed disparities, </w:t>
      </w:r>
      <w:r w:rsidR="000A4D1E">
        <w:rPr>
          <w:rFonts w:ascii="Garamond" w:hAnsi="Garamond"/>
        </w:rPr>
        <w:t>and to assess</w:t>
      </w:r>
      <w:r w:rsidR="00411BB6">
        <w:rPr>
          <w:rFonts w:ascii="Garamond" w:hAnsi="Garamond"/>
        </w:rPr>
        <w:t xml:space="preserve"> the robustness of the available evidence.</w:t>
      </w:r>
      <w:r w:rsidR="00411BB6">
        <w:rPr>
          <w:rStyle w:val="FootnoteReference"/>
          <w:rFonts w:ascii="Garamond" w:hAnsi="Garamond"/>
        </w:rPr>
        <w:footnoteReference w:id="6"/>
      </w:r>
      <w:r w:rsidR="00411BB6">
        <w:rPr>
          <w:rFonts w:ascii="Garamond" w:hAnsi="Garamond"/>
        </w:rPr>
        <w:t xml:space="preserve"> </w:t>
      </w:r>
    </w:p>
    <w:p w14:paraId="70537826" w14:textId="7C0E2072" w:rsidR="00D06515" w:rsidRDefault="00D06515" w:rsidP="00D06515">
      <w:pPr>
        <w:spacing w:after="120" w:line="240" w:lineRule="auto"/>
        <w:jc w:val="both"/>
        <w:rPr>
          <w:rFonts w:ascii="Garamond" w:hAnsi="Garamond"/>
        </w:rPr>
      </w:pPr>
      <w:r>
        <w:rPr>
          <w:rFonts w:ascii="Garamond" w:hAnsi="Garamond"/>
        </w:rPr>
        <w:t xml:space="preserve">This impasse was overcome in 2021 through two momentous developments: </w:t>
      </w:r>
      <w:proofErr w:type="spellStart"/>
      <w:r>
        <w:rPr>
          <w:rFonts w:ascii="Garamond" w:hAnsi="Garamond"/>
        </w:rPr>
        <w:t>i</w:t>
      </w:r>
      <w:proofErr w:type="spellEnd"/>
      <w:r>
        <w:rPr>
          <w:rFonts w:ascii="Garamond" w:hAnsi="Garamond"/>
        </w:rPr>
        <w:t>) the publication of the Sentencing Council for England and Wales first report on sentencing disparities, equality in their guidelines, and, subsequently, some of their underlying data; and ii) the release of the first magistrates’ and Crown Court datasets from the Data First project.</w:t>
      </w:r>
      <w:r>
        <w:rPr>
          <w:rStyle w:val="FootnoteReference"/>
          <w:rFonts w:ascii="Garamond" w:hAnsi="Garamond"/>
        </w:rPr>
        <w:footnoteReference w:id="7"/>
      </w:r>
      <w:r>
        <w:rPr>
          <w:rFonts w:ascii="Garamond" w:hAnsi="Garamond"/>
        </w:rPr>
        <w:t xml:space="preserve"> A new wave of studies </w:t>
      </w:r>
      <w:r w:rsidR="00F40ABD">
        <w:rPr>
          <w:rFonts w:ascii="Garamond" w:hAnsi="Garamond"/>
        </w:rPr>
        <w:t xml:space="preserve">have </w:t>
      </w:r>
      <w:r>
        <w:rPr>
          <w:rFonts w:ascii="Garamond" w:hAnsi="Garamond"/>
        </w:rPr>
        <w:t xml:space="preserve">followed the release of these official datasets, providing a fresh and more complete perspective about the prevalence and origin of ethnic disparities in England and Wales. Here, we review this nascent body of research and in so doing evaluate </w:t>
      </w:r>
      <w:r>
        <w:rPr>
          <w:rFonts w:ascii="Garamond" w:hAnsi="Garamond"/>
        </w:rPr>
        <w:lastRenderedPageBreak/>
        <w:t xml:space="preserve">the robustness of the evidence base, highlight particularly problematic areas, identify gaps that should be addressed by future research, and speculate about the relative effectiveness </w:t>
      </w:r>
      <w:r w:rsidR="00F1334C">
        <w:rPr>
          <w:rFonts w:ascii="Garamond" w:hAnsi="Garamond"/>
        </w:rPr>
        <w:t xml:space="preserve">of </w:t>
      </w:r>
      <w:r>
        <w:rPr>
          <w:rFonts w:ascii="Garamond" w:hAnsi="Garamond"/>
        </w:rPr>
        <w:t>different policies that could be enacted to minimise the problem.</w:t>
      </w:r>
    </w:p>
    <w:p w14:paraId="543B18EE" w14:textId="77777777" w:rsidR="002D0702" w:rsidRDefault="002D0702" w:rsidP="00C03DFB">
      <w:pPr>
        <w:spacing w:after="120" w:line="240" w:lineRule="auto"/>
        <w:jc w:val="both"/>
        <w:rPr>
          <w:rFonts w:ascii="Garamond" w:hAnsi="Garamond"/>
        </w:rPr>
      </w:pPr>
    </w:p>
    <w:p w14:paraId="11759444" w14:textId="74F2B282" w:rsidR="00D43BBC" w:rsidRPr="00D43BBC" w:rsidRDefault="00D43BBC" w:rsidP="00D43BBC">
      <w:pPr>
        <w:pStyle w:val="ListParagraph"/>
        <w:numPr>
          <w:ilvl w:val="0"/>
          <w:numId w:val="1"/>
        </w:numPr>
        <w:spacing w:after="120" w:line="240" w:lineRule="auto"/>
        <w:jc w:val="both"/>
        <w:rPr>
          <w:rFonts w:ascii="Garamond" w:hAnsi="Garamond"/>
          <w:b/>
          <w:bCs/>
        </w:rPr>
      </w:pPr>
      <w:r>
        <w:rPr>
          <w:rFonts w:ascii="Garamond" w:hAnsi="Garamond"/>
          <w:b/>
          <w:bCs/>
        </w:rPr>
        <w:t>Setting the Record Right</w:t>
      </w:r>
    </w:p>
    <w:p w14:paraId="74FB7B1F" w14:textId="03F0E7E0" w:rsidR="00F26E99" w:rsidRPr="00F26E99" w:rsidRDefault="00F26E99" w:rsidP="00F26E99">
      <w:pPr>
        <w:spacing w:after="120" w:line="240" w:lineRule="auto"/>
        <w:jc w:val="both"/>
        <w:rPr>
          <w:rFonts w:ascii="Garamond" w:hAnsi="Garamond"/>
        </w:rPr>
      </w:pPr>
      <w:r w:rsidRPr="00F26E99">
        <w:rPr>
          <w:rFonts w:ascii="Garamond" w:hAnsi="Garamond"/>
        </w:rPr>
        <w:t xml:space="preserve">Before reviewing the latest findings from the literature, it is crucial to address a common misconception. The claim of 240% higher odds of incarceration for ethnic minority offenders, cited in the Lammy Review and echoed in subsequent </w:t>
      </w:r>
      <w:r w:rsidR="00A30885">
        <w:rPr>
          <w:rFonts w:ascii="Garamond" w:hAnsi="Garamond"/>
        </w:rPr>
        <w:t>publications and debates</w:t>
      </w:r>
      <w:r w:rsidRPr="00F26E99">
        <w:rPr>
          <w:rFonts w:ascii="Garamond" w:hAnsi="Garamond"/>
        </w:rPr>
        <w:t>, is factually incorrect. This figure does not appear in the original study referenced by the Lammy Review (Hopkins, 2016). Instead, the study reported an odds ratio of 2.37 for ethnic disparities among drug offenders</w:t>
      </w:r>
      <w:r>
        <w:rPr>
          <w:rFonts w:ascii="Garamond" w:hAnsi="Garamond"/>
        </w:rPr>
        <w:t xml:space="preserve"> - </w:t>
      </w:r>
      <w:r w:rsidRPr="00F26E99">
        <w:rPr>
          <w:rFonts w:ascii="Garamond" w:hAnsi="Garamond"/>
        </w:rPr>
        <w:t>approximately 2.4 for simplicity</w:t>
      </w:r>
      <w:r>
        <w:rPr>
          <w:rFonts w:ascii="Garamond" w:hAnsi="Garamond"/>
        </w:rPr>
        <w:t xml:space="preserve"> - </w:t>
      </w:r>
      <w:r w:rsidRPr="00F26E99">
        <w:rPr>
          <w:rFonts w:ascii="Garamond" w:hAnsi="Garamond"/>
        </w:rPr>
        <w:t>which equates to a 140% increase in odds, not 240%.</w:t>
      </w:r>
    </w:p>
    <w:p w14:paraId="2019DCBA" w14:textId="26EDFAC2" w:rsidR="00F26E99" w:rsidRPr="00F26E99" w:rsidRDefault="00F26E99" w:rsidP="00F26E99">
      <w:pPr>
        <w:spacing w:after="120" w:line="240" w:lineRule="auto"/>
        <w:jc w:val="both"/>
        <w:rPr>
          <w:rFonts w:ascii="Garamond" w:hAnsi="Garamond"/>
        </w:rPr>
      </w:pPr>
      <w:r w:rsidRPr="00F26E99">
        <w:rPr>
          <w:rFonts w:ascii="Garamond" w:hAnsi="Garamond"/>
        </w:rPr>
        <w:t>While these disparities are deeply concerning and merit further investigation, it is essential to recogni</w:t>
      </w:r>
      <w:r>
        <w:rPr>
          <w:rFonts w:ascii="Garamond" w:hAnsi="Garamond"/>
        </w:rPr>
        <w:t>s</w:t>
      </w:r>
      <w:r w:rsidRPr="00F26E99">
        <w:rPr>
          <w:rFonts w:ascii="Garamond" w:hAnsi="Garamond"/>
        </w:rPr>
        <w:t>e that the actual magnitude of the reported disparities is nearly half of what has been claimed. This error is likely an innocent mistake; however, we are less sympathetic to how this evidence has been framed in subsequent reports and official discussions. Most repeat the 240% higher odds for ethnic minority drug offenders but fail to mention that the same study found no significant disparities in sentencing for sex or violent offences. This omission appears to be an example of selective reporting, which is more problematic as it reflects a deliberate choice.</w:t>
      </w:r>
    </w:p>
    <w:p w14:paraId="53BB7641" w14:textId="4926B1DA" w:rsidR="006F1EAE" w:rsidRDefault="00F26E99" w:rsidP="00F26E99">
      <w:pPr>
        <w:spacing w:after="120" w:line="240" w:lineRule="auto"/>
        <w:jc w:val="both"/>
        <w:rPr>
          <w:rFonts w:ascii="Garamond" w:hAnsi="Garamond"/>
        </w:rPr>
      </w:pPr>
      <w:r w:rsidRPr="00F26E99">
        <w:rPr>
          <w:rFonts w:ascii="Garamond" w:hAnsi="Garamond"/>
        </w:rPr>
        <w:t>Accurate interpretation of these findings is vital for framing the issue correctly and guiding effective responses. Without delving further into our review, one of our key conclusions is already apparent: ethnic disparities in sentencing are not as profound, nor as widespread, as is often assumed. Furthermore, the original study referenced by the Lammy Review has notable limitations</w:t>
      </w:r>
      <w:r>
        <w:rPr>
          <w:rFonts w:ascii="Garamond" w:hAnsi="Garamond"/>
        </w:rPr>
        <w:t xml:space="preserve">; </w:t>
      </w:r>
      <w:r w:rsidRPr="00F26E99">
        <w:rPr>
          <w:rFonts w:ascii="Garamond" w:hAnsi="Garamond"/>
        </w:rPr>
        <w:t>most significantly, it does not adequately approximate 'like with like' comparisons, raising questions about whether the reported disparities are truly unwarranted.</w:t>
      </w:r>
      <w:r>
        <w:rPr>
          <w:rFonts w:ascii="Garamond" w:hAnsi="Garamond"/>
        </w:rPr>
        <w:t xml:space="preserve"> </w:t>
      </w:r>
    </w:p>
    <w:p w14:paraId="3D407A1B" w14:textId="77777777" w:rsidR="004D0682" w:rsidRDefault="004D0682" w:rsidP="00197016">
      <w:pPr>
        <w:spacing w:after="120" w:line="240" w:lineRule="auto"/>
        <w:jc w:val="both"/>
        <w:rPr>
          <w:rFonts w:ascii="Garamond" w:hAnsi="Garamond"/>
        </w:rPr>
      </w:pPr>
    </w:p>
    <w:p w14:paraId="58D2223A" w14:textId="789BFBA7" w:rsidR="001B0544" w:rsidRPr="004D0682" w:rsidRDefault="001B0544" w:rsidP="00D43BBC">
      <w:pPr>
        <w:pStyle w:val="ListParagraph"/>
        <w:numPr>
          <w:ilvl w:val="0"/>
          <w:numId w:val="1"/>
        </w:numPr>
        <w:spacing w:after="120" w:line="240" w:lineRule="auto"/>
        <w:jc w:val="both"/>
        <w:rPr>
          <w:rFonts w:ascii="Garamond" w:hAnsi="Garamond"/>
          <w:b/>
          <w:bCs/>
        </w:rPr>
      </w:pPr>
      <w:r w:rsidRPr="004D0682">
        <w:rPr>
          <w:rFonts w:ascii="Garamond" w:hAnsi="Garamond"/>
          <w:b/>
          <w:bCs/>
        </w:rPr>
        <w:t>Warranted or Unwarranted Disparities?</w:t>
      </w:r>
    </w:p>
    <w:p w14:paraId="137BBA24" w14:textId="482381C8" w:rsidR="00FD3383" w:rsidRDefault="002D548D" w:rsidP="00197016">
      <w:pPr>
        <w:spacing w:after="120" w:line="240" w:lineRule="auto"/>
        <w:jc w:val="both"/>
        <w:rPr>
          <w:rFonts w:ascii="Garamond" w:hAnsi="Garamond"/>
        </w:rPr>
      </w:pPr>
      <w:r w:rsidRPr="002D548D">
        <w:rPr>
          <w:rFonts w:ascii="Garamond" w:hAnsi="Garamond"/>
        </w:rPr>
        <w:t>Disparities in sentencing do not necessarily indicate judicial prejudice. Variations in guilty plea rates or the types of offen</w:t>
      </w:r>
      <w:r w:rsidR="00FD3A75">
        <w:rPr>
          <w:rFonts w:ascii="Garamond" w:hAnsi="Garamond"/>
        </w:rPr>
        <w:t>c</w:t>
      </w:r>
      <w:r w:rsidRPr="002D548D">
        <w:rPr>
          <w:rFonts w:ascii="Garamond" w:hAnsi="Garamond"/>
        </w:rPr>
        <w:t xml:space="preserve">es committed by different ethnic groups </w:t>
      </w:r>
      <w:r w:rsidR="00E3457E">
        <w:rPr>
          <w:rFonts w:ascii="Garamond" w:hAnsi="Garamond"/>
        </w:rPr>
        <w:t xml:space="preserve">can </w:t>
      </w:r>
      <w:r w:rsidRPr="002D548D">
        <w:rPr>
          <w:rFonts w:ascii="Garamond" w:hAnsi="Garamond"/>
        </w:rPr>
        <w:t>lead to disparities, which we might classify as warranted. To identify unwarranted disparities, researchers rely on statistical models that account for relevant legal factors.</w:t>
      </w:r>
      <w:r>
        <w:rPr>
          <w:rFonts w:ascii="Garamond" w:hAnsi="Garamond"/>
        </w:rPr>
        <w:t xml:space="preserve"> </w:t>
      </w:r>
      <w:r w:rsidR="00FD3383" w:rsidRPr="00FD3383">
        <w:rPr>
          <w:rFonts w:ascii="Garamond" w:hAnsi="Garamond"/>
        </w:rPr>
        <w:t>However, this process is challenging because many legal factors influencing sentence severity are either not recorded with sufficient precision or not recorded at all</w:t>
      </w:r>
      <w:r w:rsidR="00E90892">
        <w:rPr>
          <w:rFonts w:ascii="Garamond" w:hAnsi="Garamond"/>
        </w:rPr>
        <w:t xml:space="preserve"> (</w:t>
      </w:r>
      <w:proofErr w:type="spellStart"/>
      <w:r w:rsidR="00E90892">
        <w:rPr>
          <w:rFonts w:ascii="Garamond" w:hAnsi="Garamond"/>
        </w:rPr>
        <w:t>Baumer</w:t>
      </w:r>
      <w:proofErr w:type="spellEnd"/>
      <w:r w:rsidR="00E90892">
        <w:rPr>
          <w:rFonts w:ascii="Garamond" w:hAnsi="Garamond"/>
        </w:rPr>
        <w:t>, 2013; Halevy, 1995)</w:t>
      </w:r>
      <w:r w:rsidR="00FD3383" w:rsidRPr="00FD3383">
        <w:rPr>
          <w:rFonts w:ascii="Garamond" w:hAnsi="Garamond"/>
        </w:rPr>
        <w:t>.</w:t>
      </w:r>
      <w:r w:rsidR="00FD3383">
        <w:rPr>
          <w:rFonts w:ascii="Garamond" w:hAnsi="Garamond"/>
        </w:rPr>
        <w:t xml:space="preserve"> </w:t>
      </w:r>
    </w:p>
    <w:p w14:paraId="3FA5D156" w14:textId="5E321CA7" w:rsidR="00FB529E" w:rsidRDefault="002D548D" w:rsidP="00197016">
      <w:pPr>
        <w:spacing w:after="120" w:line="240" w:lineRule="auto"/>
        <w:jc w:val="both"/>
        <w:rPr>
          <w:rFonts w:ascii="Garamond" w:hAnsi="Garamond"/>
        </w:rPr>
      </w:pPr>
      <w:r>
        <w:rPr>
          <w:rFonts w:ascii="Garamond" w:hAnsi="Garamond"/>
        </w:rPr>
        <w:t xml:space="preserve">For example, while </w:t>
      </w:r>
      <w:r w:rsidR="00FB529E">
        <w:rPr>
          <w:rFonts w:ascii="Garamond" w:hAnsi="Garamond"/>
        </w:rPr>
        <w:t>Hopkins</w:t>
      </w:r>
      <w:r>
        <w:rPr>
          <w:rFonts w:ascii="Garamond" w:hAnsi="Garamond"/>
        </w:rPr>
        <w:t xml:space="preserve"> (2016)</w:t>
      </w:r>
      <w:r w:rsidR="00FB529E">
        <w:rPr>
          <w:rFonts w:ascii="Garamond" w:hAnsi="Garamond"/>
        </w:rPr>
        <w:t xml:space="preserve"> control</w:t>
      </w:r>
      <w:r>
        <w:rPr>
          <w:rFonts w:ascii="Garamond" w:hAnsi="Garamond"/>
        </w:rPr>
        <w:t>led</w:t>
      </w:r>
      <w:r w:rsidR="00FB529E">
        <w:rPr>
          <w:rFonts w:ascii="Garamond" w:hAnsi="Garamond"/>
        </w:rPr>
        <w:t xml:space="preserve"> for guilty plea and offence </w:t>
      </w:r>
      <w:r>
        <w:rPr>
          <w:rFonts w:ascii="Garamond" w:hAnsi="Garamond"/>
        </w:rPr>
        <w:t>category</w:t>
      </w:r>
      <w:r w:rsidR="00FB529E">
        <w:rPr>
          <w:rFonts w:ascii="Garamond" w:hAnsi="Garamond"/>
        </w:rPr>
        <w:t xml:space="preserve">, </w:t>
      </w:r>
      <w:r w:rsidRPr="002D548D">
        <w:rPr>
          <w:rFonts w:ascii="Garamond" w:hAnsi="Garamond"/>
        </w:rPr>
        <w:t>the analysis overlooked key factors outlined in sentencing guidelines, such as harm, culpability, and aggravating or mitigating circumstances. Additionally, the legal factors that were considered were addressed only imprecisely. Critical details</w:t>
      </w:r>
      <w:r>
        <w:rPr>
          <w:rFonts w:ascii="Garamond" w:hAnsi="Garamond"/>
        </w:rPr>
        <w:t xml:space="preserve"> - </w:t>
      </w:r>
      <w:r w:rsidRPr="002D548D">
        <w:rPr>
          <w:rFonts w:ascii="Garamond" w:hAnsi="Garamond"/>
        </w:rPr>
        <w:t>like the timing of the guilty plea or specific offen</w:t>
      </w:r>
      <w:r w:rsidR="00FD3A75">
        <w:rPr>
          <w:rFonts w:ascii="Garamond" w:hAnsi="Garamond"/>
        </w:rPr>
        <w:t>c</w:t>
      </w:r>
      <w:r w:rsidRPr="002D548D">
        <w:rPr>
          <w:rFonts w:ascii="Garamond" w:hAnsi="Garamond"/>
        </w:rPr>
        <w:t>e types within broader offen</w:t>
      </w:r>
      <w:r w:rsidR="00FD3A75">
        <w:rPr>
          <w:rFonts w:ascii="Garamond" w:hAnsi="Garamond"/>
        </w:rPr>
        <w:t>c</w:t>
      </w:r>
      <w:r w:rsidRPr="002D548D">
        <w:rPr>
          <w:rFonts w:ascii="Garamond" w:hAnsi="Garamond"/>
        </w:rPr>
        <w:t>e categories</w:t>
      </w:r>
      <w:r>
        <w:rPr>
          <w:rFonts w:ascii="Garamond" w:hAnsi="Garamond"/>
        </w:rPr>
        <w:t xml:space="preserve"> - </w:t>
      </w:r>
      <w:r w:rsidRPr="002D548D">
        <w:rPr>
          <w:rFonts w:ascii="Garamond" w:hAnsi="Garamond"/>
        </w:rPr>
        <w:t xml:space="preserve">were excluded, further limiting the </w:t>
      </w:r>
      <w:r w:rsidR="00FD3383">
        <w:rPr>
          <w:rFonts w:ascii="Garamond" w:hAnsi="Garamond"/>
        </w:rPr>
        <w:t xml:space="preserve">validity of her findings. </w:t>
      </w:r>
    </w:p>
    <w:p w14:paraId="00F63906" w14:textId="038A03B5" w:rsidR="00FD3383" w:rsidRDefault="00AC0B8E" w:rsidP="00197016">
      <w:pPr>
        <w:spacing w:after="120" w:line="240" w:lineRule="auto"/>
        <w:jc w:val="both"/>
        <w:rPr>
          <w:rFonts w:ascii="Garamond" w:hAnsi="Garamond"/>
        </w:rPr>
      </w:pPr>
      <w:r>
        <w:rPr>
          <w:rFonts w:ascii="Garamond" w:hAnsi="Garamond"/>
        </w:rPr>
        <w:t xml:space="preserve">The Sentencing Council </w:t>
      </w:r>
      <w:r w:rsidR="00FD3383">
        <w:rPr>
          <w:rFonts w:ascii="Garamond" w:hAnsi="Garamond"/>
        </w:rPr>
        <w:t xml:space="preserve">for England Wales </w:t>
      </w:r>
      <w:r>
        <w:rPr>
          <w:rFonts w:ascii="Garamond" w:hAnsi="Garamond"/>
        </w:rPr>
        <w:t xml:space="preserve">set out to replicate the analysis in Hopkins (2016) </w:t>
      </w:r>
      <w:r w:rsidR="00FD3383">
        <w:rPr>
          <w:rFonts w:ascii="Garamond" w:hAnsi="Garamond"/>
        </w:rPr>
        <w:t>using</w:t>
      </w:r>
      <w:r>
        <w:rPr>
          <w:rFonts w:ascii="Garamond" w:hAnsi="Garamond"/>
        </w:rPr>
        <w:t xml:space="preserve"> their own </w:t>
      </w:r>
      <w:r w:rsidR="00FD3383">
        <w:rPr>
          <w:rFonts w:ascii="Garamond" w:hAnsi="Garamond"/>
        </w:rPr>
        <w:t xml:space="preserve">survey </w:t>
      </w:r>
      <w:r>
        <w:rPr>
          <w:rFonts w:ascii="Garamond" w:hAnsi="Garamond"/>
        </w:rPr>
        <w:t>data</w:t>
      </w:r>
      <w:r w:rsidR="00FD3383">
        <w:rPr>
          <w:rFonts w:ascii="Garamond" w:hAnsi="Garamond"/>
        </w:rPr>
        <w:t>, which was originally collected</w:t>
      </w:r>
      <w:r>
        <w:rPr>
          <w:rFonts w:ascii="Garamond" w:hAnsi="Garamond"/>
        </w:rPr>
        <w:t xml:space="preserve"> to assess the impact of their sentencing guidelines. </w:t>
      </w:r>
      <w:r w:rsidR="00FD3383" w:rsidRPr="00FD3383">
        <w:rPr>
          <w:rFonts w:ascii="Garamond" w:hAnsi="Garamond"/>
        </w:rPr>
        <w:t>Crucially, this dataset includes most factors listed in the sentencing guidelines, such as harm (e.g., the type and quantity of drugs supplied), culpability (e.g., the offender’s role), and other aggravating or mitigating factors (e.g., whether the offen</w:t>
      </w:r>
      <w:r w:rsidR="00FD3A75">
        <w:rPr>
          <w:rFonts w:ascii="Garamond" w:hAnsi="Garamond"/>
        </w:rPr>
        <w:t>c</w:t>
      </w:r>
      <w:r w:rsidR="00FD3383" w:rsidRPr="00FD3383">
        <w:rPr>
          <w:rFonts w:ascii="Garamond" w:hAnsi="Garamond"/>
        </w:rPr>
        <w:t>e was committed while on license or whether the offender showed remorse).</w:t>
      </w:r>
      <w:r>
        <w:rPr>
          <w:rFonts w:ascii="Garamond" w:hAnsi="Garamond"/>
        </w:rPr>
        <w:t xml:space="preserve"> </w:t>
      </w:r>
    </w:p>
    <w:p w14:paraId="1F04847F" w14:textId="217CDAC8" w:rsidR="00FD3383" w:rsidRDefault="00FD3383" w:rsidP="00197016">
      <w:pPr>
        <w:spacing w:after="120" w:line="240" w:lineRule="auto"/>
        <w:jc w:val="both"/>
        <w:rPr>
          <w:rFonts w:ascii="Garamond" w:hAnsi="Garamond"/>
        </w:rPr>
      </w:pPr>
      <w:r w:rsidRPr="00FD3383">
        <w:rPr>
          <w:rFonts w:ascii="Garamond" w:hAnsi="Garamond"/>
        </w:rPr>
        <w:t xml:space="preserve">As far as we know, the resulting study by Isaac (2021) </w:t>
      </w:r>
      <w:r w:rsidR="00800B44">
        <w:rPr>
          <w:rFonts w:ascii="Garamond" w:hAnsi="Garamond"/>
        </w:rPr>
        <w:t>is unmatched in terms of the number of legal factors controlled for; including harm, culpability, aggravating, and mitigating factors</w:t>
      </w:r>
      <w:r w:rsidRPr="00FD3383">
        <w:rPr>
          <w:rFonts w:ascii="Garamond" w:hAnsi="Garamond"/>
        </w:rPr>
        <w:t xml:space="preserve">. Nonetheless, the study found that black offenders had 40% higher odds of receiving a custodial sentence compared to equivalent white offenders. While this disparity is </w:t>
      </w:r>
      <w:r>
        <w:rPr>
          <w:rFonts w:ascii="Garamond" w:hAnsi="Garamond"/>
        </w:rPr>
        <w:t xml:space="preserve">much </w:t>
      </w:r>
      <w:r w:rsidRPr="00FD3383">
        <w:rPr>
          <w:rFonts w:ascii="Garamond" w:hAnsi="Garamond"/>
        </w:rPr>
        <w:t>smaller than that reported by Hopkins (2016), it remains significant. For instance, assuming a custody rate of 50% for white offenders, this translates to a custody rate of 58.3% for black offenders charged with the same crime, criminal history, and personal circumstances.</w:t>
      </w:r>
    </w:p>
    <w:p w14:paraId="77CB8BE1" w14:textId="1D7C920E" w:rsidR="00D37645" w:rsidRDefault="00FD3383" w:rsidP="00197016">
      <w:pPr>
        <w:spacing w:after="120" w:line="240" w:lineRule="auto"/>
        <w:jc w:val="both"/>
        <w:rPr>
          <w:rFonts w:ascii="Garamond" w:hAnsi="Garamond"/>
        </w:rPr>
      </w:pPr>
      <w:r w:rsidRPr="00FD3383">
        <w:rPr>
          <w:rFonts w:ascii="Garamond" w:hAnsi="Garamond"/>
        </w:rPr>
        <w:t xml:space="preserve">However, the Sentencing Council cautioned that these findings might still reflect unobserved factors, such as recommendations </w:t>
      </w:r>
      <w:r>
        <w:rPr>
          <w:rFonts w:ascii="Garamond" w:hAnsi="Garamond"/>
        </w:rPr>
        <w:t xml:space="preserve">recorded </w:t>
      </w:r>
      <w:r w:rsidRPr="00FD3383">
        <w:rPr>
          <w:rFonts w:ascii="Garamond" w:hAnsi="Garamond"/>
        </w:rPr>
        <w:t>in pre-sentence reports, which could not be controlled for. This leaves us with the question: are these unwarranted disparities or not? At present, it seems that the data can be interpreted to support differing positions</w:t>
      </w:r>
      <w:r>
        <w:rPr>
          <w:rFonts w:ascii="Garamond" w:hAnsi="Garamond"/>
        </w:rPr>
        <w:t xml:space="preserve">. Unfortunately, </w:t>
      </w:r>
      <w:r w:rsidRPr="00FD3383">
        <w:rPr>
          <w:rFonts w:ascii="Garamond" w:hAnsi="Garamond"/>
        </w:rPr>
        <w:t>open-ended conclusions on politically sensitive and complex issues</w:t>
      </w:r>
      <w:r w:rsidR="00046D2E">
        <w:rPr>
          <w:rFonts w:ascii="Garamond" w:hAnsi="Garamond"/>
        </w:rPr>
        <w:t xml:space="preserve"> like this</w:t>
      </w:r>
      <w:r w:rsidRPr="00FD3383">
        <w:rPr>
          <w:rFonts w:ascii="Garamond" w:hAnsi="Garamond"/>
        </w:rPr>
        <w:t xml:space="preserve"> </w:t>
      </w:r>
      <w:r w:rsidR="00046D2E">
        <w:rPr>
          <w:rFonts w:ascii="Garamond" w:hAnsi="Garamond"/>
        </w:rPr>
        <w:t>tend to be prone to</w:t>
      </w:r>
      <w:r w:rsidRPr="00FD3383">
        <w:rPr>
          <w:rFonts w:ascii="Garamond" w:hAnsi="Garamond"/>
        </w:rPr>
        <w:t xml:space="preserve"> confirmation bias, leading readers to default to their pre-existing beliefs. To move beyond this impasse, we need to shed more light on the problem by delving deeper and adopting a more technical approach.</w:t>
      </w:r>
    </w:p>
    <w:p w14:paraId="311066D2" w14:textId="5FF51D6E" w:rsidR="00AC14D6" w:rsidRDefault="001951D8" w:rsidP="00197016">
      <w:pPr>
        <w:spacing w:after="120" w:line="240" w:lineRule="auto"/>
        <w:jc w:val="both"/>
        <w:rPr>
          <w:rFonts w:ascii="Garamond" w:hAnsi="Garamond"/>
        </w:rPr>
      </w:pPr>
      <w:r>
        <w:rPr>
          <w:rFonts w:ascii="Garamond" w:hAnsi="Garamond"/>
        </w:rPr>
        <w:t xml:space="preserve">It is true that the Council’s survey does not capture all potentially relevant factors considered by the judge. As pointed by Isaac (2021), many of these are recorded in the pre-sentence reports, but are not recorded in the Council’s survey, e.g. risk assessment, </w:t>
      </w:r>
      <w:r w:rsidR="00AC14D6">
        <w:rPr>
          <w:rFonts w:ascii="Garamond" w:hAnsi="Garamond"/>
        </w:rPr>
        <w:t xml:space="preserve">or </w:t>
      </w:r>
      <w:r w:rsidRPr="0032255A">
        <w:rPr>
          <w:rFonts w:ascii="Garamond" w:hAnsi="Garamond"/>
        </w:rPr>
        <w:t>potential for rehabilitation.</w:t>
      </w:r>
      <w:r>
        <w:rPr>
          <w:rFonts w:ascii="Garamond" w:hAnsi="Garamond"/>
        </w:rPr>
        <w:t xml:space="preserve"> </w:t>
      </w:r>
      <w:r w:rsidR="00AC14D6">
        <w:rPr>
          <w:rFonts w:ascii="Garamond" w:hAnsi="Garamond"/>
        </w:rPr>
        <w:t>Furthermore, whether a pre-sentence report is available or not is</w:t>
      </w:r>
      <w:r w:rsidR="00FD3383">
        <w:rPr>
          <w:rFonts w:ascii="Garamond" w:hAnsi="Garamond"/>
        </w:rPr>
        <w:t xml:space="preserve"> itself</w:t>
      </w:r>
      <w:r w:rsidR="00AC14D6">
        <w:rPr>
          <w:rFonts w:ascii="Garamond" w:hAnsi="Garamond"/>
        </w:rPr>
        <w:t xml:space="preserve"> a relevant factor</w:t>
      </w:r>
      <w:r w:rsidR="00AB5942">
        <w:rPr>
          <w:rFonts w:ascii="Garamond" w:hAnsi="Garamond"/>
        </w:rPr>
        <w:t>,</w:t>
      </w:r>
      <w:r w:rsidR="002B5AD9">
        <w:rPr>
          <w:rFonts w:ascii="Garamond" w:hAnsi="Garamond"/>
        </w:rPr>
        <w:t xml:space="preserve"> as is the quality of the pre-sentence report. Both are </w:t>
      </w:r>
      <w:r w:rsidR="006859AE" w:rsidRPr="00C428A0">
        <w:rPr>
          <w:rFonts w:ascii="Garamond" w:hAnsi="Garamond"/>
        </w:rPr>
        <w:t xml:space="preserve">expected to </w:t>
      </w:r>
      <w:r w:rsidR="00FD3383" w:rsidRPr="00C428A0">
        <w:rPr>
          <w:rFonts w:ascii="Garamond" w:hAnsi="Garamond"/>
        </w:rPr>
        <w:t>affect sentence severity</w:t>
      </w:r>
      <w:r w:rsidR="00F52628">
        <w:rPr>
          <w:rFonts w:ascii="Garamond" w:hAnsi="Garamond"/>
        </w:rPr>
        <w:t>,</w:t>
      </w:r>
      <w:r w:rsidR="00FD3383" w:rsidRPr="00C428A0">
        <w:rPr>
          <w:rFonts w:ascii="Garamond" w:hAnsi="Garamond"/>
        </w:rPr>
        <w:t xml:space="preserve"> and</w:t>
      </w:r>
      <w:r w:rsidR="002B5AD9" w:rsidRPr="00F52628">
        <w:rPr>
          <w:rFonts w:ascii="Garamond" w:hAnsi="Garamond"/>
        </w:rPr>
        <w:t xml:space="preserve"> both are</w:t>
      </w:r>
      <w:r w:rsidR="00FD3383" w:rsidRPr="00C428A0">
        <w:rPr>
          <w:rFonts w:ascii="Garamond" w:hAnsi="Garamond"/>
        </w:rPr>
        <w:t xml:space="preserve"> potentially unevenly distributed across ethnic groups</w:t>
      </w:r>
      <w:r w:rsidR="00F36622" w:rsidRPr="00F52628">
        <w:rPr>
          <w:rFonts w:ascii="Garamond" w:hAnsi="Garamond"/>
        </w:rPr>
        <w:t xml:space="preserve"> (HM Inspectorate of Probations, 2021)</w:t>
      </w:r>
      <w:r w:rsidR="00AC14D6" w:rsidRPr="00C428A0">
        <w:rPr>
          <w:rFonts w:ascii="Garamond" w:hAnsi="Garamond"/>
        </w:rPr>
        <w:t>.</w:t>
      </w:r>
      <w:r w:rsidR="00AC14D6">
        <w:rPr>
          <w:rFonts w:ascii="Garamond" w:hAnsi="Garamond"/>
        </w:rPr>
        <w:t xml:space="preserve"> Besides </w:t>
      </w:r>
      <w:r w:rsidR="006859AE">
        <w:rPr>
          <w:rFonts w:ascii="Garamond" w:hAnsi="Garamond"/>
        </w:rPr>
        <w:t>legal factors</w:t>
      </w:r>
      <w:r w:rsidR="00FD3383">
        <w:rPr>
          <w:rFonts w:ascii="Garamond" w:hAnsi="Garamond"/>
        </w:rPr>
        <w:t xml:space="preserve"> </w:t>
      </w:r>
      <w:r w:rsidR="002B5AD9">
        <w:rPr>
          <w:rFonts w:ascii="Garamond" w:hAnsi="Garamond"/>
        </w:rPr>
        <w:t xml:space="preserve">considered </w:t>
      </w:r>
      <w:r w:rsidR="00FD3383">
        <w:rPr>
          <w:rFonts w:ascii="Garamond" w:hAnsi="Garamond"/>
        </w:rPr>
        <w:t>in pre-sentence reports,</w:t>
      </w:r>
      <w:r w:rsidR="00AC14D6">
        <w:rPr>
          <w:rFonts w:ascii="Garamond" w:hAnsi="Garamond"/>
        </w:rPr>
        <w:t xml:space="preserve"> there are </w:t>
      </w:r>
      <w:r w:rsidR="006859AE">
        <w:rPr>
          <w:rFonts w:ascii="Garamond" w:hAnsi="Garamond"/>
        </w:rPr>
        <w:t xml:space="preserve">other </w:t>
      </w:r>
      <w:r w:rsidR="00AC14D6">
        <w:rPr>
          <w:rFonts w:ascii="Garamond" w:hAnsi="Garamond"/>
        </w:rPr>
        <w:t>relevant factors that were</w:t>
      </w:r>
      <w:r w:rsidR="00FD3383">
        <w:rPr>
          <w:rFonts w:ascii="Garamond" w:hAnsi="Garamond"/>
        </w:rPr>
        <w:t xml:space="preserve"> no</w:t>
      </w:r>
      <w:r w:rsidR="00AC14D6">
        <w:rPr>
          <w:rFonts w:ascii="Garamond" w:hAnsi="Garamond"/>
        </w:rPr>
        <w:t>t captured in the survey for reasons of confidentiality, most importantly, whether the offender assisted with the prosecution</w:t>
      </w:r>
      <w:r w:rsidR="00A64453">
        <w:rPr>
          <w:rFonts w:ascii="Garamond" w:hAnsi="Garamond"/>
        </w:rPr>
        <w:t xml:space="preserve"> of other cases</w:t>
      </w:r>
      <w:r w:rsidR="00AC14D6">
        <w:rPr>
          <w:rFonts w:ascii="Garamond" w:hAnsi="Garamond"/>
        </w:rPr>
        <w:t xml:space="preserve">. Lastly, some key factors are unduly oversimplified, the best example being </w:t>
      </w:r>
      <w:r w:rsidR="00FD3383">
        <w:rPr>
          <w:rFonts w:ascii="Garamond" w:hAnsi="Garamond"/>
        </w:rPr>
        <w:t xml:space="preserve">the number of </w:t>
      </w:r>
      <w:r w:rsidR="00AC14D6">
        <w:rPr>
          <w:rFonts w:ascii="Garamond" w:hAnsi="Garamond"/>
        </w:rPr>
        <w:t xml:space="preserve">previous convictions, which </w:t>
      </w:r>
      <w:r w:rsidR="00FD3383">
        <w:rPr>
          <w:rFonts w:ascii="Garamond" w:hAnsi="Garamond"/>
        </w:rPr>
        <w:t xml:space="preserve">is </w:t>
      </w:r>
      <w:proofErr w:type="gramStart"/>
      <w:r w:rsidR="00FD3383">
        <w:rPr>
          <w:rFonts w:ascii="Garamond" w:hAnsi="Garamond"/>
        </w:rPr>
        <w:t>interval-censored</w:t>
      </w:r>
      <w:proofErr w:type="gramEnd"/>
      <w:r w:rsidR="00A64453">
        <w:rPr>
          <w:rFonts w:ascii="Garamond" w:hAnsi="Garamond"/>
        </w:rPr>
        <w:t xml:space="preserve">.  </w:t>
      </w:r>
    </w:p>
    <w:p w14:paraId="4D167FF1" w14:textId="144F0B3E" w:rsidR="0059682C" w:rsidRDefault="00AC14D6" w:rsidP="00197016">
      <w:pPr>
        <w:spacing w:after="120" w:line="240" w:lineRule="auto"/>
        <w:jc w:val="both"/>
        <w:rPr>
          <w:rFonts w:ascii="Garamond" w:hAnsi="Garamond"/>
        </w:rPr>
      </w:pPr>
      <w:r>
        <w:rPr>
          <w:rFonts w:ascii="Garamond" w:hAnsi="Garamond"/>
        </w:rPr>
        <w:t xml:space="preserve">However, </w:t>
      </w:r>
      <w:r w:rsidR="00FD3383">
        <w:rPr>
          <w:rFonts w:ascii="Garamond" w:hAnsi="Garamond"/>
        </w:rPr>
        <w:t>failing</w:t>
      </w:r>
      <w:r>
        <w:rPr>
          <w:rFonts w:ascii="Garamond" w:hAnsi="Garamond"/>
        </w:rPr>
        <w:t xml:space="preserve"> to control for </w:t>
      </w:r>
      <w:r w:rsidR="00CC7301">
        <w:rPr>
          <w:rFonts w:ascii="Garamond" w:hAnsi="Garamond"/>
        </w:rPr>
        <w:t xml:space="preserve">all </w:t>
      </w:r>
      <w:r>
        <w:rPr>
          <w:rFonts w:ascii="Garamond" w:hAnsi="Garamond"/>
        </w:rPr>
        <w:t xml:space="preserve">relevant legal factors is not a sufficient condition to claim that the reported disparities are due to quantitative bias. </w:t>
      </w:r>
      <w:r w:rsidR="0059682C" w:rsidRPr="0059682C">
        <w:rPr>
          <w:rFonts w:ascii="Garamond" w:hAnsi="Garamond"/>
        </w:rPr>
        <w:t>For such a claim to hold, these unobserved factors must not only exist but also be disproportionately distributed across ethnic groups and remain unexplained by the factors already controlled for in the model. In our view, both conditions are unlikely.</w:t>
      </w:r>
    </w:p>
    <w:p w14:paraId="0A79BECE" w14:textId="0E802691" w:rsidR="0059682C" w:rsidRDefault="0059682C" w:rsidP="00197016">
      <w:pPr>
        <w:spacing w:after="120" w:line="240" w:lineRule="auto"/>
        <w:jc w:val="both"/>
        <w:rPr>
          <w:rFonts w:ascii="Garamond" w:hAnsi="Garamond"/>
        </w:rPr>
      </w:pPr>
      <w:r w:rsidRPr="0059682C">
        <w:rPr>
          <w:rFonts w:ascii="Garamond" w:hAnsi="Garamond"/>
        </w:rPr>
        <w:t>For instance, while the Sentencing Council study could not directly account for factors like the offender’s dangerousness or rehabilitation potential (e.g., through the offender’s risk assessment score in the pre-sentence report),</w:t>
      </w:r>
      <w:r>
        <w:rPr>
          <w:rFonts w:ascii="Garamond" w:hAnsi="Garamond"/>
        </w:rPr>
        <w:t xml:space="preserve"> it</w:t>
      </w:r>
      <w:r w:rsidR="00AC14D6">
        <w:rPr>
          <w:rFonts w:ascii="Garamond" w:hAnsi="Garamond"/>
        </w:rPr>
        <w:t xml:space="preserve"> did control for many of </w:t>
      </w:r>
      <w:r>
        <w:rPr>
          <w:rFonts w:ascii="Garamond" w:hAnsi="Garamond"/>
        </w:rPr>
        <w:t>their</w:t>
      </w:r>
      <w:r w:rsidR="00AC14D6">
        <w:rPr>
          <w:rFonts w:ascii="Garamond" w:hAnsi="Garamond"/>
        </w:rPr>
        <w:t xml:space="preserve"> constitutive elements</w:t>
      </w:r>
      <w:r>
        <w:rPr>
          <w:rFonts w:ascii="Garamond" w:hAnsi="Garamond"/>
        </w:rPr>
        <w:t>.</w:t>
      </w:r>
      <w:r w:rsidR="00AC14D6">
        <w:rPr>
          <w:rFonts w:ascii="Garamond" w:hAnsi="Garamond"/>
        </w:rPr>
        <w:t xml:space="preserve"> </w:t>
      </w:r>
      <w:r w:rsidRPr="0059682C">
        <w:rPr>
          <w:rFonts w:ascii="Garamond" w:hAnsi="Garamond"/>
        </w:rPr>
        <w:t xml:space="preserve">These include the offender’s criminal history, whether they targeted a vulnerable victim, their role in the offence, and whether </w:t>
      </w:r>
      <w:r w:rsidR="00A347DA">
        <w:rPr>
          <w:rFonts w:ascii="Garamond" w:hAnsi="Garamond"/>
        </w:rPr>
        <w:t>the judge believes that</w:t>
      </w:r>
      <w:r w:rsidR="00A347DA" w:rsidRPr="0059682C">
        <w:rPr>
          <w:rFonts w:ascii="Garamond" w:hAnsi="Garamond"/>
        </w:rPr>
        <w:t xml:space="preserve"> </w:t>
      </w:r>
      <w:r w:rsidR="00A347DA">
        <w:rPr>
          <w:rFonts w:ascii="Garamond" w:hAnsi="Garamond"/>
        </w:rPr>
        <w:t>the offender is addressing or has the potential to address their addiction/offending behaviour</w:t>
      </w:r>
      <w:r w:rsidRPr="0059682C">
        <w:rPr>
          <w:rFonts w:ascii="Garamond" w:hAnsi="Garamond"/>
        </w:rPr>
        <w:t>. As a result, aspects of dangerousness or rehabilitation potential are indirectly accounted for.</w:t>
      </w:r>
      <w:r>
        <w:rPr>
          <w:rStyle w:val="FootnoteReference"/>
          <w:rFonts w:ascii="Garamond" w:hAnsi="Garamond"/>
        </w:rPr>
        <w:footnoteReference w:id="8"/>
      </w:r>
      <w:r w:rsidR="00BC38B2">
        <w:rPr>
          <w:rFonts w:ascii="Garamond" w:hAnsi="Garamond"/>
        </w:rPr>
        <w:t xml:space="preserve"> </w:t>
      </w:r>
    </w:p>
    <w:p w14:paraId="526DC538" w14:textId="1102A20A" w:rsidR="004B6CD1" w:rsidRDefault="0059682C" w:rsidP="00197016">
      <w:pPr>
        <w:spacing w:after="120" w:line="240" w:lineRule="auto"/>
        <w:jc w:val="both"/>
        <w:rPr>
          <w:rFonts w:ascii="Garamond" w:hAnsi="Garamond"/>
        </w:rPr>
      </w:pPr>
      <w:r>
        <w:rPr>
          <w:rFonts w:ascii="Garamond" w:hAnsi="Garamond"/>
        </w:rPr>
        <w:t>Even</w:t>
      </w:r>
      <w:r w:rsidR="005F17DE">
        <w:rPr>
          <w:rFonts w:ascii="Garamond" w:hAnsi="Garamond"/>
        </w:rPr>
        <w:t xml:space="preserve"> if we disregard that point entirely, for the observed disparities to be nothing more than statistical bias we would</w:t>
      </w:r>
      <w:r w:rsidR="004B6CD1">
        <w:rPr>
          <w:rFonts w:ascii="Garamond" w:hAnsi="Garamond"/>
        </w:rPr>
        <w:t xml:space="preserve"> still</w:t>
      </w:r>
      <w:r w:rsidR="005F17DE">
        <w:rPr>
          <w:rFonts w:ascii="Garamond" w:hAnsi="Garamond"/>
        </w:rPr>
        <w:t xml:space="preserve"> need those missing factors to be unevenly distributed across ethnic groups.</w:t>
      </w:r>
      <w:r w:rsidR="00A014EA">
        <w:rPr>
          <w:rFonts w:ascii="Garamond" w:hAnsi="Garamond"/>
        </w:rPr>
        <w:t xml:space="preserve"> </w:t>
      </w:r>
      <w:r w:rsidR="004B6CD1" w:rsidRPr="004B6CD1">
        <w:rPr>
          <w:rFonts w:ascii="Garamond" w:hAnsi="Garamond"/>
        </w:rPr>
        <w:t xml:space="preserve">To quantify the likelihood of such scenarios, </w:t>
      </w:r>
      <w:r w:rsidR="0003196B" w:rsidRPr="0003196B">
        <w:rPr>
          <w:rFonts w:ascii="Garamond" w:hAnsi="Garamond"/>
        </w:rPr>
        <w:t>Pina-S</w:t>
      </w:r>
      <w:r w:rsidR="00F52628">
        <w:rPr>
          <w:rFonts w:ascii="Garamond" w:hAnsi="Garamond"/>
        </w:rPr>
        <w:t>á</w:t>
      </w:r>
      <w:r w:rsidR="0003196B" w:rsidRPr="0003196B">
        <w:rPr>
          <w:rFonts w:ascii="Garamond" w:hAnsi="Garamond"/>
        </w:rPr>
        <w:t>nchez et al. (2023)</w:t>
      </w:r>
      <w:r w:rsidR="004B6CD1" w:rsidRPr="004B6CD1">
        <w:rPr>
          <w:rFonts w:ascii="Garamond" w:hAnsi="Garamond"/>
        </w:rPr>
        <w:t xml:space="preserve"> conducted an analysis based on simulated data. Since the original dataset was unavailable, </w:t>
      </w:r>
      <w:r w:rsidR="0003196B">
        <w:rPr>
          <w:rFonts w:ascii="Garamond" w:hAnsi="Garamond"/>
        </w:rPr>
        <w:t>the study</w:t>
      </w:r>
      <w:r w:rsidR="004B6CD1" w:rsidRPr="004B6CD1">
        <w:rPr>
          <w:rFonts w:ascii="Garamond" w:hAnsi="Garamond"/>
        </w:rPr>
        <w:t xml:space="preserve"> recreated a dataset approximating the key statistical properties of the one used by the Sentencing Council, as reported in Isaac (2021). These properties included metrics such as the custody rate for </w:t>
      </w:r>
      <w:r w:rsidR="00A10D7B">
        <w:rPr>
          <w:rFonts w:ascii="Garamond" w:hAnsi="Garamond"/>
        </w:rPr>
        <w:t>w</w:t>
      </w:r>
      <w:r w:rsidR="004B6CD1" w:rsidRPr="004B6CD1">
        <w:rPr>
          <w:rFonts w:ascii="Garamond" w:hAnsi="Garamond"/>
        </w:rPr>
        <w:t xml:space="preserve">hite and </w:t>
      </w:r>
      <w:r w:rsidR="00A10D7B">
        <w:rPr>
          <w:rFonts w:ascii="Garamond" w:hAnsi="Garamond"/>
        </w:rPr>
        <w:t>b</w:t>
      </w:r>
      <w:r w:rsidR="004B6CD1" w:rsidRPr="004B6CD1">
        <w:rPr>
          <w:rFonts w:ascii="Garamond" w:hAnsi="Garamond"/>
        </w:rPr>
        <w:t xml:space="preserve">lack offenders and the estimated effect of ethnicity on custody probability. </w:t>
      </w:r>
      <w:r w:rsidR="0003196B">
        <w:rPr>
          <w:rFonts w:ascii="Garamond" w:hAnsi="Garamond"/>
        </w:rPr>
        <w:t>It</w:t>
      </w:r>
      <w:r w:rsidR="0003196B" w:rsidRPr="004B6CD1">
        <w:rPr>
          <w:rFonts w:ascii="Garamond" w:hAnsi="Garamond"/>
        </w:rPr>
        <w:t xml:space="preserve"> </w:t>
      </w:r>
      <w:r w:rsidR="004B6CD1" w:rsidRPr="004B6CD1">
        <w:rPr>
          <w:rFonts w:ascii="Garamond" w:hAnsi="Garamond"/>
        </w:rPr>
        <w:t xml:space="preserve">then tested for hypothetical factors strong enough to account for the observed disparities. </w:t>
      </w:r>
      <w:r w:rsidR="0003196B">
        <w:rPr>
          <w:rFonts w:ascii="Garamond" w:hAnsi="Garamond"/>
        </w:rPr>
        <w:t>The</w:t>
      </w:r>
      <w:r w:rsidR="004B6CD1" w:rsidRPr="004B6CD1">
        <w:rPr>
          <w:rFonts w:ascii="Garamond" w:hAnsi="Garamond"/>
        </w:rPr>
        <w:t xml:space="preserve"> findings indicate that for a missing factor to eliminate the reported disparities, it would need to meet </w:t>
      </w:r>
      <w:r w:rsidR="0012489B">
        <w:rPr>
          <w:rFonts w:ascii="Garamond" w:hAnsi="Garamond"/>
        </w:rPr>
        <w:t xml:space="preserve">a </w:t>
      </w:r>
      <w:r w:rsidR="00627F16">
        <w:rPr>
          <w:rFonts w:ascii="Garamond" w:hAnsi="Garamond"/>
        </w:rPr>
        <w:t xml:space="preserve">set of stringent </w:t>
      </w:r>
      <w:r w:rsidR="0012489B">
        <w:rPr>
          <w:rFonts w:ascii="Garamond" w:hAnsi="Garamond"/>
        </w:rPr>
        <w:t xml:space="preserve">conditions. </w:t>
      </w:r>
      <w:r w:rsidR="00627F16">
        <w:rPr>
          <w:rFonts w:ascii="Garamond" w:hAnsi="Garamond"/>
        </w:rPr>
        <w:t>For example, in one of the four scenarios identified, the unobserved legal factors</w:t>
      </w:r>
      <w:r w:rsidR="0003196B">
        <w:rPr>
          <w:rFonts w:ascii="Garamond" w:hAnsi="Garamond"/>
        </w:rPr>
        <w:t xml:space="preserve"> would need</w:t>
      </w:r>
      <w:r w:rsidR="00627F16">
        <w:rPr>
          <w:rFonts w:ascii="Garamond" w:hAnsi="Garamond"/>
        </w:rPr>
        <w:t xml:space="preserve"> to</w:t>
      </w:r>
      <w:r w:rsidR="004B6CD1" w:rsidRPr="004B6CD1">
        <w:rPr>
          <w:rFonts w:ascii="Garamond" w:hAnsi="Garamond"/>
        </w:rPr>
        <w:t xml:space="preserve">: </w:t>
      </w:r>
      <w:proofErr w:type="spellStart"/>
      <w:r w:rsidR="004B6CD1" w:rsidRPr="004B6CD1">
        <w:rPr>
          <w:rFonts w:ascii="Garamond" w:hAnsi="Garamond"/>
        </w:rPr>
        <w:t>i</w:t>
      </w:r>
      <w:proofErr w:type="spellEnd"/>
      <w:r w:rsidR="004B6CD1" w:rsidRPr="004B6CD1">
        <w:rPr>
          <w:rFonts w:ascii="Garamond" w:hAnsi="Garamond"/>
        </w:rPr>
        <w:t xml:space="preserve">) increase the probability of custody by at least 10%; ii) be present in at least 70% of the reference group (white offenders); and iii) be at least 20% more prevalent in the treatment group (i.e., present in at least 84% of Black offenders). While we cannot entirely rule out the existence of such a factor, </w:t>
      </w:r>
      <w:r w:rsidR="0003196B">
        <w:rPr>
          <w:rFonts w:ascii="Garamond" w:hAnsi="Garamond"/>
        </w:rPr>
        <w:t>it is</w:t>
      </w:r>
      <w:r w:rsidR="004B6CD1" w:rsidRPr="004B6CD1">
        <w:rPr>
          <w:rFonts w:ascii="Garamond" w:hAnsi="Garamond"/>
        </w:rPr>
        <w:t xml:space="preserve"> highly improbable.</w:t>
      </w:r>
      <w:r w:rsidR="0055769A">
        <w:rPr>
          <w:rStyle w:val="FootnoteReference"/>
          <w:rFonts w:ascii="Garamond" w:hAnsi="Garamond"/>
        </w:rPr>
        <w:footnoteReference w:id="9"/>
      </w:r>
      <w:r w:rsidR="00A014EA" w:rsidRPr="00A014EA">
        <w:rPr>
          <w:rFonts w:ascii="Garamond" w:hAnsi="Garamond"/>
        </w:rPr>
        <w:t xml:space="preserve"> </w:t>
      </w:r>
      <w:r w:rsidR="00A014EA">
        <w:rPr>
          <w:rFonts w:ascii="Garamond" w:hAnsi="Garamond"/>
        </w:rPr>
        <w:t>Therefore, and despite the complexity of the question</w:t>
      </w:r>
      <w:r w:rsidR="00A014EA">
        <w:rPr>
          <w:rStyle w:val="FootnoteReference"/>
          <w:rFonts w:ascii="Garamond" w:hAnsi="Garamond"/>
        </w:rPr>
        <w:footnoteReference w:id="10"/>
      </w:r>
      <w:r w:rsidR="00A014EA">
        <w:rPr>
          <w:rFonts w:ascii="Garamond" w:hAnsi="Garamond"/>
        </w:rPr>
        <w:t xml:space="preserve">, we </w:t>
      </w:r>
      <w:r w:rsidR="00A014EA" w:rsidRPr="004B6CD1">
        <w:rPr>
          <w:rFonts w:ascii="Garamond" w:hAnsi="Garamond"/>
        </w:rPr>
        <w:t>conclu</w:t>
      </w:r>
      <w:r w:rsidR="00A014EA">
        <w:rPr>
          <w:rFonts w:ascii="Garamond" w:hAnsi="Garamond"/>
        </w:rPr>
        <w:t>de</w:t>
      </w:r>
      <w:r w:rsidR="00A014EA" w:rsidRPr="004B6CD1">
        <w:rPr>
          <w:rFonts w:ascii="Garamond" w:hAnsi="Garamond"/>
        </w:rPr>
        <w:t xml:space="preserve"> that the reported ethnic disparities among drug offenders are unwarranted.</w:t>
      </w:r>
      <w:r w:rsidR="0012489B">
        <w:rPr>
          <w:rFonts w:ascii="Garamond" w:hAnsi="Garamond"/>
        </w:rPr>
        <w:t xml:space="preserve"> </w:t>
      </w:r>
    </w:p>
    <w:p w14:paraId="4CE5CFA3" w14:textId="317CC58B" w:rsidR="00FC2B33" w:rsidRDefault="00A014EA" w:rsidP="00197016">
      <w:pPr>
        <w:spacing w:after="120" w:line="240" w:lineRule="auto"/>
        <w:jc w:val="both"/>
        <w:rPr>
          <w:rFonts w:ascii="Garamond" w:hAnsi="Garamond"/>
        </w:rPr>
      </w:pPr>
      <w:r>
        <w:rPr>
          <w:rFonts w:ascii="Garamond" w:hAnsi="Garamond"/>
        </w:rPr>
        <w:t>Acknowledging</w:t>
      </w:r>
      <w:r w:rsidR="004B6CD1" w:rsidRPr="004B6CD1">
        <w:rPr>
          <w:rFonts w:ascii="Garamond" w:hAnsi="Garamond"/>
        </w:rPr>
        <w:t xml:space="preserve"> this reality means we canno</w:t>
      </w:r>
      <w:r w:rsidR="004B6CD1">
        <w:rPr>
          <w:rFonts w:ascii="Garamond" w:hAnsi="Garamond"/>
        </w:rPr>
        <w:t>t</w:t>
      </w:r>
      <w:r w:rsidR="004B6CD1" w:rsidRPr="004B6CD1">
        <w:rPr>
          <w:rFonts w:ascii="Garamond" w:hAnsi="Garamond"/>
        </w:rPr>
        <w:t xml:space="preserve"> ignore the problem.</w:t>
      </w:r>
      <w:r w:rsidR="004B6CD1">
        <w:rPr>
          <w:rFonts w:ascii="Garamond" w:hAnsi="Garamond"/>
        </w:rPr>
        <w:t xml:space="preserve"> </w:t>
      </w:r>
      <w:r>
        <w:rPr>
          <w:rFonts w:ascii="Garamond" w:hAnsi="Garamond"/>
        </w:rPr>
        <w:t xml:space="preserve">Even if </w:t>
      </w:r>
      <w:r w:rsidR="00A27F88">
        <w:rPr>
          <w:rFonts w:ascii="Garamond" w:hAnsi="Garamond"/>
        </w:rPr>
        <w:t>sentencing disparities are</w:t>
      </w:r>
      <w:r>
        <w:rPr>
          <w:rFonts w:ascii="Garamond" w:hAnsi="Garamond"/>
        </w:rPr>
        <w:t xml:space="preserve"> highly localised and smaller in size than previously considered, the</w:t>
      </w:r>
      <w:r w:rsidR="00A27F88">
        <w:rPr>
          <w:rFonts w:ascii="Garamond" w:hAnsi="Garamond"/>
        </w:rPr>
        <w:t xml:space="preserve">y still appear to indicate a </w:t>
      </w:r>
      <w:r>
        <w:rPr>
          <w:rFonts w:ascii="Garamond" w:hAnsi="Garamond"/>
        </w:rPr>
        <w:t>violation of the principle of equality under the law</w:t>
      </w:r>
      <w:r w:rsidR="00A27F88">
        <w:rPr>
          <w:rFonts w:ascii="Garamond" w:hAnsi="Garamond"/>
        </w:rPr>
        <w:t xml:space="preserve"> – a breach of a fundamental expectation in liberal democracies that</w:t>
      </w:r>
      <w:r>
        <w:rPr>
          <w:rFonts w:ascii="Garamond" w:hAnsi="Garamond"/>
        </w:rPr>
        <w:t xml:space="preserve"> </w:t>
      </w:r>
      <w:r w:rsidR="00A27F88">
        <w:rPr>
          <w:rFonts w:ascii="Garamond" w:hAnsi="Garamond"/>
        </w:rPr>
        <w:t xml:space="preserve">simply </w:t>
      </w:r>
      <w:r>
        <w:rPr>
          <w:rFonts w:ascii="Garamond" w:hAnsi="Garamond"/>
        </w:rPr>
        <w:t xml:space="preserve">cannot </w:t>
      </w:r>
      <w:r w:rsidR="00A27F88">
        <w:rPr>
          <w:rFonts w:ascii="Garamond" w:hAnsi="Garamond"/>
        </w:rPr>
        <w:t>be accepted</w:t>
      </w:r>
      <w:r>
        <w:rPr>
          <w:rFonts w:ascii="Garamond" w:hAnsi="Garamond"/>
        </w:rPr>
        <w:t>.</w:t>
      </w:r>
      <w:r w:rsidR="00A27F88">
        <w:rPr>
          <w:rFonts w:ascii="Garamond" w:hAnsi="Garamond"/>
        </w:rPr>
        <w:t xml:space="preserve"> </w:t>
      </w:r>
      <w:r w:rsidR="00A27F88" w:rsidRPr="00A27F88">
        <w:rPr>
          <w:rFonts w:ascii="Garamond" w:hAnsi="Garamond"/>
        </w:rPr>
        <w:t>In Section 5, we propose potential solutions. However, to implement them effectively, it is critical to understand the exact sources of these disparities. In the following section, we examine where these disparities are most pronounced, aiming to uncover their causal mechanisms and better inform the design of targeted</w:t>
      </w:r>
      <w:r w:rsidR="0003196B">
        <w:rPr>
          <w:rFonts w:ascii="Garamond" w:hAnsi="Garamond"/>
        </w:rPr>
        <w:t xml:space="preserve"> and</w:t>
      </w:r>
      <w:r w:rsidR="00A27F88" w:rsidRPr="00A27F88">
        <w:rPr>
          <w:rFonts w:ascii="Garamond" w:hAnsi="Garamond"/>
        </w:rPr>
        <w:t xml:space="preserve"> effective interventions.</w:t>
      </w:r>
    </w:p>
    <w:p w14:paraId="7A4E7B55" w14:textId="77777777" w:rsidR="00A27F88" w:rsidRDefault="00A27F88" w:rsidP="00197016">
      <w:pPr>
        <w:spacing w:after="120" w:line="240" w:lineRule="auto"/>
        <w:jc w:val="both"/>
        <w:rPr>
          <w:rFonts w:ascii="Garamond" w:hAnsi="Garamond"/>
        </w:rPr>
      </w:pPr>
    </w:p>
    <w:p w14:paraId="3CE8BAEA" w14:textId="2FCCEB28" w:rsidR="001B0544" w:rsidRPr="004D0682" w:rsidRDefault="001B0544" w:rsidP="00D43BBC">
      <w:pPr>
        <w:pStyle w:val="ListParagraph"/>
        <w:numPr>
          <w:ilvl w:val="0"/>
          <w:numId w:val="1"/>
        </w:numPr>
        <w:spacing w:after="120" w:line="240" w:lineRule="auto"/>
        <w:jc w:val="both"/>
        <w:rPr>
          <w:rFonts w:ascii="Garamond" w:hAnsi="Garamond"/>
          <w:b/>
          <w:bCs/>
        </w:rPr>
      </w:pPr>
      <w:r w:rsidRPr="004D0682">
        <w:rPr>
          <w:rFonts w:ascii="Garamond" w:hAnsi="Garamond"/>
          <w:b/>
          <w:bCs/>
        </w:rPr>
        <w:t>Where Are Disparities Coming From?</w:t>
      </w:r>
    </w:p>
    <w:p w14:paraId="424C37DA" w14:textId="6F88FCF0" w:rsidR="00E175EA" w:rsidRDefault="00E175EA" w:rsidP="00197016">
      <w:pPr>
        <w:spacing w:after="120" w:line="240" w:lineRule="auto"/>
        <w:jc w:val="both"/>
        <w:rPr>
          <w:rFonts w:ascii="Garamond" w:hAnsi="Garamond"/>
        </w:rPr>
      </w:pPr>
      <w:r>
        <w:rPr>
          <w:rFonts w:ascii="Garamond" w:hAnsi="Garamond"/>
        </w:rPr>
        <w:t xml:space="preserve">As noted, Hopkins (2016) only found disparities in one of three offence groups considered. Using more recent data covering sentences imposed in the Crown Court from </w:t>
      </w:r>
      <w:r w:rsidR="00CC0D42">
        <w:rPr>
          <w:rFonts w:ascii="Garamond" w:hAnsi="Garamond"/>
        </w:rPr>
        <w:t>2018</w:t>
      </w:r>
      <w:r>
        <w:rPr>
          <w:rFonts w:ascii="Garamond" w:hAnsi="Garamond"/>
        </w:rPr>
        <w:t xml:space="preserve"> to </w:t>
      </w:r>
      <w:r w:rsidR="00CC0D42">
        <w:rPr>
          <w:rFonts w:ascii="Garamond" w:hAnsi="Garamond"/>
        </w:rPr>
        <w:t>2020</w:t>
      </w:r>
      <w:r w:rsidR="007512AB">
        <w:rPr>
          <w:rFonts w:ascii="Garamond" w:hAnsi="Garamond"/>
        </w:rPr>
        <w:t>,</w:t>
      </w:r>
      <w:r>
        <w:rPr>
          <w:rFonts w:ascii="Garamond" w:hAnsi="Garamond"/>
        </w:rPr>
        <w:t xml:space="preserve"> Pina-Sánchez et al. (202</w:t>
      </w:r>
      <w:r w:rsidR="00333633">
        <w:rPr>
          <w:rFonts w:ascii="Garamond" w:hAnsi="Garamond"/>
        </w:rPr>
        <w:t>5</w:t>
      </w:r>
      <w:r>
        <w:rPr>
          <w:rFonts w:ascii="Garamond" w:hAnsi="Garamond"/>
        </w:rPr>
        <w:t xml:space="preserve">) corroborated that finding. Specifically, </w:t>
      </w:r>
      <w:r w:rsidR="002812DD">
        <w:rPr>
          <w:rFonts w:ascii="Garamond" w:hAnsi="Garamond"/>
        </w:rPr>
        <w:t>it</w:t>
      </w:r>
      <w:r>
        <w:rPr>
          <w:rFonts w:ascii="Garamond" w:hAnsi="Garamond"/>
        </w:rPr>
        <w:t xml:space="preserve"> explored eight offence groups but only found evidence of substantive disparities amongst drug offenders</w:t>
      </w:r>
      <w:r w:rsidR="003F7A32">
        <w:rPr>
          <w:rFonts w:ascii="Garamond" w:hAnsi="Garamond"/>
        </w:rPr>
        <w:t>. In that ca</w:t>
      </w:r>
      <w:r w:rsidR="00CC0D42">
        <w:rPr>
          <w:rFonts w:ascii="Garamond" w:hAnsi="Garamond"/>
        </w:rPr>
        <w:t>tegory, and</w:t>
      </w:r>
      <w:r w:rsidR="003F7A32">
        <w:rPr>
          <w:rFonts w:ascii="Garamond" w:hAnsi="Garamond"/>
        </w:rPr>
        <w:t xml:space="preserve"> after conditioning on guilty plea, previous convictions</w:t>
      </w:r>
      <w:r w:rsidR="00527C23">
        <w:rPr>
          <w:rFonts w:ascii="Garamond" w:hAnsi="Garamond"/>
        </w:rPr>
        <w:t>,</w:t>
      </w:r>
      <w:r w:rsidR="003F7A32">
        <w:rPr>
          <w:rFonts w:ascii="Garamond" w:hAnsi="Garamond"/>
        </w:rPr>
        <w:t xml:space="preserve"> age and gender, ethnic minority offenders have an average </w:t>
      </w:r>
      <w:r w:rsidR="00CC0D42">
        <w:rPr>
          <w:rFonts w:ascii="Garamond" w:hAnsi="Garamond"/>
        </w:rPr>
        <w:t>0.65</w:t>
      </w:r>
      <w:r w:rsidR="003F7A32">
        <w:rPr>
          <w:rFonts w:ascii="Garamond" w:hAnsi="Garamond"/>
        </w:rPr>
        <w:t xml:space="preserve"> probability of custody compared to </w:t>
      </w:r>
      <w:r w:rsidR="00CC0D42">
        <w:rPr>
          <w:rFonts w:ascii="Garamond" w:hAnsi="Garamond"/>
        </w:rPr>
        <w:t>0.58</w:t>
      </w:r>
      <w:r w:rsidR="003F7A32">
        <w:rPr>
          <w:rFonts w:ascii="Garamond" w:hAnsi="Garamond"/>
        </w:rPr>
        <w:t xml:space="preserve"> for white offenders. The second largest disparities were for assault, where </w:t>
      </w:r>
      <w:r w:rsidR="002812DD">
        <w:rPr>
          <w:rFonts w:ascii="Garamond" w:hAnsi="Garamond"/>
        </w:rPr>
        <w:t xml:space="preserve">the study </w:t>
      </w:r>
      <w:r w:rsidR="003F7A32">
        <w:rPr>
          <w:rFonts w:ascii="Garamond" w:hAnsi="Garamond"/>
        </w:rPr>
        <w:t>observed</w:t>
      </w:r>
      <w:r w:rsidR="002812DD">
        <w:rPr>
          <w:rFonts w:ascii="Garamond" w:hAnsi="Garamond"/>
        </w:rPr>
        <w:t xml:space="preserve"> </w:t>
      </w:r>
      <w:r w:rsidR="00CC0D42">
        <w:rPr>
          <w:rFonts w:ascii="Garamond" w:hAnsi="Garamond"/>
        </w:rPr>
        <w:t xml:space="preserve">only </w:t>
      </w:r>
      <w:r w:rsidR="003F7A32">
        <w:rPr>
          <w:rFonts w:ascii="Garamond" w:hAnsi="Garamond"/>
        </w:rPr>
        <w:t xml:space="preserve">a </w:t>
      </w:r>
      <w:r w:rsidR="00CC0D42">
        <w:rPr>
          <w:rFonts w:ascii="Garamond" w:hAnsi="Garamond"/>
        </w:rPr>
        <w:t>three-percentage</w:t>
      </w:r>
      <w:r w:rsidR="003F7A32">
        <w:rPr>
          <w:rFonts w:ascii="Garamond" w:hAnsi="Garamond"/>
        </w:rPr>
        <w:t xml:space="preserve"> point difference against ethnic minority offenders. For all other six offence groups considered the disparities were even smaller, failing to meet the threshold of statistical significance. </w:t>
      </w:r>
    </w:p>
    <w:p w14:paraId="2CB00581" w14:textId="3037C4C9" w:rsidR="003F7A32" w:rsidRDefault="003F7A32" w:rsidP="00197016">
      <w:pPr>
        <w:spacing w:after="120" w:line="240" w:lineRule="auto"/>
        <w:jc w:val="both"/>
        <w:rPr>
          <w:rFonts w:ascii="Garamond" w:hAnsi="Garamond"/>
        </w:rPr>
      </w:pPr>
      <w:r>
        <w:rPr>
          <w:rFonts w:ascii="Garamond" w:hAnsi="Garamond"/>
        </w:rPr>
        <w:t>Th</w:t>
      </w:r>
      <w:r w:rsidR="00CC0D42">
        <w:rPr>
          <w:rFonts w:ascii="Garamond" w:hAnsi="Garamond"/>
        </w:rPr>
        <w:t>ese findings</w:t>
      </w:r>
      <w:r>
        <w:rPr>
          <w:rFonts w:ascii="Garamond" w:hAnsi="Garamond"/>
        </w:rPr>
        <w:t xml:space="preserve"> reinforce the idea that ethnic disparities in sentencing in England and Wales are not widespread but heavily concentrated amongst drug offenders, and consequently, </w:t>
      </w:r>
      <w:r w:rsidR="001F5B65">
        <w:rPr>
          <w:rFonts w:ascii="Garamond" w:hAnsi="Garamond"/>
        </w:rPr>
        <w:t xml:space="preserve">had we </w:t>
      </w:r>
      <w:r>
        <w:rPr>
          <w:rFonts w:ascii="Garamond" w:hAnsi="Garamond"/>
        </w:rPr>
        <w:t xml:space="preserve">focused </w:t>
      </w:r>
      <w:r w:rsidR="001F5B65">
        <w:rPr>
          <w:rFonts w:ascii="Garamond" w:hAnsi="Garamond"/>
        </w:rPr>
        <w:t>our</w:t>
      </w:r>
      <w:r>
        <w:rPr>
          <w:rFonts w:ascii="Garamond" w:hAnsi="Garamond"/>
        </w:rPr>
        <w:t xml:space="preserve"> </w:t>
      </w:r>
      <w:r w:rsidR="001F5B65">
        <w:rPr>
          <w:rFonts w:ascii="Garamond" w:hAnsi="Garamond"/>
        </w:rPr>
        <w:t xml:space="preserve">analysis </w:t>
      </w:r>
      <w:r>
        <w:rPr>
          <w:rFonts w:ascii="Garamond" w:hAnsi="Garamond"/>
        </w:rPr>
        <w:t>on that offence group we might have contributed to perpetuate a view of widespread disparities.</w:t>
      </w:r>
      <w:r w:rsidR="007512AB">
        <w:rPr>
          <w:rFonts w:ascii="Garamond" w:hAnsi="Garamond"/>
        </w:rPr>
        <w:t xml:space="preserve"> </w:t>
      </w:r>
    </w:p>
    <w:p w14:paraId="4F005BAF" w14:textId="0F3C5C74" w:rsidR="00C07E91" w:rsidRDefault="001F5B65" w:rsidP="00197016">
      <w:pPr>
        <w:spacing w:after="120" w:line="240" w:lineRule="auto"/>
        <w:jc w:val="both"/>
        <w:rPr>
          <w:rFonts w:ascii="Garamond" w:hAnsi="Garamond"/>
        </w:rPr>
      </w:pPr>
      <w:r>
        <w:rPr>
          <w:rFonts w:ascii="Garamond" w:hAnsi="Garamond"/>
        </w:rPr>
        <w:t>T</w:t>
      </w:r>
      <w:r w:rsidR="003F7A32">
        <w:rPr>
          <w:rFonts w:ascii="Garamond" w:hAnsi="Garamond"/>
        </w:rPr>
        <w:t>h</w:t>
      </w:r>
      <w:r w:rsidR="007512AB">
        <w:rPr>
          <w:rFonts w:ascii="Garamond" w:hAnsi="Garamond"/>
        </w:rPr>
        <w:t>at same</w:t>
      </w:r>
      <w:r w:rsidR="003F7A32">
        <w:rPr>
          <w:rFonts w:ascii="Garamond" w:hAnsi="Garamond"/>
        </w:rPr>
        <w:t xml:space="preserve"> study also set out to test whether </w:t>
      </w:r>
      <w:r w:rsidR="00EC5C93">
        <w:rPr>
          <w:rFonts w:ascii="Garamond" w:hAnsi="Garamond"/>
        </w:rPr>
        <w:t xml:space="preserve">ethnic disparities in sentencing might </w:t>
      </w:r>
      <w:r w:rsidR="007512AB">
        <w:rPr>
          <w:rFonts w:ascii="Garamond" w:hAnsi="Garamond"/>
        </w:rPr>
        <w:t xml:space="preserve">in fact </w:t>
      </w:r>
      <w:r w:rsidR="00EC5C93">
        <w:rPr>
          <w:rFonts w:ascii="Garamond" w:hAnsi="Garamond"/>
        </w:rPr>
        <w:t xml:space="preserve">be reflecting class disparities. </w:t>
      </w:r>
      <w:r w:rsidR="002812DD">
        <w:rPr>
          <w:rFonts w:ascii="Garamond" w:hAnsi="Garamond"/>
        </w:rPr>
        <w:t>It</w:t>
      </w:r>
      <w:r w:rsidR="00EC5C93">
        <w:rPr>
          <w:rFonts w:ascii="Garamond" w:hAnsi="Garamond"/>
        </w:rPr>
        <w:t xml:space="preserve"> did not find evidence to support that claim, </w:t>
      </w:r>
      <w:r w:rsidR="002812DD">
        <w:rPr>
          <w:rFonts w:ascii="Garamond" w:hAnsi="Garamond"/>
        </w:rPr>
        <w:t xml:space="preserve">the </w:t>
      </w:r>
      <w:r w:rsidR="00EC5C93">
        <w:rPr>
          <w:rFonts w:ascii="Garamond" w:hAnsi="Garamond"/>
        </w:rPr>
        <w:t>estimates of ethnic disparities were not affected by the level of deprivation of the neighbourhood of residence of the offender. Nonetheless</w:t>
      </w:r>
      <w:r w:rsidR="007512AB">
        <w:rPr>
          <w:rFonts w:ascii="Garamond" w:hAnsi="Garamond"/>
        </w:rPr>
        <w:t>,</w:t>
      </w:r>
      <w:r w:rsidR="00EC5C93">
        <w:rPr>
          <w:rFonts w:ascii="Garamond" w:hAnsi="Garamond"/>
        </w:rPr>
        <w:t xml:space="preserve"> </w:t>
      </w:r>
      <w:r w:rsidR="002812DD">
        <w:rPr>
          <w:rFonts w:ascii="Garamond" w:hAnsi="Garamond"/>
        </w:rPr>
        <w:t>it</w:t>
      </w:r>
      <w:r w:rsidR="00EC5C93">
        <w:rPr>
          <w:rFonts w:ascii="Garamond" w:hAnsi="Garamond"/>
        </w:rPr>
        <w:t xml:space="preserve"> </w:t>
      </w:r>
      <w:r w:rsidR="008C0FAE">
        <w:rPr>
          <w:rFonts w:ascii="Garamond" w:hAnsi="Garamond"/>
        </w:rPr>
        <w:t xml:space="preserve">did find important disparities in account of that factor. </w:t>
      </w:r>
      <w:r w:rsidR="008C0FAE" w:rsidRPr="008C0FAE">
        <w:rPr>
          <w:rFonts w:ascii="Garamond" w:hAnsi="Garamond"/>
        </w:rPr>
        <w:t>For instance, after controlling</w:t>
      </w:r>
      <w:r w:rsidR="008C0FAE">
        <w:rPr>
          <w:rFonts w:ascii="Garamond" w:hAnsi="Garamond"/>
        </w:rPr>
        <w:t xml:space="preserve"> </w:t>
      </w:r>
      <w:r w:rsidR="008C0FAE" w:rsidRPr="008C0FAE">
        <w:rPr>
          <w:rFonts w:ascii="Garamond" w:hAnsi="Garamond"/>
        </w:rPr>
        <w:t xml:space="preserve">for offence and offender characteristics, </w:t>
      </w:r>
      <w:r w:rsidR="002812DD">
        <w:rPr>
          <w:rFonts w:ascii="Garamond" w:hAnsi="Garamond"/>
        </w:rPr>
        <w:t>it</w:t>
      </w:r>
      <w:r w:rsidR="008C0FAE" w:rsidRPr="008C0FAE">
        <w:rPr>
          <w:rFonts w:ascii="Garamond" w:hAnsi="Garamond"/>
        </w:rPr>
        <w:t xml:space="preserve"> estimat</w:t>
      </w:r>
      <w:r w:rsidR="002812DD">
        <w:rPr>
          <w:rFonts w:ascii="Garamond" w:hAnsi="Garamond"/>
        </w:rPr>
        <w:t>es</w:t>
      </w:r>
      <w:r w:rsidR="008C0FAE" w:rsidRPr="008C0FAE">
        <w:rPr>
          <w:rFonts w:ascii="Garamond" w:hAnsi="Garamond"/>
        </w:rPr>
        <w:t xml:space="preserve"> that the probability of receiving a custodial</w:t>
      </w:r>
      <w:r w:rsidR="008C0FAE">
        <w:rPr>
          <w:rFonts w:ascii="Garamond" w:hAnsi="Garamond"/>
        </w:rPr>
        <w:t xml:space="preserve"> </w:t>
      </w:r>
      <w:r w:rsidR="008C0FAE" w:rsidRPr="008C0FAE">
        <w:rPr>
          <w:rFonts w:ascii="Garamond" w:hAnsi="Garamond"/>
        </w:rPr>
        <w:t>sentence for a breach offence in the Crown Court is 0.51 for offenders from the top 10% of the most</w:t>
      </w:r>
      <w:r w:rsidR="008C0FAE">
        <w:rPr>
          <w:rFonts w:ascii="Garamond" w:hAnsi="Garamond"/>
        </w:rPr>
        <w:t xml:space="preserve"> </w:t>
      </w:r>
      <w:r w:rsidR="008C0FAE" w:rsidRPr="008C0FAE">
        <w:rPr>
          <w:rFonts w:ascii="Garamond" w:hAnsi="Garamond"/>
        </w:rPr>
        <w:t>affluent neighbo</w:t>
      </w:r>
      <w:r w:rsidR="008C0FAE">
        <w:rPr>
          <w:rFonts w:ascii="Garamond" w:hAnsi="Garamond"/>
        </w:rPr>
        <w:t>u</w:t>
      </w:r>
      <w:r w:rsidR="008C0FAE" w:rsidRPr="008C0FAE">
        <w:rPr>
          <w:rFonts w:ascii="Garamond" w:hAnsi="Garamond"/>
        </w:rPr>
        <w:t>rhoods, compared to 0.63 for those from the bottom 10%.</w:t>
      </w:r>
      <w:r w:rsidR="00E837D8">
        <w:rPr>
          <w:rFonts w:ascii="Garamond" w:hAnsi="Garamond"/>
        </w:rPr>
        <w:t xml:space="preserve"> That is</w:t>
      </w:r>
      <w:r w:rsidR="008C0FAE">
        <w:rPr>
          <w:rFonts w:ascii="Garamond" w:hAnsi="Garamond"/>
        </w:rPr>
        <w:t>, class disparities appear to be as significant as ethnic disparities</w:t>
      </w:r>
      <w:r w:rsidR="00E837D8">
        <w:rPr>
          <w:rFonts w:ascii="Garamond" w:hAnsi="Garamond"/>
        </w:rPr>
        <w:t xml:space="preserve">. However, </w:t>
      </w:r>
      <w:r w:rsidR="008C0FAE">
        <w:rPr>
          <w:rFonts w:ascii="Garamond" w:hAnsi="Garamond"/>
        </w:rPr>
        <w:t xml:space="preserve">they </w:t>
      </w:r>
      <w:r w:rsidR="00E837D8">
        <w:rPr>
          <w:rFonts w:ascii="Garamond" w:hAnsi="Garamond"/>
        </w:rPr>
        <w:t>appear to be</w:t>
      </w:r>
      <w:r w:rsidR="008C0FAE">
        <w:rPr>
          <w:rFonts w:ascii="Garamond" w:hAnsi="Garamond"/>
        </w:rPr>
        <w:t xml:space="preserve"> independent of each other</w:t>
      </w:r>
      <w:r w:rsidR="00E837D8">
        <w:rPr>
          <w:rFonts w:ascii="Garamond" w:hAnsi="Garamond"/>
        </w:rPr>
        <w:t xml:space="preserve"> since the former </w:t>
      </w:r>
      <w:r w:rsidR="008C0FAE">
        <w:rPr>
          <w:rFonts w:ascii="Garamond" w:hAnsi="Garamond"/>
        </w:rPr>
        <w:t xml:space="preserve">does not explain the </w:t>
      </w:r>
      <w:r w:rsidR="00E837D8">
        <w:rPr>
          <w:rFonts w:ascii="Garamond" w:hAnsi="Garamond"/>
        </w:rPr>
        <w:t>latter</w:t>
      </w:r>
      <w:r w:rsidR="00187A13">
        <w:rPr>
          <w:rFonts w:ascii="Garamond" w:hAnsi="Garamond"/>
        </w:rPr>
        <w:t xml:space="preserve">. </w:t>
      </w:r>
    </w:p>
    <w:p w14:paraId="6FDA5FFC" w14:textId="22CB5E2D" w:rsidR="00CA16CC" w:rsidRDefault="00B41E81" w:rsidP="00CA16CC">
      <w:pPr>
        <w:spacing w:after="120" w:line="240" w:lineRule="auto"/>
        <w:jc w:val="both"/>
        <w:rPr>
          <w:rFonts w:ascii="Garamond" w:hAnsi="Garamond"/>
        </w:rPr>
      </w:pPr>
      <w:r>
        <w:rPr>
          <w:rFonts w:ascii="Garamond" w:hAnsi="Garamond"/>
        </w:rPr>
        <w:t xml:space="preserve">In another study using the new Crown Court </w:t>
      </w:r>
      <w:r w:rsidR="001F5B65">
        <w:rPr>
          <w:rFonts w:ascii="Garamond" w:hAnsi="Garamond"/>
        </w:rPr>
        <w:t xml:space="preserve">administrative </w:t>
      </w:r>
      <w:r>
        <w:rPr>
          <w:rFonts w:ascii="Garamond" w:hAnsi="Garamond"/>
        </w:rPr>
        <w:t xml:space="preserve">datasets, </w:t>
      </w:r>
      <w:r w:rsidR="00BF4807">
        <w:rPr>
          <w:rFonts w:ascii="Garamond" w:hAnsi="Garamond"/>
        </w:rPr>
        <w:t xml:space="preserve">Lymperopoulou </w:t>
      </w:r>
      <w:r>
        <w:rPr>
          <w:rFonts w:ascii="Garamond" w:hAnsi="Garamond"/>
        </w:rPr>
        <w:t>(2024)</w:t>
      </w:r>
      <w:r w:rsidR="00CA16CC">
        <w:rPr>
          <w:rFonts w:ascii="Garamond" w:hAnsi="Garamond"/>
        </w:rPr>
        <w:t xml:space="preserve"> </w:t>
      </w:r>
      <w:r>
        <w:rPr>
          <w:rFonts w:ascii="Garamond" w:hAnsi="Garamond"/>
        </w:rPr>
        <w:t xml:space="preserve">explored disparities across a wider range of </w:t>
      </w:r>
      <w:r w:rsidR="00CA16CC">
        <w:rPr>
          <w:rFonts w:ascii="Garamond" w:hAnsi="Garamond"/>
        </w:rPr>
        <w:t xml:space="preserve">ethnic </w:t>
      </w:r>
      <w:r>
        <w:rPr>
          <w:rFonts w:ascii="Garamond" w:hAnsi="Garamond"/>
        </w:rPr>
        <w:t>minority groups (fifteen in total).</w:t>
      </w:r>
      <w:r w:rsidR="00CA16CC">
        <w:rPr>
          <w:rFonts w:ascii="Garamond" w:hAnsi="Garamond"/>
        </w:rPr>
        <w:t xml:space="preserve"> </w:t>
      </w:r>
      <w:r w:rsidR="00F44728" w:rsidRPr="00F44728">
        <w:rPr>
          <w:rFonts w:ascii="Garamond" w:hAnsi="Garamond"/>
        </w:rPr>
        <w:t>Her findings reveal relatively consistent ethnic disparities, with no single ethnic minority group being markedly worse off. The only notable exceptions are white Irish and white-Asian mixed offenders, who do not appear to be sentenced differently from their white British counterparts</w:t>
      </w:r>
      <w:r w:rsidR="00CA16CC">
        <w:rPr>
          <w:rFonts w:ascii="Garamond" w:hAnsi="Garamond"/>
        </w:rPr>
        <w:t>. However, adopting an intersectional approach</w:t>
      </w:r>
      <w:r w:rsidR="00674651">
        <w:rPr>
          <w:rFonts w:ascii="Garamond" w:hAnsi="Garamond"/>
        </w:rPr>
        <w:t xml:space="preserve"> to enquire the same dataset</w:t>
      </w:r>
      <w:r w:rsidR="00CA16CC">
        <w:rPr>
          <w:rFonts w:ascii="Garamond" w:hAnsi="Garamond"/>
        </w:rPr>
        <w:t>, Sorsby (202</w:t>
      </w:r>
      <w:r>
        <w:rPr>
          <w:rFonts w:ascii="Garamond" w:hAnsi="Garamond"/>
        </w:rPr>
        <w:t>3</w:t>
      </w:r>
      <w:r w:rsidR="00CA16CC">
        <w:rPr>
          <w:rFonts w:ascii="Garamond" w:hAnsi="Garamond"/>
        </w:rPr>
        <w:t xml:space="preserve">) noted that ethnic disparities </w:t>
      </w:r>
      <w:r w:rsidR="00674651">
        <w:rPr>
          <w:rFonts w:ascii="Garamond" w:hAnsi="Garamond"/>
        </w:rPr>
        <w:t xml:space="preserve">can </w:t>
      </w:r>
      <w:r w:rsidR="00CA16CC">
        <w:rPr>
          <w:rFonts w:ascii="Garamond" w:hAnsi="Garamond"/>
        </w:rPr>
        <w:t>var</w:t>
      </w:r>
      <w:r w:rsidR="00674651">
        <w:rPr>
          <w:rFonts w:ascii="Garamond" w:hAnsi="Garamond"/>
        </w:rPr>
        <w:t>y</w:t>
      </w:r>
      <w:r w:rsidR="00CA16CC">
        <w:rPr>
          <w:rFonts w:ascii="Garamond" w:hAnsi="Garamond"/>
        </w:rPr>
        <w:t xml:space="preserve"> substantially by gender</w:t>
      </w:r>
      <w:r w:rsidR="00AD7963">
        <w:rPr>
          <w:rFonts w:ascii="Garamond" w:hAnsi="Garamond"/>
        </w:rPr>
        <w:t>.</w:t>
      </w:r>
      <w:r w:rsidR="00CA16CC">
        <w:rPr>
          <w:rFonts w:ascii="Garamond" w:hAnsi="Garamond"/>
        </w:rPr>
        <w:t xml:space="preserve"> </w:t>
      </w:r>
      <w:r w:rsidR="00674651">
        <w:rPr>
          <w:rFonts w:ascii="Garamond" w:hAnsi="Garamond"/>
        </w:rPr>
        <w:t>Specifically, she found that w</w:t>
      </w:r>
      <w:r w:rsidR="00CA16CC">
        <w:rPr>
          <w:rFonts w:ascii="Garamond" w:hAnsi="Garamond"/>
        </w:rPr>
        <w:t>hite male offenders are allowed over 50% longer criminal records than black male offenders</w:t>
      </w:r>
      <w:r w:rsidR="00674651">
        <w:rPr>
          <w:rFonts w:ascii="Garamond" w:hAnsi="Garamond"/>
        </w:rPr>
        <w:t xml:space="preserve"> before being sentenced to custody</w:t>
      </w:r>
      <w:r w:rsidR="00CA16CC">
        <w:rPr>
          <w:rFonts w:ascii="Garamond" w:hAnsi="Garamond"/>
        </w:rPr>
        <w:t xml:space="preserve">, whereas no significant differences were detected between black and </w:t>
      </w:r>
      <w:r w:rsidR="00674651">
        <w:rPr>
          <w:rFonts w:ascii="Garamond" w:hAnsi="Garamond"/>
        </w:rPr>
        <w:t>w</w:t>
      </w:r>
      <w:r w:rsidR="00CA16CC">
        <w:rPr>
          <w:rFonts w:ascii="Garamond" w:hAnsi="Garamond"/>
        </w:rPr>
        <w:t xml:space="preserve">hite female offenders. </w:t>
      </w:r>
      <w:r w:rsidR="00674651">
        <w:rPr>
          <w:rFonts w:ascii="Garamond" w:hAnsi="Garamond"/>
        </w:rPr>
        <w:t>This is an interesting finding that helps us identify male offenders as a trait where ethnic disparities are most prevalent.</w:t>
      </w:r>
    </w:p>
    <w:p w14:paraId="4293100B" w14:textId="359F636D" w:rsidR="00C16049" w:rsidRDefault="003F55BF" w:rsidP="0074728F">
      <w:pPr>
        <w:spacing w:after="120" w:line="240" w:lineRule="auto"/>
        <w:jc w:val="both"/>
        <w:rPr>
          <w:rFonts w:ascii="Garamond" w:hAnsi="Garamond"/>
        </w:rPr>
      </w:pPr>
      <w:r>
        <w:rPr>
          <w:rFonts w:ascii="Garamond" w:hAnsi="Garamond"/>
        </w:rPr>
        <w:t xml:space="preserve">It is worth noting that all the disparities reported so far relate to differences in the probability of receiving a custodial sentence. When we consider differences in custodial sentence length we find much scarcer evidence of ethnic disparities. For example, in her study of drug offenders, Isaac (2021) found that the average sentence length after controlling for legal factors listed in the sentencing guidelines was only 4% longer for Asian than for white offenders, and </w:t>
      </w:r>
      <w:r w:rsidR="00A10D7B">
        <w:rPr>
          <w:rFonts w:ascii="Garamond" w:hAnsi="Garamond"/>
        </w:rPr>
        <w:t>not</w:t>
      </w:r>
      <w:r>
        <w:rPr>
          <w:rFonts w:ascii="Garamond" w:hAnsi="Garamond"/>
        </w:rPr>
        <w:t xml:space="preserve"> significantly differen</w:t>
      </w:r>
      <w:r w:rsidR="00612C5F">
        <w:rPr>
          <w:rFonts w:ascii="Garamond" w:hAnsi="Garamond"/>
        </w:rPr>
        <w:t>t</w:t>
      </w:r>
      <w:r>
        <w:rPr>
          <w:rFonts w:ascii="Garamond" w:hAnsi="Garamond"/>
        </w:rPr>
        <w:t xml:space="preserve"> for offenders from a black or other ethnic background. </w:t>
      </w:r>
      <w:r w:rsidR="0074728F">
        <w:rPr>
          <w:rFonts w:ascii="Garamond" w:hAnsi="Garamond"/>
        </w:rPr>
        <w:t xml:space="preserve">Similarly, </w:t>
      </w:r>
      <w:r w:rsidR="00C16049">
        <w:rPr>
          <w:rFonts w:ascii="Garamond" w:hAnsi="Garamond"/>
        </w:rPr>
        <w:t xml:space="preserve">Lymperopoulou </w:t>
      </w:r>
      <w:r w:rsidR="0074728F">
        <w:rPr>
          <w:rFonts w:ascii="Garamond" w:hAnsi="Garamond"/>
        </w:rPr>
        <w:t>(</w:t>
      </w:r>
      <w:r w:rsidR="00C16049">
        <w:rPr>
          <w:rFonts w:ascii="Garamond" w:hAnsi="Garamond"/>
        </w:rPr>
        <w:t>2024)</w:t>
      </w:r>
      <w:r w:rsidR="00612C5F">
        <w:rPr>
          <w:rFonts w:ascii="Garamond" w:hAnsi="Garamond"/>
        </w:rPr>
        <w:t xml:space="preserve">, found no significant disparities in sentence length across most ethnic minority groups after controlling for offence characteristics. The main exceptions being Bangladeshi, and other white offenders, who receive 11.6% longer, and 14.8% shorter sentences than white British respectively. </w:t>
      </w:r>
    </w:p>
    <w:p w14:paraId="5B9A1E8E" w14:textId="2FA39B8D" w:rsidR="00C16049" w:rsidRDefault="007916F3" w:rsidP="00CA16CC">
      <w:pPr>
        <w:spacing w:after="120" w:line="240" w:lineRule="auto"/>
        <w:jc w:val="both"/>
        <w:rPr>
          <w:rFonts w:ascii="Garamond" w:hAnsi="Garamond"/>
        </w:rPr>
      </w:pPr>
      <w:r>
        <w:rPr>
          <w:rFonts w:ascii="Garamond" w:hAnsi="Garamond"/>
        </w:rPr>
        <w:t>To understand the potential mechanisms behind the observed disparities</w:t>
      </w:r>
      <w:r w:rsidR="00423B99">
        <w:rPr>
          <w:rFonts w:ascii="Garamond" w:hAnsi="Garamond"/>
        </w:rPr>
        <w:t xml:space="preserve"> </w:t>
      </w:r>
      <w:r>
        <w:rPr>
          <w:rFonts w:ascii="Garamond" w:hAnsi="Garamond"/>
        </w:rPr>
        <w:t>we should also</w:t>
      </w:r>
      <w:r w:rsidR="00423B99">
        <w:rPr>
          <w:rFonts w:ascii="Garamond" w:hAnsi="Garamond"/>
        </w:rPr>
        <w:t xml:space="preserve"> scrutinis</w:t>
      </w:r>
      <w:r>
        <w:rPr>
          <w:rFonts w:ascii="Garamond" w:hAnsi="Garamond"/>
        </w:rPr>
        <w:t>e</w:t>
      </w:r>
      <w:r w:rsidR="00423B99">
        <w:rPr>
          <w:rFonts w:ascii="Garamond" w:hAnsi="Garamond"/>
        </w:rPr>
        <w:t xml:space="preserve"> disparities in the legal factors that determine the final sentence. The latest Ministry of Justice (2024) ‘</w:t>
      </w:r>
      <w:r w:rsidR="00423B99" w:rsidRPr="00A53472">
        <w:rPr>
          <w:rFonts w:ascii="Garamond" w:hAnsi="Garamond"/>
        </w:rPr>
        <w:t>Statistics on Ethnicity and the Criminal Justice System</w:t>
      </w:r>
      <w:r w:rsidR="00423B99">
        <w:rPr>
          <w:rFonts w:ascii="Garamond" w:hAnsi="Garamond"/>
        </w:rPr>
        <w:t>’ report</w:t>
      </w:r>
      <w:r w:rsidR="00423B99" w:rsidRPr="00A53472">
        <w:rPr>
          <w:rFonts w:ascii="Garamond" w:hAnsi="Garamond"/>
        </w:rPr>
        <w:t>,</w:t>
      </w:r>
      <w:r w:rsidR="00423B99">
        <w:rPr>
          <w:rFonts w:ascii="Garamond" w:hAnsi="Garamond"/>
        </w:rPr>
        <w:t xml:space="preserve"> indicates how disparities in guilty plea rates </w:t>
      </w:r>
      <w:r w:rsidR="009549B5">
        <w:rPr>
          <w:rFonts w:ascii="Garamond" w:hAnsi="Garamond"/>
        </w:rPr>
        <w:t>remain</w:t>
      </w:r>
      <w:r>
        <w:rPr>
          <w:rFonts w:ascii="Garamond" w:hAnsi="Garamond"/>
        </w:rPr>
        <w:t xml:space="preserve"> relatively wide. For example, in 2022, the guilty plea rate in the Crown Court is 68% for </w:t>
      </w:r>
      <w:r w:rsidR="00496263">
        <w:rPr>
          <w:rFonts w:ascii="Garamond" w:hAnsi="Garamond"/>
        </w:rPr>
        <w:t>w</w:t>
      </w:r>
      <w:r w:rsidR="00200BE4">
        <w:rPr>
          <w:rFonts w:ascii="Garamond" w:hAnsi="Garamond"/>
        </w:rPr>
        <w:t>hite</w:t>
      </w:r>
      <w:r>
        <w:rPr>
          <w:rFonts w:ascii="Garamond" w:hAnsi="Garamond"/>
        </w:rPr>
        <w:t xml:space="preserve"> offenders, reaching only 60% amongst Asian offenders</w:t>
      </w:r>
      <w:r w:rsidR="00423B99">
        <w:rPr>
          <w:rFonts w:ascii="Garamond" w:hAnsi="Garamond"/>
        </w:rPr>
        <w:t>.</w:t>
      </w:r>
      <w:r w:rsidR="00556158">
        <w:rPr>
          <w:rFonts w:ascii="Garamond" w:hAnsi="Garamond"/>
        </w:rPr>
        <w:t xml:space="preserve"> All studies mentioned so far </w:t>
      </w:r>
      <w:r w:rsidR="00496263">
        <w:rPr>
          <w:rFonts w:ascii="Garamond" w:hAnsi="Garamond"/>
        </w:rPr>
        <w:t xml:space="preserve">in this review </w:t>
      </w:r>
      <w:r w:rsidR="00556158">
        <w:rPr>
          <w:rFonts w:ascii="Garamond" w:hAnsi="Garamond"/>
        </w:rPr>
        <w:t xml:space="preserve">condition on guilty plea, however, they do not always capture the timing of the guilty plea, or the specific reduction allowed by the judge, which might be explaining some of the </w:t>
      </w:r>
      <w:r w:rsidR="00496263">
        <w:rPr>
          <w:rFonts w:ascii="Garamond" w:hAnsi="Garamond"/>
        </w:rPr>
        <w:t xml:space="preserve">observed </w:t>
      </w:r>
      <w:r w:rsidR="00556158">
        <w:rPr>
          <w:rFonts w:ascii="Garamond" w:hAnsi="Garamond"/>
        </w:rPr>
        <w:t xml:space="preserve">disparities. </w:t>
      </w:r>
      <w:r w:rsidR="00555C5E">
        <w:rPr>
          <w:rFonts w:ascii="Garamond" w:hAnsi="Garamond"/>
        </w:rPr>
        <w:t>The same report showed the percentage of sentences corresponding with pre-sentence recommendations of custody appeared to be equally distributed across ethnic groups. However, that report did not indicate whether custody was a more common recommendation</w:t>
      </w:r>
      <w:r w:rsidR="00207999">
        <w:rPr>
          <w:rFonts w:ascii="Garamond" w:hAnsi="Garamond"/>
        </w:rPr>
        <w:t xml:space="preserve"> for one ethnic group over another</w:t>
      </w:r>
      <w:r w:rsidR="00555C5E">
        <w:rPr>
          <w:rFonts w:ascii="Garamond" w:hAnsi="Garamond"/>
        </w:rPr>
        <w:t xml:space="preserve"> nor the </w:t>
      </w:r>
      <w:r w:rsidR="00D65B82">
        <w:rPr>
          <w:rFonts w:ascii="Garamond" w:hAnsi="Garamond"/>
        </w:rPr>
        <w:t>coverage of pre-sentence reports</w:t>
      </w:r>
      <w:r w:rsidR="00207999">
        <w:rPr>
          <w:rFonts w:ascii="Garamond" w:hAnsi="Garamond"/>
        </w:rPr>
        <w:t xml:space="preserve"> across ethnic groups.</w:t>
      </w:r>
      <w:r w:rsidR="00D9207D">
        <w:rPr>
          <w:rFonts w:ascii="Garamond" w:hAnsi="Garamond"/>
        </w:rPr>
        <w:t xml:space="preserve"> A recent inspection by HM Inspectorate of Probation (2021) </w:t>
      </w:r>
      <w:r w:rsidR="00561B96">
        <w:rPr>
          <w:rFonts w:ascii="Garamond" w:hAnsi="Garamond"/>
        </w:rPr>
        <w:t>found</w:t>
      </w:r>
      <w:r w:rsidR="00D9207D">
        <w:rPr>
          <w:rFonts w:ascii="Garamond" w:hAnsi="Garamond"/>
        </w:rPr>
        <w:t xml:space="preserve"> </w:t>
      </w:r>
      <w:r w:rsidR="00D9207D" w:rsidRPr="00D9207D">
        <w:rPr>
          <w:rFonts w:ascii="Garamond" w:hAnsi="Garamond"/>
        </w:rPr>
        <w:t xml:space="preserve">that the quality of pre-sentence reports on </w:t>
      </w:r>
      <w:r w:rsidR="00561B96">
        <w:rPr>
          <w:rFonts w:ascii="Garamond" w:hAnsi="Garamond"/>
        </w:rPr>
        <w:t>e</w:t>
      </w:r>
      <w:r w:rsidR="00D9207D">
        <w:rPr>
          <w:rFonts w:ascii="Garamond" w:hAnsi="Garamond"/>
        </w:rPr>
        <w:t>thnic minority</w:t>
      </w:r>
      <w:r w:rsidR="00D9207D" w:rsidRPr="00D9207D">
        <w:rPr>
          <w:rFonts w:ascii="Garamond" w:hAnsi="Garamond"/>
        </w:rPr>
        <w:t xml:space="preserve"> individuals </w:t>
      </w:r>
      <w:proofErr w:type="gramStart"/>
      <w:r w:rsidR="00D9207D" w:rsidRPr="00D9207D">
        <w:rPr>
          <w:rFonts w:ascii="Garamond" w:hAnsi="Garamond"/>
        </w:rPr>
        <w:t>were</w:t>
      </w:r>
      <w:proofErr w:type="gramEnd"/>
      <w:r w:rsidR="00D9207D" w:rsidRPr="00D9207D">
        <w:rPr>
          <w:rFonts w:ascii="Garamond" w:hAnsi="Garamond"/>
        </w:rPr>
        <w:t xml:space="preserve"> insufficient in 21 of the 51 reports inspected, with not enough consideration of the service user’s diversity</w:t>
      </w:r>
      <w:r w:rsidR="00496263">
        <w:rPr>
          <w:rFonts w:ascii="Garamond" w:hAnsi="Garamond"/>
        </w:rPr>
        <w:t xml:space="preserve">, concluding: </w:t>
      </w:r>
      <w:r w:rsidR="00D9207D">
        <w:rPr>
          <w:rFonts w:ascii="Garamond" w:hAnsi="Garamond"/>
        </w:rPr>
        <w:t>‘</w:t>
      </w:r>
      <w:r w:rsidR="00D9207D" w:rsidRPr="00046D2E">
        <w:rPr>
          <w:rFonts w:ascii="Garamond" w:hAnsi="Garamond"/>
          <w:i/>
          <w:iCs/>
        </w:rPr>
        <w:t>p</w:t>
      </w:r>
      <w:r w:rsidR="00D9207D" w:rsidRPr="00A10D7B">
        <w:rPr>
          <w:rFonts w:ascii="Garamond" w:hAnsi="Garamond"/>
          <w:i/>
        </w:rPr>
        <w:t xml:space="preserve">oorer quality reports that fail to consider all relevant factors run the risk of service users receiving more punitive sentences’ </w:t>
      </w:r>
      <w:r w:rsidR="00D9207D" w:rsidRPr="00D9207D">
        <w:rPr>
          <w:rFonts w:ascii="Garamond" w:hAnsi="Garamond"/>
        </w:rPr>
        <w:t>(p29)</w:t>
      </w:r>
      <w:r w:rsidR="00D9207D">
        <w:rPr>
          <w:rFonts w:ascii="Garamond" w:hAnsi="Garamond"/>
        </w:rPr>
        <w:t xml:space="preserve">. </w:t>
      </w:r>
    </w:p>
    <w:p w14:paraId="6A911210" w14:textId="0AA0BD7F" w:rsidR="00DD43D2" w:rsidRDefault="00D65B82" w:rsidP="00A631B4">
      <w:pPr>
        <w:spacing w:after="120" w:line="240" w:lineRule="auto"/>
        <w:jc w:val="both"/>
        <w:rPr>
          <w:rFonts w:ascii="Garamond" w:hAnsi="Garamond"/>
        </w:rPr>
      </w:pPr>
      <w:r>
        <w:rPr>
          <w:rFonts w:ascii="Garamond" w:hAnsi="Garamond"/>
        </w:rPr>
        <w:t xml:space="preserve">Relying on Sentencing Council data obtained through a </w:t>
      </w:r>
      <w:r w:rsidR="00A631B4">
        <w:rPr>
          <w:rFonts w:ascii="Garamond" w:hAnsi="Garamond"/>
        </w:rPr>
        <w:t>‘f</w:t>
      </w:r>
      <w:r>
        <w:rPr>
          <w:rFonts w:ascii="Garamond" w:hAnsi="Garamond"/>
        </w:rPr>
        <w:t xml:space="preserve">reedom of </w:t>
      </w:r>
      <w:r w:rsidR="00A631B4">
        <w:rPr>
          <w:rFonts w:ascii="Garamond" w:hAnsi="Garamond"/>
        </w:rPr>
        <w:t>i</w:t>
      </w:r>
      <w:r>
        <w:rPr>
          <w:rFonts w:ascii="Garamond" w:hAnsi="Garamond"/>
        </w:rPr>
        <w:t>nformation</w:t>
      </w:r>
      <w:r w:rsidR="00A631B4">
        <w:rPr>
          <w:rFonts w:ascii="Garamond" w:hAnsi="Garamond"/>
        </w:rPr>
        <w:t>’</w:t>
      </w:r>
      <w:r>
        <w:rPr>
          <w:rFonts w:ascii="Garamond" w:hAnsi="Garamond"/>
        </w:rPr>
        <w:t xml:space="preserve"> request,</w:t>
      </w:r>
      <w:r w:rsidR="002812DD">
        <w:rPr>
          <w:rFonts w:ascii="Garamond" w:hAnsi="Garamond"/>
        </w:rPr>
        <w:t xml:space="preserve"> </w:t>
      </w:r>
      <w:r w:rsidR="00DD43D2">
        <w:rPr>
          <w:rFonts w:ascii="Garamond" w:hAnsi="Garamond"/>
        </w:rPr>
        <w:t>Guilfoyle and Pina-Sánchez</w:t>
      </w:r>
      <w:r>
        <w:rPr>
          <w:rFonts w:ascii="Garamond" w:hAnsi="Garamond"/>
        </w:rPr>
        <w:t xml:space="preserve"> </w:t>
      </w:r>
      <w:r w:rsidR="002812DD">
        <w:rPr>
          <w:rFonts w:ascii="Garamond" w:hAnsi="Garamond"/>
        </w:rPr>
        <w:t>(</w:t>
      </w:r>
      <w:r w:rsidR="00DD43D2">
        <w:rPr>
          <w:rFonts w:ascii="Garamond" w:hAnsi="Garamond"/>
        </w:rPr>
        <w:t>2024</w:t>
      </w:r>
      <w:r w:rsidR="002812DD">
        <w:rPr>
          <w:rFonts w:ascii="Garamond" w:hAnsi="Garamond"/>
        </w:rPr>
        <w:t>)</w:t>
      </w:r>
      <w:r w:rsidR="00DD43D2">
        <w:rPr>
          <w:rFonts w:ascii="Garamond" w:hAnsi="Garamond"/>
        </w:rPr>
        <w:t xml:space="preserve"> show</w:t>
      </w:r>
      <w:r>
        <w:rPr>
          <w:rFonts w:ascii="Garamond" w:hAnsi="Garamond"/>
        </w:rPr>
        <w:t xml:space="preserve">ed how </w:t>
      </w:r>
      <w:r w:rsidR="00DD43D2">
        <w:rPr>
          <w:rFonts w:ascii="Garamond" w:hAnsi="Garamond"/>
        </w:rPr>
        <w:t>most factors</w:t>
      </w:r>
      <w:r>
        <w:rPr>
          <w:rFonts w:ascii="Garamond" w:hAnsi="Garamond"/>
        </w:rPr>
        <w:t xml:space="preserve"> listed in the sentencing guidelines are markedly</w:t>
      </w:r>
      <w:r w:rsidR="00DD43D2">
        <w:rPr>
          <w:rFonts w:ascii="Garamond" w:hAnsi="Garamond"/>
        </w:rPr>
        <w:t xml:space="preserve"> uniformly distributed across ethnic groups. </w:t>
      </w:r>
      <w:r>
        <w:rPr>
          <w:rFonts w:ascii="Garamond" w:hAnsi="Garamond"/>
        </w:rPr>
        <w:t xml:space="preserve">The main exception being personal mitigating factors. </w:t>
      </w:r>
      <w:r w:rsidR="00615065">
        <w:rPr>
          <w:rFonts w:ascii="Garamond" w:hAnsi="Garamond"/>
        </w:rPr>
        <w:t xml:space="preserve">For example, </w:t>
      </w:r>
      <w:r>
        <w:rPr>
          <w:rFonts w:ascii="Garamond" w:hAnsi="Garamond"/>
        </w:rPr>
        <w:t xml:space="preserve">considering drug offences, </w:t>
      </w:r>
      <w:r w:rsidR="00615065">
        <w:rPr>
          <w:rFonts w:ascii="Garamond" w:hAnsi="Garamond"/>
        </w:rPr>
        <w:t xml:space="preserve">white offenders where </w:t>
      </w:r>
      <w:r>
        <w:rPr>
          <w:rFonts w:ascii="Garamond" w:hAnsi="Garamond"/>
        </w:rPr>
        <w:t>45</w:t>
      </w:r>
      <w:r w:rsidR="00615065">
        <w:rPr>
          <w:rFonts w:ascii="Garamond" w:hAnsi="Garamond"/>
        </w:rPr>
        <w:t xml:space="preserve">% more likely to be found of good character and </w:t>
      </w:r>
      <w:r>
        <w:rPr>
          <w:rFonts w:ascii="Garamond" w:hAnsi="Garamond"/>
        </w:rPr>
        <w:t>47</w:t>
      </w:r>
      <w:r w:rsidR="00615065">
        <w:rPr>
          <w:rFonts w:ascii="Garamond" w:hAnsi="Garamond"/>
        </w:rPr>
        <w:t>% more likely to be deemed remorseful than black offenders.</w:t>
      </w:r>
      <w:r w:rsidR="009267B8">
        <w:rPr>
          <w:rFonts w:ascii="Garamond" w:hAnsi="Garamond"/>
        </w:rPr>
        <w:t xml:space="preserve"> Therefore, it is possible that some of the observed disparities noted in the literature</w:t>
      </w:r>
      <w:r w:rsidR="00A631B4">
        <w:rPr>
          <w:rFonts w:ascii="Garamond" w:hAnsi="Garamond"/>
        </w:rPr>
        <w:t xml:space="preserve"> might be stemming from upstream decisions </w:t>
      </w:r>
      <w:r w:rsidR="00900909">
        <w:rPr>
          <w:rFonts w:ascii="Garamond" w:hAnsi="Garamond"/>
        </w:rPr>
        <w:t>relating</w:t>
      </w:r>
      <w:r w:rsidR="00A631B4">
        <w:rPr>
          <w:rFonts w:ascii="Garamond" w:hAnsi="Garamond"/>
        </w:rPr>
        <w:t xml:space="preserve"> to how the case was constructed</w:t>
      </w:r>
      <w:r w:rsidR="00900909">
        <w:rPr>
          <w:rFonts w:ascii="Garamond" w:hAnsi="Garamond"/>
        </w:rPr>
        <w:t xml:space="preserve"> by the probation officer and the magistrate/judge</w:t>
      </w:r>
      <w:r w:rsidR="00A631B4">
        <w:rPr>
          <w:rFonts w:ascii="Garamond" w:hAnsi="Garamond"/>
        </w:rPr>
        <w:t xml:space="preserve">. </w:t>
      </w:r>
      <w:r w:rsidR="009267B8">
        <w:rPr>
          <w:rFonts w:ascii="Garamond" w:hAnsi="Garamond"/>
        </w:rPr>
        <w:t xml:space="preserve"> </w:t>
      </w:r>
    </w:p>
    <w:p w14:paraId="2D29232D" w14:textId="627CCCC7" w:rsidR="00423B99" w:rsidRDefault="00D65B82" w:rsidP="0028660C">
      <w:pPr>
        <w:spacing w:after="120" w:line="240" w:lineRule="auto"/>
        <w:jc w:val="both"/>
        <w:rPr>
          <w:rFonts w:ascii="Garamond" w:hAnsi="Garamond"/>
        </w:rPr>
      </w:pPr>
      <w:r>
        <w:rPr>
          <w:rFonts w:ascii="Garamond" w:hAnsi="Garamond"/>
        </w:rPr>
        <w:t>In summary</w:t>
      </w:r>
      <w:r w:rsidR="00423B99">
        <w:rPr>
          <w:rFonts w:ascii="Garamond" w:hAnsi="Garamond"/>
        </w:rPr>
        <w:t xml:space="preserve">, </w:t>
      </w:r>
      <w:r w:rsidR="00A631B4">
        <w:rPr>
          <w:rFonts w:ascii="Garamond" w:hAnsi="Garamond"/>
        </w:rPr>
        <w:t xml:space="preserve">reviewing the latest evidence on the subject we have learnt that </w:t>
      </w:r>
      <w:r w:rsidR="007D2AF7">
        <w:rPr>
          <w:rFonts w:ascii="Garamond" w:hAnsi="Garamond"/>
        </w:rPr>
        <w:t xml:space="preserve">ethnic </w:t>
      </w:r>
      <w:r w:rsidR="00A631B4">
        <w:rPr>
          <w:rFonts w:ascii="Garamond" w:hAnsi="Garamond"/>
        </w:rPr>
        <w:t xml:space="preserve">disparities </w:t>
      </w:r>
      <w:r w:rsidR="00A631B4" w:rsidRPr="004E22FF">
        <w:rPr>
          <w:rFonts w:ascii="Garamond" w:hAnsi="Garamond"/>
          <w:iCs/>
        </w:rPr>
        <w:t xml:space="preserve">are </w:t>
      </w:r>
      <w:r w:rsidR="00A631B4">
        <w:rPr>
          <w:rFonts w:ascii="Garamond" w:hAnsi="Garamond"/>
        </w:rPr>
        <w:t xml:space="preserve">mostly present </w:t>
      </w:r>
      <w:proofErr w:type="gramStart"/>
      <w:r w:rsidR="00A631B4">
        <w:rPr>
          <w:rFonts w:ascii="Garamond" w:hAnsi="Garamond"/>
        </w:rPr>
        <w:t>in:</w:t>
      </w:r>
      <w:proofErr w:type="gramEnd"/>
      <w:r w:rsidR="00A631B4">
        <w:rPr>
          <w:rFonts w:ascii="Garamond" w:hAnsi="Garamond"/>
        </w:rPr>
        <w:t xml:space="preserve"> </w:t>
      </w:r>
      <w:proofErr w:type="spellStart"/>
      <w:r w:rsidR="00A631B4">
        <w:rPr>
          <w:rFonts w:ascii="Garamond" w:hAnsi="Garamond"/>
        </w:rPr>
        <w:t>i</w:t>
      </w:r>
      <w:proofErr w:type="spellEnd"/>
      <w:r w:rsidR="00A631B4">
        <w:rPr>
          <w:rFonts w:ascii="Garamond" w:hAnsi="Garamond"/>
        </w:rPr>
        <w:t xml:space="preserve">) </w:t>
      </w:r>
      <w:r w:rsidR="0083618A">
        <w:rPr>
          <w:rFonts w:ascii="Garamond" w:hAnsi="Garamond"/>
        </w:rPr>
        <w:t xml:space="preserve">male offenders; </w:t>
      </w:r>
      <w:r w:rsidR="0083618A" w:rsidRPr="0032255A">
        <w:rPr>
          <w:rFonts w:ascii="Garamond" w:hAnsi="Garamond"/>
        </w:rPr>
        <w:t xml:space="preserve">ii) </w:t>
      </w:r>
      <w:r w:rsidR="00A631B4" w:rsidRPr="0032255A">
        <w:rPr>
          <w:rFonts w:ascii="Garamond" w:hAnsi="Garamond"/>
        </w:rPr>
        <w:t>drug offences</w:t>
      </w:r>
      <w:r w:rsidR="0083618A" w:rsidRPr="0032255A">
        <w:rPr>
          <w:rFonts w:ascii="Garamond" w:hAnsi="Garamond"/>
        </w:rPr>
        <w:t>; iii)</w:t>
      </w:r>
      <w:r w:rsidR="0083618A">
        <w:rPr>
          <w:rFonts w:ascii="Garamond" w:hAnsi="Garamond"/>
        </w:rPr>
        <w:t xml:space="preserve"> dec</w:t>
      </w:r>
      <w:r w:rsidR="00A631B4">
        <w:rPr>
          <w:rFonts w:ascii="Garamond" w:hAnsi="Garamond"/>
        </w:rPr>
        <w:t>isions of custody</w:t>
      </w:r>
      <w:r w:rsidR="0083618A">
        <w:rPr>
          <w:rFonts w:ascii="Garamond" w:hAnsi="Garamond"/>
        </w:rPr>
        <w:t xml:space="preserve"> and; iv) personal mitigating factors. Similarly, </w:t>
      </w:r>
      <w:r w:rsidR="007D2AF7">
        <w:rPr>
          <w:rFonts w:ascii="Garamond" w:hAnsi="Garamond"/>
        </w:rPr>
        <w:t xml:space="preserve">ethnic </w:t>
      </w:r>
      <w:r w:rsidR="0083618A">
        <w:rPr>
          <w:rFonts w:ascii="Garamond" w:hAnsi="Garamond"/>
        </w:rPr>
        <w:t xml:space="preserve">disparities </w:t>
      </w:r>
      <w:r w:rsidR="0083618A" w:rsidRPr="00A10D7B">
        <w:rPr>
          <w:rFonts w:ascii="Garamond" w:hAnsi="Garamond"/>
          <w:i/>
        </w:rPr>
        <w:t>do not</w:t>
      </w:r>
      <w:r w:rsidR="0083618A">
        <w:rPr>
          <w:rFonts w:ascii="Garamond" w:hAnsi="Garamond"/>
        </w:rPr>
        <w:t xml:space="preserve"> appear to vary substantially across ethnic minority offenders, be the result of deprivation related disparities, or be present amongst: </w:t>
      </w:r>
      <w:proofErr w:type="spellStart"/>
      <w:r w:rsidR="0083618A">
        <w:rPr>
          <w:rFonts w:ascii="Garamond" w:hAnsi="Garamond"/>
        </w:rPr>
        <w:t>i</w:t>
      </w:r>
      <w:proofErr w:type="spellEnd"/>
      <w:r w:rsidR="0083618A">
        <w:rPr>
          <w:rFonts w:ascii="Garamond" w:hAnsi="Garamond"/>
        </w:rPr>
        <w:t xml:space="preserve">) female offenders; ii) </w:t>
      </w:r>
      <w:r w:rsidR="00A10D7B">
        <w:rPr>
          <w:rFonts w:ascii="Garamond" w:hAnsi="Garamond"/>
        </w:rPr>
        <w:t>non-drug related offences</w:t>
      </w:r>
      <w:r w:rsidR="0083618A">
        <w:rPr>
          <w:rFonts w:ascii="Garamond" w:hAnsi="Garamond"/>
        </w:rPr>
        <w:t xml:space="preserve">; iii) decisions of sentence length, iv) objective sentencing factors listed in the guidelines. </w:t>
      </w:r>
      <w:r w:rsidR="00E7688E">
        <w:rPr>
          <w:rFonts w:ascii="Garamond" w:hAnsi="Garamond"/>
        </w:rPr>
        <w:t>In the next and final section</w:t>
      </w:r>
      <w:r w:rsidR="00AA2740">
        <w:rPr>
          <w:rFonts w:ascii="Garamond" w:hAnsi="Garamond"/>
        </w:rPr>
        <w:t>,</w:t>
      </w:r>
      <w:r w:rsidR="00E7688E">
        <w:rPr>
          <w:rFonts w:ascii="Garamond" w:hAnsi="Garamond"/>
        </w:rPr>
        <w:t xml:space="preserve"> we reconcile this new information with known gaps in our understanding to review ongoing initiatives seeking to redress the problem and additional ones that could be cautiously conceived.</w:t>
      </w:r>
    </w:p>
    <w:p w14:paraId="33956047" w14:textId="0F805BDF" w:rsidR="001B0544" w:rsidRDefault="001B0544" w:rsidP="00197016">
      <w:pPr>
        <w:spacing w:after="120" w:line="240" w:lineRule="auto"/>
        <w:jc w:val="both"/>
        <w:rPr>
          <w:rFonts w:ascii="Garamond" w:hAnsi="Garamond"/>
        </w:rPr>
      </w:pPr>
    </w:p>
    <w:p w14:paraId="7068D4C9" w14:textId="10F336F8" w:rsidR="00FC2B33" w:rsidRPr="00FC2B33" w:rsidRDefault="00F266FF" w:rsidP="00FC2B33">
      <w:pPr>
        <w:pStyle w:val="ListParagraph"/>
        <w:numPr>
          <w:ilvl w:val="0"/>
          <w:numId w:val="1"/>
        </w:numPr>
        <w:spacing w:after="120" w:line="240" w:lineRule="auto"/>
        <w:jc w:val="both"/>
        <w:rPr>
          <w:rFonts w:ascii="Garamond" w:hAnsi="Garamond"/>
          <w:b/>
          <w:bCs/>
        </w:rPr>
      </w:pPr>
      <w:r>
        <w:rPr>
          <w:rFonts w:ascii="Garamond" w:hAnsi="Garamond"/>
          <w:b/>
          <w:bCs/>
        </w:rPr>
        <w:t>Policy Solutions</w:t>
      </w:r>
    </w:p>
    <w:p w14:paraId="1D07B0C5" w14:textId="460AE400" w:rsidR="00D93735" w:rsidRDefault="00D93735" w:rsidP="00E44938">
      <w:pPr>
        <w:spacing w:after="120" w:line="240" w:lineRule="auto"/>
        <w:jc w:val="both"/>
        <w:rPr>
          <w:rFonts w:ascii="Garamond" w:hAnsi="Garamond"/>
        </w:rPr>
      </w:pPr>
      <w:r>
        <w:rPr>
          <w:rFonts w:ascii="Garamond" w:hAnsi="Garamond"/>
        </w:rPr>
        <w:t>Ethnic disparities in sentencing are not as widespread as previously thought.</w:t>
      </w:r>
      <w:r w:rsidR="003F3308">
        <w:rPr>
          <w:rFonts w:ascii="Garamond" w:hAnsi="Garamond"/>
        </w:rPr>
        <w:t xml:space="preserve"> A series of new studies made possible by the release of sentencing datasets from the Ministry of Justice and the Sentencing Council ha</w:t>
      </w:r>
      <w:r w:rsidR="00EB20E8">
        <w:rPr>
          <w:rFonts w:ascii="Garamond" w:hAnsi="Garamond"/>
        </w:rPr>
        <w:t>ve</w:t>
      </w:r>
      <w:r w:rsidR="003F3308">
        <w:rPr>
          <w:rFonts w:ascii="Garamond" w:hAnsi="Garamond"/>
        </w:rPr>
        <w:t xml:space="preserve"> shown how unwarranted disparities are far smaller in size</w:t>
      </w:r>
      <w:r w:rsidR="00EB20E8">
        <w:rPr>
          <w:rFonts w:ascii="Garamond" w:hAnsi="Garamond"/>
        </w:rPr>
        <w:t>,</w:t>
      </w:r>
      <w:r w:rsidR="003F3308">
        <w:rPr>
          <w:rFonts w:ascii="Garamond" w:hAnsi="Garamond"/>
        </w:rPr>
        <w:t xml:space="preserve"> and heavily concentrated </w:t>
      </w:r>
      <w:r w:rsidR="00EB20E8">
        <w:rPr>
          <w:rFonts w:ascii="Garamond" w:hAnsi="Garamond"/>
        </w:rPr>
        <w:t xml:space="preserve">around </w:t>
      </w:r>
      <w:r w:rsidR="003F3308">
        <w:rPr>
          <w:rFonts w:ascii="Garamond" w:hAnsi="Garamond"/>
        </w:rPr>
        <w:t xml:space="preserve">drug offences. </w:t>
      </w:r>
    </w:p>
    <w:p w14:paraId="5297567E" w14:textId="705F99EB" w:rsidR="00A63224" w:rsidRDefault="00EB20E8" w:rsidP="00E44938">
      <w:pPr>
        <w:spacing w:after="120" w:line="240" w:lineRule="auto"/>
        <w:jc w:val="both"/>
        <w:rPr>
          <w:rFonts w:ascii="Garamond" w:hAnsi="Garamond"/>
        </w:rPr>
      </w:pPr>
      <w:bookmarkStart w:id="0" w:name="_Hlk186985316"/>
      <w:r w:rsidRPr="00EB20E8">
        <w:rPr>
          <w:rFonts w:ascii="Garamond" w:hAnsi="Garamond"/>
        </w:rPr>
        <w:t>Despite th</w:t>
      </w:r>
      <w:r>
        <w:rPr>
          <w:rFonts w:ascii="Garamond" w:hAnsi="Garamond"/>
        </w:rPr>
        <w:t>eir</w:t>
      </w:r>
      <w:r w:rsidRPr="00EB20E8">
        <w:rPr>
          <w:rFonts w:ascii="Garamond" w:hAnsi="Garamond"/>
        </w:rPr>
        <w:t xml:space="preserve"> narrower scope</w:t>
      </w:r>
      <w:r w:rsidR="003F3308">
        <w:rPr>
          <w:rFonts w:ascii="Garamond" w:hAnsi="Garamond"/>
        </w:rPr>
        <w:t xml:space="preserve">, these disparities should be interpreted as genuinely unwarranted as it is unlikely they are </w:t>
      </w:r>
      <w:r>
        <w:rPr>
          <w:rFonts w:ascii="Garamond" w:hAnsi="Garamond"/>
        </w:rPr>
        <w:t>simply</w:t>
      </w:r>
      <w:r w:rsidR="003F3308">
        <w:rPr>
          <w:rFonts w:ascii="Garamond" w:hAnsi="Garamond"/>
        </w:rPr>
        <w:t xml:space="preserve"> the result of </w:t>
      </w:r>
      <w:r w:rsidR="00AC0C52">
        <w:rPr>
          <w:rFonts w:ascii="Garamond" w:hAnsi="Garamond"/>
        </w:rPr>
        <w:t xml:space="preserve">differences in legal characteristics </w:t>
      </w:r>
      <w:r>
        <w:rPr>
          <w:rFonts w:ascii="Garamond" w:hAnsi="Garamond"/>
        </w:rPr>
        <w:t>defining</w:t>
      </w:r>
      <w:r w:rsidR="00AC0C52">
        <w:rPr>
          <w:rFonts w:ascii="Garamond" w:hAnsi="Garamond"/>
        </w:rPr>
        <w:t xml:space="preserve"> criminal cases committed by different ethnic groups. As such, all</w:t>
      </w:r>
      <w:r w:rsidR="000F04AF">
        <w:rPr>
          <w:rFonts w:ascii="Garamond" w:hAnsi="Garamond"/>
        </w:rPr>
        <w:t xml:space="preserve"> of</w:t>
      </w:r>
      <w:r w:rsidR="00AC0C52">
        <w:rPr>
          <w:rFonts w:ascii="Garamond" w:hAnsi="Garamond"/>
        </w:rPr>
        <w:t xml:space="preserve"> the </w:t>
      </w:r>
      <w:r w:rsidR="00837BF7">
        <w:rPr>
          <w:rFonts w:ascii="Garamond" w:hAnsi="Garamond"/>
        </w:rPr>
        <w:t xml:space="preserve">ongoing </w:t>
      </w:r>
      <w:r w:rsidR="00AC0C52">
        <w:rPr>
          <w:rFonts w:ascii="Garamond" w:hAnsi="Garamond"/>
        </w:rPr>
        <w:t xml:space="preserve">initiatives seeking to redress them, such as those carried </w:t>
      </w:r>
      <w:r w:rsidR="00AC0C52" w:rsidRPr="00C428A0">
        <w:rPr>
          <w:rFonts w:ascii="Garamond" w:hAnsi="Garamond"/>
        </w:rPr>
        <w:t xml:space="preserve">out so far by </w:t>
      </w:r>
      <w:r w:rsidR="00E3160B" w:rsidRPr="00A10D7B">
        <w:rPr>
          <w:rFonts w:ascii="Garamond" w:hAnsi="Garamond"/>
        </w:rPr>
        <w:t>the Judicial College (uncon</w:t>
      </w:r>
      <w:r w:rsidR="00C428A0" w:rsidRPr="00A10D7B">
        <w:rPr>
          <w:rFonts w:ascii="Garamond" w:hAnsi="Garamond"/>
        </w:rPr>
        <w:t xml:space="preserve">scious bias </w:t>
      </w:r>
      <w:r w:rsidR="00E3160B" w:rsidRPr="00C428A0">
        <w:rPr>
          <w:rFonts w:ascii="Garamond" w:hAnsi="Garamond"/>
        </w:rPr>
        <w:t>trainin</w:t>
      </w:r>
      <w:r w:rsidR="00E3160B" w:rsidRPr="00BE07BB">
        <w:rPr>
          <w:rFonts w:ascii="Garamond" w:hAnsi="Garamond"/>
        </w:rPr>
        <w:t xml:space="preserve">g) </w:t>
      </w:r>
      <w:r w:rsidR="00AC0C52" w:rsidRPr="00A10D7B">
        <w:rPr>
          <w:rFonts w:ascii="Garamond" w:hAnsi="Garamond"/>
        </w:rPr>
        <w:t>and the Sentencing Council (reminder</w:t>
      </w:r>
      <w:r w:rsidR="009F7996" w:rsidRPr="00A10D7B">
        <w:rPr>
          <w:rFonts w:ascii="Garamond" w:hAnsi="Garamond"/>
        </w:rPr>
        <w:t xml:space="preserve">s in sentencing guidelines to consult the equal treatment handbook, </w:t>
      </w:r>
      <w:r w:rsidR="009F7996" w:rsidRPr="00C428A0">
        <w:rPr>
          <w:rFonts w:ascii="Garamond" w:hAnsi="Garamond"/>
        </w:rPr>
        <w:t>amending</w:t>
      </w:r>
      <w:r w:rsidR="009F7996" w:rsidRPr="00A10D7B">
        <w:rPr>
          <w:rFonts w:ascii="Garamond" w:hAnsi="Garamond"/>
        </w:rPr>
        <w:t xml:space="preserve"> </w:t>
      </w:r>
      <w:r w:rsidR="00AE37EE" w:rsidRPr="00C428A0">
        <w:rPr>
          <w:rFonts w:ascii="Garamond" w:hAnsi="Garamond"/>
        </w:rPr>
        <w:t xml:space="preserve">the expanded </w:t>
      </w:r>
      <w:r w:rsidR="009F7996" w:rsidRPr="00A10D7B">
        <w:rPr>
          <w:rFonts w:ascii="Garamond" w:hAnsi="Garamond"/>
        </w:rPr>
        <w:t>explanations in sentencing guidelines for certain mitigating factors</w:t>
      </w:r>
      <w:r w:rsidR="002D2480">
        <w:rPr>
          <w:rFonts w:ascii="Garamond" w:hAnsi="Garamond"/>
        </w:rPr>
        <w:t>,</w:t>
      </w:r>
      <w:r w:rsidR="009F7996" w:rsidRPr="00A10D7B">
        <w:rPr>
          <w:rFonts w:ascii="Garamond" w:hAnsi="Garamond"/>
        </w:rPr>
        <w:t xml:space="preserve"> as well as the inclusion of a new</w:t>
      </w:r>
      <w:r w:rsidR="00AC0C52" w:rsidRPr="00A10D7B">
        <w:rPr>
          <w:rFonts w:ascii="Garamond" w:hAnsi="Garamond"/>
        </w:rPr>
        <w:t xml:space="preserve"> mitigating factor</w:t>
      </w:r>
      <w:r w:rsidR="008B1043" w:rsidRPr="00C428A0">
        <w:rPr>
          <w:rFonts w:ascii="Garamond" w:hAnsi="Garamond"/>
        </w:rPr>
        <w:t>s</w:t>
      </w:r>
      <w:r w:rsidR="00AC0C52" w:rsidRPr="00A10D7B">
        <w:rPr>
          <w:rFonts w:ascii="Garamond" w:hAnsi="Garamond"/>
        </w:rPr>
        <w:t xml:space="preserve"> </w:t>
      </w:r>
      <w:r w:rsidR="009F7996" w:rsidRPr="00A10D7B">
        <w:rPr>
          <w:rFonts w:ascii="Garamond" w:hAnsi="Garamond"/>
        </w:rPr>
        <w:t>of ‘</w:t>
      </w:r>
      <w:r w:rsidR="009F7996" w:rsidRPr="00C428A0">
        <w:rPr>
          <w:rFonts w:ascii="Garamond" w:hAnsi="Garamond"/>
        </w:rPr>
        <w:t>difficult and/or deprived background or personal circumstances’</w:t>
      </w:r>
      <w:r w:rsidR="00AC0C52" w:rsidRPr="00A10D7B">
        <w:rPr>
          <w:rFonts w:ascii="Garamond" w:hAnsi="Garamond"/>
        </w:rPr>
        <w:t>)</w:t>
      </w:r>
      <w:r w:rsidR="00E90DFA">
        <w:rPr>
          <w:rStyle w:val="FootnoteReference"/>
          <w:rFonts w:ascii="Garamond" w:hAnsi="Garamond"/>
        </w:rPr>
        <w:footnoteReference w:id="11"/>
      </w:r>
      <w:r w:rsidR="00AC0C52" w:rsidRPr="00A10D7B">
        <w:rPr>
          <w:rFonts w:ascii="Garamond" w:hAnsi="Garamond"/>
        </w:rPr>
        <w:t xml:space="preserve">, </w:t>
      </w:r>
      <w:r w:rsidR="00AC0C52" w:rsidRPr="00C428A0">
        <w:rPr>
          <w:rFonts w:ascii="Garamond" w:hAnsi="Garamond"/>
        </w:rPr>
        <w:t xml:space="preserve">are well justified. </w:t>
      </w:r>
      <w:r w:rsidR="00A63224" w:rsidRPr="00A63224">
        <w:rPr>
          <w:rFonts w:ascii="Garamond" w:hAnsi="Garamond"/>
        </w:rPr>
        <w:t>Recent findings might be used to further enhance some of these efforts. For example, the reminder/note in drug offence sentencing guidelines highlighting there is evidence of ethnic disparities in sentencing outcomes could be updated to specifically state that the evidence of ethnic disparities relates to decisions of custody for male offenders being sentencing for drug offences. This additional specificity might help focus attention on cases where the research evidence has shown disparities are mostly likely to arise.</w:t>
      </w:r>
    </w:p>
    <w:bookmarkEnd w:id="0"/>
    <w:p w14:paraId="5FCC1F1F" w14:textId="1ADCD16A" w:rsidR="000251BE" w:rsidRDefault="00A63224" w:rsidP="00D93735">
      <w:pPr>
        <w:spacing w:after="120" w:line="240" w:lineRule="auto"/>
        <w:jc w:val="both"/>
        <w:rPr>
          <w:rFonts w:ascii="Garamond" w:hAnsi="Garamond"/>
        </w:rPr>
      </w:pPr>
      <w:r>
        <w:rPr>
          <w:rFonts w:ascii="Garamond" w:hAnsi="Garamond"/>
        </w:rPr>
        <w:t>In addition, b</w:t>
      </w:r>
      <w:r w:rsidR="00AC0C52">
        <w:rPr>
          <w:rFonts w:ascii="Garamond" w:hAnsi="Garamond"/>
        </w:rPr>
        <w:t xml:space="preserve">ased on recent findings, we argue there is scope to go even further and </w:t>
      </w:r>
      <w:r w:rsidR="00837BF7">
        <w:rPr>
          <w:rFonts w:ascii="Garamond" w:hAnsi="Garamond"/>
        </w:rPr>
        <w:t>broaden these efforts.</w:t>
      </w:r>
      <w:r w:rsidR="00837BF7" w:rsidRPr="00837BF7">
        <w:t xml:space="preserve"> </w:t>
      </w:r>
      <w:r w:rsidR="00BE07BB">
        <w:rPr>
          <w:rFonts w:ascii="Garamond" w:hAnsi="Garamond"/>
        </w:rPr>
        <w:t>I</w:t>
      </w:r>
      <w:r w:rsidR="00492CB1">
        <w:rPr>
          <w:rFonts w:ascii="Garamond" w:hAnsi="Garamond"/>
        </w:rPr>
        <w:t>ncreasing</w:t>
      </w:r>
      <w:r w:rsidR="00BE07BB">
        <w:rPr>
          <w:rFonts w:ascii="Garamond" w:hAnsi="Garamond"/>
        </w:rPr>
        <w:t xml:space="preserve"> the availability and quality of pre-sentence reports</w:t>
      </w:r>
      <w:r w:rsidR="00837BF7" w:rsidRPr="00837BF7">
        <w:rPr>
          <w:rFonts w:ascii="Garamond" w:hAnsi="Garamond"/>
        </w:rPr>
        <w:t xml:space="preserve"> </w:t>
      </w:r>
      <w:r w:rsidR="00F62780">
        <w:rPr>
          <w:rFonts w:ascii="Garamond" w:hAnsi="Garamond"/>
        </w:rPr>
        <w:t>is one policy option that could</w:t>
      </w:r>
      <w:r w:rsidR="00574B6B">
        <w:rPr>
          <w:rFonts w:ascii="Garamond" w:hAnsi="Garamond"/>
        </w:rPr>
        <w:t xml:space="preserve"> </w:t>
      </w:r>
      <w:r w:rsidR="00837BF7" w:rsidRPr="00837BF7">
        <w:rPr>
          <w:rFonts w:ascii="Garamond" w:hAnsi="Garamond"/>
        </w:rPr>
        <w:t xml:space="preserve">significantly mitigate disparities. </w:t>
      </w:r>
      <w:r w:rsidR="00574B6B">
        <w:rPr>
          <w:rFonts w:ascii="Garamond" w:hAnsi="Garamond"/>
        </w:rPr>
        <w:t>Ensuring the availability of c</w:t>
      </w:r>
      <w:r w:rsidR="00837BF7" w:rsidRPr="00837BF7">
        <w:rPr>
          <w:rFonts w:ascii="Garamond" w:hAnsi="Garamond"/>
        </w:rPr>
        <w:t>omprehensive pre-sentence reports would allow judges to consider personal mitigating factors more thoughtfully</w:t>
      </w:r>
      <w:r w:rsidR="00BE07BB">
        <w:rPr>
          <w:rFonts w:ascii="Garamond" w:hAnsi="Garamond"/>
        </w:rPr>
        <w:t xml:space="preserve">. </w:t>
      </w:r>
      <w:r w:rsidR="00D01914">
        <w:rPr>
          <w:rFonts w:ascii="Garamond" w:hAnsi="Garamond"/>
        </w:rPr>
        <w:t xml:space="preserve">It </w:t>
      </w:r>
      <w:r w:rsidR="00A84E00">
        <w:rPr>
          <w:rFonts w:ascii="Garamond" w:hAnsi="Garamond"/>
        </w:rPr>
        <w:t>would also allow judges to better consider</w:t>
      </w:r>
      <w:r w:rsidR="00F62780">
        <w:rPr>
          <w:rFonts w:ascii="Garamond" w:hAnsi="Garamond"/>
        </w:rPr>
        <w:t xml:space="preserve"> </w:t>
      </w:r>
      <w:r w:rsidR="00827644">
        <w:rPr>
          <w:rFonts w:ascii="Garamond" w:hAnsi="Garamond"/>
        </w:rPr>
        <w:t xml:space="preserve">and impose </w:t>
      </w:r>
      <w:r w:rsidR="00F62780">
        <w:rPr>
          <w:rFonts w:ascii="Garamond" w:hAnsi="Garamond"/>
        </w:rPr>
        <w:t>non-custodial sanctions</w:t>
      </w:r>
      <w:r w:rsidR="00083E38">
        <w:rPr>
          <w:rFonts w:ascii="Garamond" w:hAnsi="Garamond"/>
        </w:rPr>
        <w:t xml:space="preserve"> </w:t>
      </w:r>
      <w:r w:rsidR="0019556B">
        <w:rPr>
          <w:rFonts w:ascii="Garamond" w:hAnsi="Garamond"/>
        </w:rPr>
        <w:t xml:space="preserve">for </w:t>
      </w:r>
      <w:r w:rsidR="00083E38">
        <w:rPr>
          <w:rFonts w:ascii="Garamond" w:hAnsi="Garamond"/>
        </w:rPr>
        <w:t>ethnic minorit</w:t>
      </w:r>
      <w:r w:rsidR="0019556B">
        <w:rPr>
          <w:rFonts w:ascii="Garamond" w:hAnsi="Garamond"/>
        </w:rPr>
        <w:t>y offenders</w:t>
      </w:r>
      <w:r w:rsidR="00A84E00">
        <w:rPr>
          <w:rFonts w:ascii="Garamond" w:hAnsi="Garamond"/>
        </w:rPr>
        <w:t xml:space="preserve">. </w:t>
      </w:r>
      <w:r w:rsidR="0019556B">
        <w:rPr>
          <w:rFonts w:ascii="Garamond" w:hAnsi="Garamond"/>
        </w:rPr>
        <w:t xml:space="preserve">As recent </w:t>
      </w:r>
      <w:r w:rsidR="00D01914">
        <w:rPr>
          <w:rFonts w:ascii="Garamond" w:hAnsi="Garamond"/>
        </w:rPr>
        <w:t>findings</w:t>
      </w:r>
      <w:r w:rsidR="00574B6B">
        <w:rPr>
          <w:rFonts w:ascii="Garamond" w:hAnsi="Garamond"/>
        </w:rPr>
        <w:t xml:space="preserve"> have shown, ethnic disparities likely stem, </w:t>
      </w:r>
      <w:r w:rsidR="00D01914">
        <w:rPr>
          <w:rFonts w:ascii="Garamond" w:hAnsi="Garamond"/>
        </w:rPr>
        <w:t xml:space="preserve">at least </w:t>
      </w:r>
      <w:r w:rsidR="00574B6B">
        <w:rPr>
          <w:rFonts w:ascii="Garamond" w:hAnsi="Garamond"/>
        </w:rPr>
        <w:t>in part, from the judicial assessment of personal mitigating factors and</w:t>
      </w:r>
      <w:r w:rsidR="00D01914">
        <w:rPr>
          <w:rFonts w:ascii="Garamond" w:hAnsi="Garamond"/>
        </w:rPr>
        <w:t xml:space="preserve"> disparities</w:t>
      </w:r>
      <w:r w:rsidR="00574B6B">
        <w:rPr>
          <w:rFonts w:ascii="Garamond" w:hAnsi="Garamond"/>
        </w:rPr>
        <w:t xml:space="preserve"> are mostly present in decisions of custod</w:t>
      </w:r>
      <w:r w:rsidR="00D01914">
        <w:rPr>
          <w:rFonts w:ascii="Garamond" w:hAnsi="Garamond"/>
        </w:rPr>
        <w:t>y rather than sentence length</w:t>
      </w:r>
      <w:r w:rsidR="00C11986">
        <w:rPr>
          <w:rFonts w:ascii="Garamond" w:hAnsi="Garamond"/>
        </w:rPr>
        <w:t xml:space="preserve">. It is </w:t>
      </w:r>
      <w:r w:rsidR="00F62780">
        <w:rPr>
          <w:rFonts w:ascii="Garamond" w:hAnsi="Garamond"/>
        </w:rPr>
        <w:t xml:space="preserve">the decision </w:t>
      </w:r>
      <w:r w:rsidR="00C11986">
        <w:rPr>
          <w:rFonts w:ascii="Garamond" w:hAnsi="Garamond"/>
        </w:rPr>
        <w:t>regarding custody</w:t>
      </w:r>
      <w:r w:rsidR="00F62780">
        <w:rPr>
          <w:rFonts w:ascii="Garamond" w:hAnsi="Garamond"/>
        </w:rPr>
        <w:t xml:space="preserve"> where</w:t>
      </w:r>
      <w:r w:rsidR="00D01914">
        <w:rPr>
          <w:rFonts w:ascii="Garamond" w:hAnsi="Garamond"/>
        </w:rPr>
        <w:t xml:space="preserve"> pre-sentence reports are most influential</w:t>
      </w:r>
      <w:r w:rsidR="00574B6B">
        <w:rPr>
          <w:rFonts w:ascii="Garamond" w:hAnsi="Garamond"/>
        </w:rPr>
        <w:t xml:space="preserve">. As well as improving the availability and quality of pre-sentence reports, it </w:t>
      </w:r>
      <w:r w:rsidR="00C11986">
        <w:rPr>
          <w:rFonts w:ascii="Garamond" w:hAnsi="Garamond"/>
        </w:rPr>
        <w:t>is also</w:t>
      </w:r>
      <w:r w:rsidR="00D01914">
        <w:rPr>
          <w:rFonts w:ascii="Garamond" w:hAnsi="Garamond"/>
        </w:rPr>
        <w:t xml:space="preserve"> important that </w:t>
      </w:r>
      <w:r w:rsidR="00574B6B">
        <w:rPr>
          <w:rFonts w:ascii="Garamond" w:hAnsi="Garamond"/>
        </w:rPr>
        <w:t xml:space="preserve">suitable </w:t>
      </w:r>
      <w:r w:rsidR="00D01914">
        <w:rPr>
          <w:rFonts w:ascii="Garamond" w:hAnsi="Garamond"/>
        </w:rPr>
        <w:t>programmes and services</w:t>
      </w:r>
      <w:r w:rsidR="0019556B">
        <w:rPr>
          <w:rFonts w:ascii="Garamond" w:hAnsi="Garamond"/>
        </w:rPr>
        <w:t xml:space="preserve"> are</w:t>
      </w:r>
      <w:r w:rsidR="00574B6B">
        <w:rPr>
          <w:rFonts w:ascii="Garamond" w:hAnsi="Garamond"/>
        </w:rPr>
        <w:t xml:space="preserve"> available in the community for ethnic minority </w:t>
      </w:r>
      <w:r w:rsidR="00807D03">
        <w:rPr>
          <w:rFonts w:ascii="Garamond" w:hAnsi="Garamond"/>
        </w:rPr>
        <w:t>groups</w:t>
      </w:r>
      <w:r w:rsidR="00574B6B">
        <w:rPr>
          <w:rFonts w:ascii="Garamond" w:hAnsi="Garamond"/>
        </w:rPr>
        <w:t>.</w:t>
      </w:r>
      <w:r w:rsidR="00C11986">
        <w:rPr>
          <w:rFonts w:ascii="Garamond" w:hAnsi="Garamond"/>
        </w:rPr>
        <w:t xml:space="preserve"> Research has shown that ethnic minority groups face additional barriers in accessing drug and alcohol treatment (Fountain 2009).</w:t>
      </w:r>
      <w:r w:rsidR="00D05418">
        <w:rPr>
          <w:rFonts w:ascii="Garamond" w:hAnsi="Garamond"/>
        </w:rPr>
        <w:t xml:space="preserve"> This can include </w:t>
      </w:r>
      <w:r w:rsidR="00D05418" w:rsidRPr="00D05418">
        <w:rPr>
          <w:rFonts w:ascii="Garamond" w:hAnsi="Garamond"/>
        </w:rPr>
        <w:t>language barriers, stigma and cultural differences, mistrust of mainstream services and experiences of racial prejudice</w:t>
      </w:r>
      <w:r w:rsidR="00C4020A">
        <w:rPr>
          <w:rFonts w:ascii="Garamond" w:hAnsi="Garamond"/>
        </w:rPr>
        <w:t xml:space="preserve">. These barriers </w:t>
      </w:r>
      <w:r w:rsidR="00D05418">
        <w:rPr>
          <w:rFonts w:ascii="Garamond" w:hAnsi="Garamond"/>
        </w:rPr>
        <w:t xml:space="preserve">can </w:t>
      </w:r>
      <w:r w:rsidR="00D05418" w:rsidRPr="00D05418">
        <w:rPr>
          <w:rFonts w:ascii="Garamond" w:hAnsi="Garamond"/>
        </w:rPr>
        <w:t>prevent ethnic minorit</w:t>
      </w:r>
      <w:r w:rsidR="00F153AE">
        <w:rPr>
          <w:rFonts w:ascii="Garamond" w:hAnsi="Garamond"/>
        </w:rPr>
        <w:t>y groups</w:t>
      </w:r>
      <w:r w:rsidR="00D05418" w:rsidRPr="00D05418">
        <w:rPr>
          <w:rFonts w:ascii="Garamond" w:hAnsi="Garamond"/>
        </w:rPr>
        <w:t xml:space="preserve"> from engaging with</w:t>
      </w:r>
      <w:r w:rsidR="00D05418">
        <w:rPr>
          <w:rFonts w:ascii="Garamond" w:hAnsi="Garamond"/>
        </w:rPr>
        <w:t xml:space="preserve"> </w:t>
      </w:r>
      <w:r w:rsidR="00D05418" w:rsidRPr="00D05418">
        <w:rPr>
          <w:rFonts w:ascii="Garamond" w:hAnsi="Garamond"/>
        </w:rPr>
        <w:t>treatment servic</w:t>
      </w:r>
      <w:r w:rsidR="00C4020A">
        <w:rPr>
          <w:rFonts w:ascii="Garamond" w:hAnsi="Garamond"/>
        </w:rPr>
        <w:t>es which in turn can impact risk assessments and rehabilitative potential.</w:t>
      </w:r>
      <w:r w:rsidR="007E5D34">
        <w:rPr>
          <w:rFonts w:ascii="Garamond" w:hAnsi="Garamond"/>
        </w:rPr>
        <w:t xml:space="preserve"> </w:t>
      </w:r>
    </w:p>
    <w:p w14:paraId="7F7782D0" w14:textId="67DB36A4" w:rsidR="00A84E00" w:rsidRPr="000251BE" w:rsidRDefault="007E5D34" w:rsidP="00D93735">
      <w:pPr>
        <w:spacing w:after="120" w:line="240" w:lineRule="auto"/>
        <w:jc w:val="both"/>
        <w:rPr>
          <w:rFonts w:ascii="Garamond" w:hAnsi="Garamond"/>
          <w:b/>
        </w:rPr>
      </w:pPr>
      <w:r>
        <w:rPr>
          <w:rFonts w:ascii="Garamond" w:hAnsi="Garamond"/>
        </w:rPr>
        <w:t>In 2021,</w:t>
      </w:r>
      <w:r w:rsidR="00574B6B">
        <w:rPr>
          <w:rFonts w:ascii="Garamond" w:hAnsi="Garamond"/>
        </w:rPr>
        <w:t xml:space="preserve"> </w:t>
      </w:r>
      <w:r w:rsidR="00083E38" w:rsidRPr="00083E38">
        <w:rPr>
          <w:rFonts w:ascii="Garamond" w:hAnsi="Garamond"/>
        </w:rPr>
        <w:t xml:space="preserve">HM Inspectorate of Probation found that there </w:t>
      </w:r>
      <w:r>
        <w:rPr>
          <w:rFonts w:ascii="Garamond" w:hAnsi="Garamond"/>
        </w:rPr>
        <w:t>were</w:t>
      </w:r>
      <w:r w:rsidR="00083E38" w:rsidRPr="00083E38">
        <w:rPr>
          <w:rFonts w:ascii="Garamond" w:hAnsi="Garamond"/>
        </w:rPr>
        <w:t xml:space="preserve"> very few treatment programmes </w:t>
      </w:r>
      <w:r>
        <w:rPr>
          <w:rFonts w:ascii="Garamond" w:hAnsi="Garamond"/>
        </w:rPr>
        <w:t xml:space="preserve">available </w:t>
      </w:r>
      <w:r w:rsidR="00083E38" w:rsidRPr="00083E38">
        <w:rPr>
          <w:rFonts w:ascii="Garamond" w:hAnsi="Garamond"/>
        </w:rPr>
        <w:t>specifically for ethnic minority users</w:t>
      </w:r>
      <w:r w:rsidR="00C93AD3">
        <w:rPr>
          <w:rFonts w:ascii="Garamond" w:hAnsi="Garamond"/>
        </w:rPr>
        <w:t xml:space="preserve"> (p29)</w:t>
      </w:r>
      <w:r>
        <w:rPr>
          <w:rFonts w:ascii="Garamond" w:hAnsi="Garamond"/>
        </w:rPr>
        <w:t>. It found there was no coherent national approach to assess the differing needs/barriers for ethnic minority users</w:t>
      </w:r>
      <w:r w:rsidR="00C93AD3">
        <w:rPr>
          <w:rFonts w:ascii="Garamond" w:hAnsi="Garamond"/>
        </w:rPr>
        <w:t>, to identify any disproportionality in service delivery</w:t>
      </w:r>
      <w:r>
        <w:rPr>
          <w:rFonts w:ascii="Garamond" w:hAnsi="Garamond"/>
        </w:rPr>
        <w:t xml:space="preserve"> </w:t>
      </w:r>
      <w:r w:rsidR="00C4020A">
        <w:rPr>
          <w:rFonts w:ascii="Garamond" w:hAnsi="Garamond"/>
        </w:rPr>
        <w:t>or</w:t>
      </w:r>
      <w:r>
        <w:rPr>
          <w:rFonts w:ascii="Garamond" w:hAnsi="Garamond"/>
        </w:rPr>
        <w:t xml:space="preserve"> to improve </w:t>
      </w:r>
      <w:r w:rsidR="00C93AD3">
        <w:rPr>
          <w:rFonts w:ascii="Garamond" w:hAnsi="Garamond"/>
        </w:rPr>
        <w:t>how services are delivered to these groups (p8)</w:t>
      </w:r>
      <w:r w:rsidR="00083E38" w:rsidRPr="00083E38">
        <w:rPr>
          <w:rFonts w:ascii="Garamond" w:hAnsi="Garamond"/>
        </w:rPr>
        <w:t>.</w:t>
      </w:r>
      <w:r w:rsidR="00083E38">
        <w:rPr>
          <w:rFonts w:ascii="Garamond" w:hAnsi="Garamond"/>
        </w:rPr>
        <w:t xml:space="preserve"> The inspectorate</w:t>
      </w:r>
      <w:r w:rsidR="00083E38" w:rsidRPr="00083E38">
        <w:rPr>
          <w:rFonts w:ascii="Garamond" w:hAnsi="Garamond"/>
        </w:rPr>
        <w:t xml:space="preserve"> recommended the development of a national race equality strategy for probation service delivery, supplemented by strategic needs assessments in each probation region, to ensure that ethnic minority service users are not disadvantaged</w:t>
      </w:r>
      <w:r w:rsidR="00083E38">
        <w:rPr>
          <w:rFonts w:ascii="Garamond" w:hAnsi="Garamond"/>
        </w:rPr>
        <w:t xml:space="preserve"> </w:t>
      </w:r>
      <w:r w:rsidR="00083E38" w:rsidRPr="00083E38">
        <w:rPr>
          <w:rFonts w:ascii="Garamond" w:hAnsi="Garamond"/>
        </w:rPr>
        <w:t>(p12</w:t>
      </w:r>
      <w:r w:rsidR="00083E38" w:rsidRPr="00101E69">
        <w:rPr>
          <w:rFonts w:ascii="Garamond" w:hAnsi="Garamond"/>
        </w:rPr>
        <w:t>). At the time of writing</w:t>
      </w:r>
      <w:r w:rsidR="00083E38" w:rsidRPr="00C4020A">
        <w:rPr>
          <w:rFonts w:ascii="Garamond" w:hAnsi="Garamond"/>
        </w:rPr>
        <w:t>, a natio</w:t>
      </w:r>
      <w:r w:rsidR="00083E38" w:rsidRPr="00867063">
        <w:rPr>
          <w:rFonts w:ascii="Garamond" w:hAnsi="Garamond"/>
        </w:rPr>
        <w:t xml:space="preserve">nal race equality strategy for probation service delivery </w:t>
      </w:r>
      <w:r w:rsidR="00827644">
        <w:rPr>
          <w:rFonts w:ascii="Garamond" w:hAnsi="Garamond"/>
        </w:rPr>
        <w:t xml:space="preserve">has </w:t>
      </w:r>
      <w:r w:rsidR="00926C77">
        <w:rPr>
          <w:rFonts w:ascii="Garamond" w:hAnsi="Garamond"/>
        </w:rPr>
        <w:t>yet to be</w:t>
      </w:r>
      <w:r w:rsidR="00F153AE">
        <w:rPr>
          <w:rFonts w:ascii="Garamond" w:hAnsi="Garamond"/>
        </w:rPr>
        <w:t xml:space="preserve"> published. It is unclear if one </w:t>
      </w:r>
      <w:r w:rsidR="00926C77">
        <w:rPr>
          <w:rFonts w:ascii="Garamond" w:hAnsi="Garamond"/>
        </w:rPr>
        <w:t>h</w:t>
      </w:r>
      <w:r w:rsidR="00F153AE">
        <w:rPr>
          <w:rFonts w:ascii="Garamond" w:hAnsi="Garamond"/>
        </w:rPr>
        <w:t>as been developed</w:t>
      </w:r>
      <w:r w:rsidR="00926C77">
        <w:rPr>
          <w:rFonts w:ascii="Garamond" w:hAnsi="Garamond"/>
        </w:rPr>
        <w:t>.</w:t>
      </w:r>
      <w:r w:rsidR="00C93AD3" w:rsidRPr="000251BE">
        <w:rPr>
          <w:rFonts w:ascii="Garamond" w:hAnsi="Garamond"/>
        </w:rPr>
        <w:t xml:space="preserve"> HM Inspectorate of Probation in a follow up review in 2023 </w:t>
      </w:r>
      <w:r w:rsidR="00C4020A">
        <w:rPr>
          <w:rFonts w:ascii="Garamond" w:hAnsi="Garamond"/>
        </w:rPr>
        <w:t>stated</w:t>
      </w:r>
      <w:r w:rsidR="00BA7D19">
        <w:rPr>
          <w:rFonts w:ascii="Garamond" w:hAnsi="Garamond"/>
        </w:rPr>
        <w:t xml:space="preserve"> that</w:t>
      </w:r>
      <w:r w:rsidR="00C93AD3" w:rsidRPr="000251BE">
        <w:rPr>
          <w:rFonts w:ascii="Garamond" w:hAnsi="Garamond"/>
        </w:rPr>
        <w:t xml:space="preserve"> race equality in probation remains </w:t>
      </w:r>
      <w:r w:rsidR="00BA7D19">
        <w:rPr>
          <w:rFonts w:ascii="Garamond" w:hAnsi="Garamond"/>
        </w:rPr>
        <w:t>‘</w:t>
      </w:r>
      <w:r w:rsidR="00C93AD3" w:rsidRPr="000251BE">
        <w:rPr>
          <w:rFonts w:ascii="Garamond" w:hAnsi="Garamond"/>
        </w:rPr>
        <w:t>a work in progress’</w:t>
      </w:r>
      <w:r w:rsidR="00F62780">
        <w:rPr>
          <w:rFonts w:ascii="Garamond" w:hAnsi="Garamond"/>
        </w:rPr>
        <w:t xml:space="preserve"> (2023)</w:t>
      </w:r>
      <w:r w:rsidR="00C93AD3" w:rsidRPr="000251BE">
        <w:rPr>
          <w:rFonts w:ascii="Garamond" w:hAnsi="Garamond"/>
        </w:rPr>
        <w:t xml:space="preserve">. Developing a national race equality strategy </w:t>
      </w:r>
      <w:r w:rsidR="00C4020A">
        <w:rPr>
          <w:rFonts w:ascii="Garamond" w:hAnsi="Garamond"/>
        </w:rPr>
        <w:t>addressing</w:t>
      </w:r>
      <w:r w:rsidR="00F62780">
        <w:rPr>
          <w:rFonts w:ascii="Garamond" w:hAnsi="Garamond"/>
        </w:rPr>
        <w:t xml:space="preserve"> the issues identified </w:t>
      </w:r>
      <w:r w:rsidR="00C93AD3" w:rsidRPr="000251BE">
        <w:rPr>
          <w:rFonts w:ascii="Garamond" w:hAnsi="Garamond"/>
        </w:rPr>
        <w:t xml:space="preserve">by </w:t>
      </w:r>
      <w:r w:rsidR="00F62780">
        <w:rPr>
          <w:rFonts w:ascii="Garamond" w:hAnsi="Garamond"/>
        </w:rPr>
        <w:t xml:space="preserve">HM </w:t>
      </w:r>
      <w:r w:rsidR="00C93AD3" w:rsidRPr="000251BE">
        <w:rPr>
          <w:rFonts w:ascii="Garamond" w:hAnsi="Garamond"/>
        </w:rPr>
        <w:t>Inspectorate of Probation</w:t>
      </w:r>
      <w:r w:rsidR="00BA7D19">
        <w:rPr>
          <w:rFonts w:ascii="Garamond" w:hAnsi="Garamond"/>
        </w:rPr>
        <w:t xml:space="preserve">, in our view is </w:t>
      </w:r>
      <w:r w:rsidR="00C4020A">
        <w:rPr>
          <w:rFonts w:ascii="Garamond" w:hAnsi="Garamond"/>
        </w:rPr>
        <w:t xml:space="preserve">a policy option worth pursuing. </w:t>
      </w:r>
    </w:p>
    <w:p w14:paraId="088D8B67" w14:textId="094657F3" w:rsidR="0019556B" w:rsidRDefault="0019556B" w:rsidP="00D93735">
      <w:pPr>
        <w:spacing w:after="120" w:line="240" w:lineRule="auto"/>
        <w:jc w:val="both"/>
        <w:rPr>
          <w:rFonts w:ascii="Garamond" w:hAnsi="Garamond"/>
        </w:rPr>
      </w:pPr>
      <w:bookmarkStart w:id="1" w:name="_Hlk187049087"/>
      <w:r w:rsidRPr="0032255A">
        <w:rPr>
          <w:rFonts w:ascii="Garamond" w:hAnsi="Garamond"/>
        </w:rPr>
        <w:t>A</w:t>
      </w:r>
      <w:r w:rsidR="004A00D0" w:rsidRPr="0032255A">
        <w:rPr>
          <w:rFonts w:ascii="Garamond" w:hAnsi="Garamond"/>
        </w:rPr>
        <w:t>nother</w:t>
      </w:r>
      <w:r w:rsidR="00C4020A" w:rsidRPr="0032255A">
        <w:rPr>
          <w:rFonts w:ascii="Garamond" w:hAnsi="Garamond"/>
        </w:rPr>
        <w:t xml:space="preserve"> </w:t>
      </w:r>
      <w:r w:rsidRPr="00926C77">
        <w:rPr>
          <w:rFonts w:ascii="Garamond" w:hAnsi="Garamond"/>
        </w:rPr>
        <w:t>policy option would be to restore legal aid to their pre-austerity levels. Improving legal aid access could help enhance ethnic minority defendants' trust in the justice system</w:t>
      </w:r>
      <w:r w:rsidR="00B94785">
        <w:rPr>
          <w:rFonts w:ascii="Garamond" w:hAnsi="Garamond"/>
        </w:rPr>
        <w:t>,</w:t>
      </w:r>
      <w:r w:rsidRPr="00926C77">
        <w:rPr>
          <w:rFonts w:ascii="Garamond" w:hAnsi="Garamond"/>
        </w:rPr>
        <w:t xml:space="preserve"> increase guilty pleas where appropriate</w:t>
      </w:r>
      <w:r w:rsidR="00B94785">
        <w:rPr>
          <w:rFonts w:ascii="Garamond" w:hAnsi="Garamond"/>
        </w:rPr>
        <w:t xml:space="preserve">, and </w:t>
      </w:r>
      <w:r w:rsidR="00B94785" w:rsidRPr="00837BF7">
        <w:rPr>
          <w:rFonts w:ascii="Garamond" w:hAnsi="Garamond"/>
        </w:rPr>
        <w:t xml:space="preserve">address </w:t>
      </w:r>
      <w:r w:rsidR="00B94785">
        <w:rPr>
          <w:rFonts w:ascii="Garamond" w:hAnsi="Garamond"/>
        </w:rPr>
        <w:t xml:space="preserve">potential issues of </w:t>
      </w:r>
      <w:r w:rsidR="00B94785" w:rsidRPr="00837BF7">
        <w:rPr>
          <w:rFonts w:ascii="Garamond" w:hAnsi="Garamond"/>
        </w:rPr>
        <w:t>courtroom demeano</w:t>
      </w:r>
      <w:r w:rsidR="00B94785">
        <w:rPr>
          <w:rFonts w:ascii="Garamond" w:hAnsi="Garamond"/>
        </w:rPr>
        <w:t>u</w:t>
      </w:r>
      <w:r w:rsidR="00B94785" w:rsidRPr="00837BF7">
        <w:rPr>
          <w:rFonts w:ascii="Garamond" w:hAnsi="Garamond"/>
        </w:rPr>
        <w:t>r</w:t>
      </w:r>
      <w:r w:rsidR="004A00D0" w:rsidRPr="00926C77">
        <w:rPr>
          <w:rFonts w:ascii="Garamond" w:hAnsi="Garamond"/>
        </w:rPr>
        <w:t>.</w:t>
      </w:r>
      <w:r w:rsidR="0010742F">
        <w:rPr>
          <w:rFonts w:ascii="Garamond" w:hAnsi="Garamond"/>
        </w:rPr>
        <w:t xml:space="preserve"> Currently, there remains a relatively wide disparity in guilty pleas across ethnic groups (Ministry of Justice, 2024).</w:t>
      </w:r>
      <w:r w:rsidR="004A00D0" w:rsidRPr="0032255A">
        <w:rPr>
          <w:rFonts w:ascii="Garamond" w:hAnsi="Garamond"/>
        </w:rPr>
        <w:t xml:space="preserve"> </w:t>
      </w:r>
      <w:r w:rsidRPr="0032255A">
        <w:rPr>
          <w:rFonts w:ascii="Garamond" w:hAnsi="Garamond"/>
        </w:rPr>
        <w:t>Additionally, the expanded explanations in sentencing guidelines could be used to warn</w:t>
      </w:r>
      <w:r w:rsidR="00867063" w:rsidRPr="000251BE">
        <w:rPr>
          <w:rFonts w:ascii="Garamond" w:hAnsi="Garamond"/>
        </w:rPr>
        <w:t xml:space="preserve"> about</w:t>
      </w:r>
      <w:r w:rsidRPr="0032255A">
        <w:rPr>
          <w:rFonts w:ascii="Garamond" w:hAnsi="Garamond"/>
        </w:rPr>
        <w:t xml:space="preserve"> potential </w:t>
      </w:r>
      <w:r w:rsidRPr="00926C77">
        <w:rPr>
          <w:rFonts w:ascii="Garamond" w:hAnsi="Garamond"/>
        </w:rPr>
        <w:t>biases in attributing ‘good character’ or ‘remorse’ to ethnic minority offenders, with similar</w:t>
      </w:r>
      <w:r w:rsidRPr="0019556B">
        <w:rPr>
          <w:rFonts w:ascii="Garamond" w:hAnsi="Garamond"/>
        </w:rPr>
        <w:t xml:space="preserve"> reminders given to probation officers writing pre-sentence reports</w:t>
      </w:r>
      <w:r>
        <w:rPr>
          <w:rFonts w:ascii="Garamond" w:hAnsi="Garamond"/>
        </w:rPr>
        <w:t>.</w:t>
      </w:r>
      <w:r w:rsidR="004A00D0">
        <w:rPr>
          <w:rFonts w:ascii="Garamond" w:hAnsi="Garamond"/>
        </w:rPr>
        <w:t xml:space="preserve"> Doing so </w:t>
      </w:r>
      <w:r w:rsidR="00926C77">
        <w:rPr>
          <w:rFonts w:ascii="Garamond" w:hAnsi="Garamond"/>
        </w:rPr>
        <w:t>could</w:t>
      </w:r>
      <w:r w:rsidR="004A00D0">
        <w:rPr>
          <w:rFonts w:ascii="Garamond" w:hAnsi="Garamond"/>
        </w:rPr>
        <w:t xml:space="preserve"> help</w:t>
      </w:r>
      <w:r w:rsidR="00867063">
        <w:rPr>
          <w:rFonts w:ascii="Garamond" w:hAnsi="Garamond"/>
        </w:rPr>
        <w:t xml:space="preserve"> to </w:t>
      </w:r>
      <w:r w:rsidR="004A00D0">
        <w:rPr>
          <w:rFonts w:ascii="Garamond" w:hAnsi="Garamond"/>
        </w:rPr>
        <w:t>reduce the uneven distribution of these impactful mitigating factors across ethnic groups</w:t>
      </w:r>
      <w:r w:rsidR="00867063">
        <w:rPr>
          <w:rFonts w:ascii="Garamond" w:hAnsi="Garamond"/>
        </w:rPr>
        <w:t xml:space="preserve"> </w:t>
      </w:r>
      <w:r w:rsidR="00571DC1">
        <w:rPr>
          <w:rFonts w:ascii="Garamond" w:hAnsi="Garamond"/>
        </w:rPr>
        <w:t xml:space="preserve">which was </w:t>
      </w:r>
      <w:r w:rsidR="00867063">
        <w:rPr>
          <w:rFonts w:ascii="Garamond" w:hAnsi="Garamond"/>
        </w:rPr>
        <w:t xml:space="preserve">observed by Guilfoyle and </w:t>
      </w:r>
      <w:r w:rsidR="00867063" w:rsidRPr="00101E69">
        <w:rPr>
          <w:rFonts w:ascii="Garamond" w:hAnsi="Garamond"/>
        </w:rPr>
        <w:t>Pina-S</w:t>
      </w:r>
      <w:r w:rsidR="00F52628">
        <w:rPr>
          <w:rFonts w:ascii="Garamond" w:hAnsi="Garamond"/>
        </w:rPr>
        <w:t>á</w:t>
      </w:r>
      <w:r w:rsidR="00867063" w:rsidRPr="00101E69">
        <w:rPr>
          <w:rFonts w:ascii="Garamond" w:hAnsi="Garamond"/>
        </w:rPr>
        <w:t>nchez</w:t>
      </w:r>
      <w:r w:rsidR="00867063">
        <w:rPr>
          <w:rFonts w:ascii="Garamond" w:hAnsi="Garamond"/>
        </w:rPr>
        <w:t xml:space="preserve"> (2024)</w:t>
      </w:r>
      <w:r w:rsidR="0010742F">
        <w:rPr>
          <w:rFonts w:ascii="Garamond" w:hAnsi="Garamond"/>
        </w:rPr>
        <w:t xml:space="preserve"> and identified as likely sources of ethnic disparities in sentencing outcomes</w:t>
      </w:r>
      <w:r w:rsidR="004A00D0">
        <w:rPr>
          <w:rFonts w:ascii="Garamond" w:hAnsi="Garamond"/>
        </w:rPr>
        <w:t xml:space="preserve">. </w:t>
      </w:r>
    </w:p>
    <w:p w14:paraId="3623C3BA" w14:textId="5DC09A77" w:rsidR="00122E65" w:rsidRPr="00046D2E" w:rsidRDefault="00122E65" w:rsidP="00046D2E">
      <w:pPr>
        <w:pStyle w:val="ListParagraph"/>
        <w:numPr>
          <w:ilvl w:val="1"/>
          <w:numId w:val="1"/>
        </w:numPr>
        <w:spacing w:after="120" w:line="240" w:lineRule="auto"/>
        <w:jc w:val="both"/>
        <w:rPr>
          <w:rFonts w:ascii="Garamond" w:hAnsi="Garamond"/>
          <w:iCs/>
          <w:u w:val="single"/>
        </w:rPr>
      </w:pPr>
      <w:r w:rsidRPr="00046D2E">
        <w:rPr>
          <w:rFonts w:ascii="Garamond" w:hAnsi="Garamond"/>
          <w:iCs/>
          <w:u w:val="single"/>
        </w:rPr>
        <w:t xml:space="preserve">Imposition of Community and Custodial Sentences </w:t>
      </w:r>
    </w:p>
    <w:p w14:paraId="753D35FE" w14:textId="1B903A50" w:rsidR="002C0A69" w:rsidRPr="004C3AD1" w:rsidRDefault="002C0A69" w:rsidP="002C0A69">
      <w:pPr>
        <w:spacing w:after="120" w:line="240" w:lineRule="auto"/>
        <w:jc w:val="both"/>
        <w:rPr>
          <w:rFonts w:ascii="Garamond" w:hAnsi="Garamond"/>
          <w:i/>
        </w:rPr>
      </w:pPr>
      <w:bookmarkStart w:id="2" w:name="_Hlk192178901"/>
      <w:r w:rsidRPr="0053446C">
        <w:rPr>
          <w:rFonts w:ascii="Garamond" w:hAnsi="Garamond"/>
        </w:rPr>
        <w:t>Since the pre-print of this article, the Sentencing Council has published a revised Sentencing Guideline on the ‘</w:t>
      </w:r>
      <w:r w:rsidRPr="00046D2E">
        <w:rPr>
          <w:rFonts w:ascii="Garamond" w:hAnsi="Garamond"/>
          <w:i/>
        </w:rPr>
        <w:t>Imposition of Community and Custodial Sentences’</w:t>
      </w:r>
      <w:r w:rsidRPr="0053446C">
        <w:rPr>
          <w:rFonts w:ascii="Garamond" w:hAnsi="Garamond"/>
        </w:rPr>
        <w:t xml:space="preserve">, set to take effect on 1 April 2025 (Sentencing Council 2025). </w:t>
      </w:r>
      <w:r>
        <w:rPr>
          <w:rFonts w:ascii="Garamond" w:hAnsi="Garamond"/>
        </w:rPr>
        <w:t>One of the</w:t>
      </w:r>
      <w:r w:rsidRPr="0053446C">
        <w:rPr>
          <w:rFonts w:ascii="Garamond" w:hAnsi="Garamond"/>
        </w:rPr>
        <w:t xml:space="preserve"> objective</w:t>
      </w:r>
      <w:r>
        <w:rPr>
          <w:rFonts w:ascii="Garamond" w:hAnsi="Garamond"/>
        </w:rPr>
        <w:t>s</w:t>
      </w:r>
      <w:r w:rsidRPr="0053446C">
        <w:rPr>
          <w:rFonts w:ascii="Garamond" w:hAnsi="Garamond"/>
        </w:rPr>
        <w:t xml:space="preserve"> of the revised guideline is to increase the use of pre-sentence reports as a mechanism for reducing disparities. To achieve this, the guideline introduces a new section specif</w:t>
      </w:r>
      <w:r>
        <w:rPr>
          <w:rFonts w:ascii="Garamond" w:hAnsi="Garamond"/>
        </w:rPr>
        <w:t>ically listing</w:t>
      </w:r>
      <w:r w:rsidRPr="0053446C">
        <w:rPr>
          <w:rFonts w:ascii="Garamond" w:hAnsi="Garamond"/>
        </w:rPr>
        <w:t xml:space="preserve"> cohorts of offenders for whom a pre-sentence report should normally be considered necessary. </w:t>
      </w:r>
      <w:r w:rsidRPr="0021665A">
        <w:rPr>
          <w:rFonts w:ascii="Garamond" w:hAnsi="Garamond"/>
        </w:rPr>
        <w:t xml:space="preserve">This non-exhaustive list includes offenders from an </w:t>
      </w:r>
      <w:r w:rsidRPr="004C3AD1">
        <w:rPr>
          <w:rFonts w:ascii="Garamond" w:hAnsi="Garamond"/>
          <w:i/>
        </w:rPr>
        <w:t>‘ethnic minority, cultural minority, and/or faith minority community’.</w:t>
      </w:r>
    </w:p>
    <w:p w14:paraId="484D5898" w14:textId="2F9F95FA" w:rsidR="002C0A69" w:rsidRPr="0053446C" w:rsidRDefault="008759A5" w:rsidP="002C0A69">
      <w:pPr>
        <w:spacing w:after="120" w:line="240" w:lineRule="auto"/>
        <w:jc w:val="both"/>
        <w:rPr>
          <w:rFonts w:ascii="Garamond" w:hAnsi="Garamond"/>
        </w:rPr>
      </w:pPr>
      <w:r>
        <w:rPr>
          <w:rFonts w:ascii="Garamond" w:hAnsi="Garamond"/>
        </w:rPr>
        <w:t>The</w:t>
      </w:r>
      <w:r w:rsidR="002C0A69" w:rsidRPr="0053446C">
        <w:rPr>
          <w:rFonts w:ascii="Garamond" w:hAnsi="Garamond"/>
        </w:rPr>
        <w:t xml:space="preserve"> revised guideline has been met with strong political opposition. Shadow Justice Secretary Robert Jenrick branded it </w:t>
      </w:r>
      <w:r w:rsidR="002C0A69">
        <w:rPr>
          <w:rFonts w:ascii="Garamond" w:hAnsi="Garamond"/>
        </w:rPr>
        <w:t>‘</w:t>
      </w:r>
      <w:r w:rsidR="002C0A69" w:rsidRPr="004C3AD1">
        <w:rPr>
          <w:rFonts w:ascii="Garamond" w:hAnsi="Garamond"/>
          <w:i/>
        </w:rPr>
        <w:t>two-tier justice’</w:t>
      </w:r>
      <w:r w:rsidR="002C0A69">
        <w:rPr>
          <w:rFonts w:ascii="Garamond" w:hAnsi="Garamond"/>
        </w:rPr>
        <w:t>.</w:t>
      </w:r>
      <w:r w:rsidR="002C0A69" w:rsidRPr="0053446C">
        <w:rPr>
          <w:rFonts w:ascii="Garamond" w:hAnsi="Garamond"/>
        </w:rPr>
        <w:t xml:space="preserve"> In response, Justice Secretary Shabana Mahmood stated her intention to write to the Sentencing Council to </w:t>
      </w:r>
      <w:r w:rsidR="002C0A69">
        <w:rPr>
          <w:rFonts w:ascii="Garamond" w:hAnsi="Garamond"/>
        </w:rPr>
        <w:t>‘</w:t>
      </w:r>
      <w:r w:rsidR="002C0A69" w:rsidRPr="004C3AD1">
        <w:rPr>
          <w:rFonts w:ascii="Garamond" w:hAnsi="Garamond"/>
          <w:i/>
        </w:rPr>
        <w:t xml:space="preserve">register [her] displeasure’ </w:t>
      </w:r>
      <w:r w:rsidR="002C0A69" w:rsidRPr="0053446C">
        <w:rPr>
          <w:rFonts w:ascii="Garamond" w:hAnsi="Garamond"/>
        </w:rPr>
        <w:t>and recommend reversing the change (BBC</w:t>
      </w:r>
      <w:r w:rsidR="00122E65">
        <w:rPr>
          <w:rFonts w:ascii="Garamond" w:hAnsi="Garamond"/>
        </w:rPr>
        <w:t>,</w:t>
      </w:r>
      <w:r w:rsidR="002C0A69" w:rsidRPr="0053446C">
        <w:rPr>
          <w:rFonts w:ascii="Garamond" w:hAnsi="Garamond"/>
        </w:rPr>
        <w:t xml:space="preserve"> 2025).</w:t>
      </w:r>
    </w:p>
    <w:p w14:paraId="5A4C9ADB" w14:textId="45FEBB6A" w:rsidR="002C0A69" w:rsidRPr="0053446C" w:rsidRDefault="002C0A69" w:rsidP="002C0A69">
      <w:pPr>
        <w:spacing w:after="120" w:line="240" w:lineRule="auto"/>
        <w:jc w:val="both"/>
        <w:rPr>
          <w:rFonts w:ascii="Garamond" w:hAnsi="Garamond"/>
        </w:rPr>
      </w:pPr>
      <w:r w:rsidRPr="0053446C">
        <w:rPr>
          <w:rFonts w:ascii="Garamond" w:hAnsi="Garamond"/>
        </w:rPr>
        <w:t xml:space="preserve">Addressing disparities through </w:t>
      </w:r>
      <w:r>
        <w:rPr>
          <w:rFonts w:ascii="Garamond" w:hAnsi="Garamond"/>
        </w:rPr>
        <w:t xml:space="preserve">an </w:t>
      </w:r>
      <w:r w:rsidRPr="0053446C">
        <w:rPr>
          <w:rFonts w:ascii="Garamond" w:hAnsi="Garamond"/>
        </w:rPr>
        <w:t xml:space="preserve">increased use of pre-sentence reports broadly aligns with our proposed policy solutions. Ideally, high-quality pre-sentence reports would be available for all offenders, ensuring judicial decisions are informed by comprehensive assessments. However, given current state of the criminal justice system, </w:t>
      </w:r>
      <w:r>
        <w:rPr>
          <w:rFonts w:ascii="Garamond" w:hAnsi="Garamond"/>
        </w:rPr>
        <w:t>it could be argued that this is</w:t>
      </w:r>
      <w:r w:rsidRPr="0053446C">
        <w:rPr>
          <w:rFonts w:ascii="Garamond" w:hAnsi="Garamond"/>
        </w:rPr>
        <w:t xml:space="preserve"> an unrealistic </w:t>
      </w:r>
      <w:r w:rsidRPr="00E40A2D">
        <w:rPr>
          <w:rFonts w:ascii="Garamond" w:hAnsi="Garamond"/>
          <w:i/>
        </w:rPr>
        <w:t xml:space="preserve">short-term </w:t>
      </w:r>
      <w:r w:rsidRPr="0053446C">
        <w:rPr>
          <w:rFonts w:ascii="Garamond" w:hAnsi="Garamond"/>
        </w:rPr>
        <w:t>goal. In this context, prioritising pre-sentence reports for specific cohorts</w:t>
      </w:r>
      <w:r w:rsidR="00122E65">
        <w:rPr>
          <w:rFonts w:ascii="Garamond" w:hAnsi="Garamond"/>
        </w:rPr>
        <w:t xml:space="preserve"> - </w:t>
      </w:r>
      <w:r w:rsidRPr="0053446C">
        <w:rPr>
          <w:rFonts w:ascii="Garamond" w:hAnsi="Garamond"/>
        </w:rPr>
        <w:t>such as ethnic and cultural minorities</w:t>
      </w:r>
      <w:r w:rsidR="00122E65">
        <w:rPr>
          <w:rFonts w:ascii="Garamond" w:hAnsi="Garamond"/>
        </w:rPr>
        <w:t xml:space="preserve"> - </w:t>
      </w:r>
      <w:r w:rsidRPr="0053446C">
        <w:rPr>
          <w:rFonts w:ascii="Garamond" w:hAnsi="Garamond"/>
        </w:rPr>
        <w:t xml:space="preserve">has merit, as it equips judges with critical insights into cultural backgrounds, structural disadvantages, and potential barriers to accessing rehabilitative services, and in </w:t>
      </w:r>
      <w:r>
        <w:rPr>
          <w:rFonts w:ascii="Garamond" w:hAnsi="Garamond"/>
        </w:rPr>
        <w:t>doing so,</w:t>
      </w:r>
      <w:r w:rsidRPr="0053446C">
        <w:rPr>
          <w:rFonts w:ascii="Garamond" w:hAnsi="Garamond"/>
        </w:rPr>
        <w:t xml:space="preserve"> should help to reduce ethnic disparities in sentencing outcomes. However, if </w:t>
      </w:r>
      <w:r>
        <w:rPr>
          <w:rFonts w:ascii="Garamond" w:hAnsi="Garamond"/>
        </w:rPr>
        <w:t>this is the approach</w:t>
      </w:r>
      <w:r w:rsidRPr="0053446C">
        <w:rPr>
          <w:rFonts w:ascii="Garamond" w:hAnsi="Garamond"/>
        </w:rPr>
        <w:t xml:space="preserve"> taken, then in our view, it is important for ‘deprived backgrounds’ to also be specified </w:t>
      </w:r>
      <w:r w:rsidR="00275B86">
        <w:rPr>
          <w:rFonts w:ascii="Garamond" w:hAnsi="Garamond"/>
        </w:rPr>
        <w:t xml:space="preserve">in the guideline </w:t>
      </w:r>
      <w:r w:rsidRPr="0053446C">
        <w:rPr>
          <w:rFonts w:ascii="Garamond" w:hAnsi="Garamond"/>
        </w:rPr>
        <w:t xml:space="preserve">as a cohort for whom a pre-sentence report should normally be requested. This would address criticisms that the guideline is </w:t>
      </w:r>
      <w:r>
        <w:rPr>
          <w:rFonts w:ascii="Garamond" w:hAnsi="Garamond"/>
        </w:rPr>
        <w:t>seeking to reduce</w:t>
      </w:r>
      <w:r w:rsidRPr="0053446C">
        <w:rPr>
          <w:rFonts w:ascii="Garamond" w:hAnsi="Garamond"/>
        </w:rPr>
        <w:t xml:space="preserve"> some </w:t>
      </w:r>
      <w:r>
        <w:rPr>
          <w:rFonts w:ascii="Garamond" w:hAnsi="Garamond"/>
        </w:rPr>
        <w:t xml:space="preserve">documented </w:t>
      </w:r>
      <w:r w:rsidRPr="0053446C">
        <w:rPr>
          <w:rFonts w:ascii="Garamond" w:hAnsi="Garamond"/>
        </w:rPr>
        <w:t>disparities</w:t>
      </w:r>
      <w:r>
        <w:rPr>
          <w:rFonts w:ascii="Garamond" w:hAnsi="Garamond"/>
        </w:rPr>
        <w:t xml:space="preserve"> </w:t>
      </w:r>
      <w:r w:rsidRPr="0053446C">
        <w:rPr>
          <w:rFonts w:ascii="Garamond" w:hAnsi="Garamond"/>
        </w:rPr>
        <w:t>(ethnic/cultural) but not others (social class)</w:t>
      </w:r>
      <w:r w:rsidR="00122E65">
        <w:rPr>
          <w:rFonts w:ascii="Garamond" w:hAnsi="Garamond"/>
        </w:rPr>
        <w:t xml:space="preserve">, while it will also contribute to redress the equally important deprivation-related disparities that have been </w:t>
      </w:r>
      <w:r w:rsidR="00046D2E">
        <w:rPr>
          <w:rFonts w:ascii="Garamond" w:hAnsi="Garamond"/>
        </w:rPr>
        <w:t xml:space="preserve">recently </w:t>
      </w:r>
      <w:r w:rsidR="00122E65">
        <w:rPr>
          <w:rFonts w:ascii="Garamond" w:hAnsi="Garamond"/>
        </w:rPr>
        <w:t>detected (</w:t>
      </w:r>
      <w:r w:rsidR="00122E65" w:rsidRPr="00101E69">
        <w:rPr>
          <w:rFonts w:ascii="Garamond" w:hAnsi="Garamond"/>
        </w:rPr>
        <w:t>Pina-S</w:t>
      </w:r>
      <w:r w:rsidR="00122E65">
        <w:rPr>
          <w:rFonts w:ascii="Garamond" w:hAnsi="Garamond"/>
        </w:rPr>
        <w:t>á</w:t>
      </w:r>
      <w:r w:rsidR="00122E65" w:rsidRPr="00101E69">
        <w:rPr>
          <w:rFonts w:ascii="Garamond" w:hAnsi="Garamond"/>
        </w:rPr>
        <w:t>nchez</w:t>
      </w:r>
      <w:r w:rsidR="00122E65">
        <w:rPr>
          <w:rFonts w:ascii="Garamond" w:hAnsi="Garamond"/>
        </w:rPr>
        <w:t xml:space="preserve"> et al., 2025)</w:t>
      </w:r>
      <w:r w:rsidRPr="0053446C">
        <w:rPr>
          <w:rFonts w:ascii="Garamond" w:hAnsi="Garamond"/>
        </w:rPr>
        <w:t>.</w:t>
      </w:r>
    </w:p>
    <w:p w14:paraId="5FF584A4" w14:textId="5868ABA5" w:rsidR="00DF698D" w:rsidRDefault="002C0A69" w:rsidP="0053446C">
      <w:pPr>
        <w:spacing w:after="120" w:line="240" w:lineRule="auto"/>
        <w:jc w:val="both"/>
        <w:rPr>
          <w:rFonts w:ascii="Garamond" w:hAnsi="Garamond"/>
        </w:rPr>
      </w:pPr>
      <w:r w:rsidRPr="0053446C">
        <w:rPr>
          <w:rFonts w:ascii="Garamond" w:hAnsi="Garamond"/>
        </w:rPr>
        <w:t xml:space="preserve">Furthermore, it would be beneficial to explicitly frame </w:t>
      </w:r>
      <w:r w:rsidR="002737F3">
        <w:rPr>
          <w:rFonts w:ascii="Garamond" w:hAnsi="Garamond"/>
        </w:rPr>
        <w:t>the approach the Sentencing Council is taking in the revised guideline</w:t>
      </w:r>
      <w:r w:rsidRPr="0053446C">
        <w:rPr>
          <w:rFonts w:ascii="Garamond" w:hAnsi="Garamond"/>
        </w:rPr>
        <w:t xml:space="preserve"> as a necessary short-term measure, with the long-term goal remaining the universal provision of high-quality pre-sentence reports. Clarifying this ambition would </w:t>
      </w:r>
      <w:r>
        <w:rPr>
          <w:rFonts w:ascii="Garamond" w:hAnsi="Garamond"/>
        </w:rPr>
        <w:t>go some way towards</w:t>
      </w:r>
      <w:r w:rsidRPr="0053446C">
        <w:rPr>
          <w:rFonts w:ascii="Garamond" w:hAnsi="Garamond"/>
        </w:rPr>
        <w:t xml:space="preserve"> counteract</w:t>
      </w:r>
      <w:r>
        <w:rPr>
          <w:rFonts w:ascii="Garamond" w:hAnsi="Garamond"/>
        </w:rPr>
        <w:t>ing</w:t>
      </w:r>
      <w:r w:rsidRPr="0053446C">
        <w:rPr>
          <w:rFonts w:ascii="Garamond" w:hAnsi="Garamond"/>
        </w:rPr>
        <w:t xml:space="preserve"> perceptions of unfairness and reinforce the principle that sentencing should be based on a fully informed assessment of each individual case.</w:t>
      </w:r>
    </w:p>
    <w:bookmarkEnd w:id="2"/>
    <w:p w14:paraId="4B982A65" w14:textId="77777777" w:rsidR="000251BE" w:rsidRDefault="000251BE" w:rsidP="00D93735">
      <w:pPr>
        <w:spacing w:after="120" w:line="240" w:lineRule="auto"/>
        <w:jc w:val="both"/>
        <w:rPr>
          <w:rFonts w:ascii="Garamond" w:hAnsi="Garamond"/>
        </w:rPr>
      </w:pPr>
    </w:p>
    <w:p w14:paraId="7B4109F5" w14:textId="0811F215" w:rsidR="000251BE" w:rsidRPr="000251BE" w:rsidRDefault="000251BE" w:rsidP="000251BE">
      <w:pPr>
        <w:pStyle w:val="ListParagraph"/>
        <w:numPr>
          <w:ilvl w:val="0"/>
          <w:numId w:val="1"/>
        </w:numPr>
        <w:spacing w:after="120" w:line="240" w:lineRule="auto"/>
        <w:jc w:val="both"/>
        <w:rPr>
          <w:rFonts w:ascii="Garamond" w:hAnsi="Garamond"/>
        </w:rPr>
      </w:pPr>
      <w:r w:rsidRPr="000251BE">
        <w:rPr>
          <w:rFonts w:ascii="Garamond" w:hAnsi="Garamond"/>
          <w:b/>
          <w:bCs/>
        </w:rPr>
        <w:t>Research Gaps and a Plea for Open Data</w:t>
      </w:r>
    </w:p>
    <w:bookmarkEnd w:id="1"/>
    <w:p w14:paraId="42C954E9" w14:textId="2F7CD809" w:rsidR="00200BE4" w:rsidRDefault="00200BE4" w:rsidP="007D47D5">
      <w:pPr>
        <w:spacing w:after="120" w:line="240" w:lineRule="auto"/>
        <w:jc w:val="both"/>
        <w:rPr>
          <w:rFonts w:ascii="Garamond" w:hAnsi="Garamond"/>
        </w:rPr>
      </w:pPr>
      <w:r w:rsidRPr="00200BE4">
        <w:rPr>
          <w:rFonts w:ascii="Garamond" w:hAnsi="Garamond"/>
        </w:rPr>
        <w:t xml:space="preserve">Despite these insights, evidence remains incomplete. Most notably, no multivariate analyses have addressed disparities in magistrates' courts, where over 90% of sentences are imposed. </w:t>
      </w:r>
      <w:r w:rsidR="00867063">
        <w:rPr>
          <w:rFonts w:ascii="Garamond" w:hAnsi="Garamond"/>
        </w:rPr>
        <w:t>This is a major gap in ou</w:t>
      </w:r>
      <w:r w:rsidR="00571DC1">
        <w:rPr>
          <w:rFonts w:ascii="Garamond" w:hAnsi="Garamond"/>
        </w:rPr>
        <w:t>r</w:t>
      </w:r>
      <w:r w:rsidR="00867063">
        <w:rPr>
          <w:rFonts w:ascii="Garamond" w:hAnsi="Garamond"/>
        </w:rPr>
        <w:t xml:space="preserve"> </w:t>
      </w:r>
      <w:r w:rsidR="00571DC1">
        <w:rPr>
          <w:rFonts w:ascii="Garamond" w:hAnsi="Garamond"/>
        </w:rPr>
        <w:t xml:space="preserve">current knowledge and </w:t>
      </w:r>
      <w:r w:rsidR="00867063">
        <w:rPr>
          <w:rFonts w:ascii="Garamond" w:hAnsi="Garamond"/>
        </w:rPr>
        <w:t xml:space="preserve">understanding of ethnic disparities in sentencing. </w:t>
      </w:r>
      <w:r w:rsidRPr="00200BE4">
        <w:rPr>
          <w:rFonts w:ascii="Garamond" w:hAnsi="Garamond"/>
        </w:rPr>
        <w:t>Differences in offen</w:t>
      </w:r>
      <w:r w:rsidR="00FD3A75">
        <w:rPr>
          <w:rFonts w:ascii="Garamond" w:hAnsi="Garamond"/>
        </w:rPr>
        <w:t>c</w:t>
      </w:r>
      <w:r w:rsidRPr="00200BE4">
        <w:rPr>
          <w:rFonts w:ascii="Garamond" w:hAnsi="Garamond"/>
        </w:rPr>
        <w:t>e types and sentencing procedures between the Crown Court and magistrates' courts</w:t>
      </w:r>
      <w:r w:rsidR="00867063">
        <w:rPr>
          <w:rFonts w:ascii="Garamond" w:hAnsi="Garamond"/>
        </w:rPr>
        <w:t xml:space="preserve"> </w:t>
      </w:r>
      <w:r w:rsidRPr="00200BE4">
        <w:rPr>
          <w:rFonts w:ascii="Garamond" w:hAnsi="Garamond"/>
        </w:rPr>
        <w:t>caution against generali</w:t>
      </w:r>
      <w:r>
        <w:rPr>
          <w:rFonts w:ascii="Garamond" w:hAnsi="Garamond"/>
        </w:rPr>
        <w:t>s</w:t>
      </w:r>
      <w:r w:rsidRPr="00200BE4">
        <w:rPr>
          <w:rFonts w:ascii="Garamond" w:hAnsi="Garamond"/>
        </w:rPr>
        <w:t xml:space="preserve">ing Crown Court findings. </w:t>
      </w:r>
    </w:p>
    <w:p w14:paraId="7EE75B36" w14:textId="59F6998E" w:rsidR="009640A8" w:rsidRDefault="00200BE4" w:rsidP="007D47D5">
      <w:pPr>
        <w:spacing w:after="120" w:line="240" w:lineRule="auto"/>
        <w:jc w:val="both"/>
        <w:rPr>
          <w:rFonts w:ascii="Garamond" w:hAnsi="Garamond"/>
        </w:rPr>
      </w:pPr>
      <w:r w:rsidRPr="00200BE4">
        <w:rPr>
          <w:rFonts w:ascii="Garamond" w:hAnsi="Garamond"/>
        </w:rPr>
        <w:t xml:space="preserve">Moreover, </w:t>
      </w:r>
      <w:r>
        <w:rPr>
          <w:rFonts w:ascii="Garamond" w:hAnsi="Garamond"/>
        </w:rPr>
        <w:t xml:space="preserve">some of the </w:t>
      </w:r>
      <w:r w:rsidRPr="00200BE4">
        <w:rPr>
          <w:rFonts w:ascii="Garamond" w:hAnsi="Garamond"/>
        </w:rPr>
        <w:t xml:space="preserve">explanations for disparities </w:t>
      </w:r>
      <w:r w:rsidR="00493387">
        <w:rPr>
          <w:rFonts w:ascii="Garamond" w:hAnsi="Garamond"/>
        </w:rPr>
        <w:t>we have put forward are tenuous</w:t>
      </w:r>
      <w:r w:rsidRPr="00200BE4">
        <w:rPr>
          <w:rFonts w:ascii="Garamond" w:hAnsi="Garamond"/>
        </w:rPr>
        <w:t xml:space="preserve">. Hypotheses linking </w:t>
      </w:r>
      <w:r w:rsidR="00867063">
        <w:rPr>
          <w:rFonts w:ascii="Garamond" w:hAnsi="Garamond"/>
        </w:rPr>
        <w:t xml:space="preserve">the availability or quality of </w:t>
      </w:r>
      <w:r>
        <w:rPr>
          <w:rFonts w:ascii="Garamond" w:hAnsi="Garamond"/>
        </w:rPr>
        <w:t xml:space="preserve">pre-sentence reports </w:t>
      </w:r>
      <w:r w:rsidRPr="00200BE4">
        <w:rPr>
          <w:rFonts w:ascii="Garamond" w:hAnsi="Garamond"/>
        </w:rPr>
        <w:t xml:space="preserve">to </w:t>
      </w:r>
      <w:r w:rsidR="0032255A">
        <w:rPr>
          <w:rFonts w:ascii="Garamond" w:hAnsi="Garamond"/>
        </w:rPr>
        <w:t>disadvantages for ethnic minority in</w:t>
      </w:r>
      <w:r w:rsidRPr="00200BE4">
        <w:rPr>
          <w:rFonts w:ascii="Garamond" w:hAnsi="Garamond"/>
        </w:rPr>
        <w:t xml:space="preserve"> risk assessments</w:t>
      </w:r>
      <w:r w:rsidR="00A32DC2">
        <w:rPr>
          <w:rFonts w:ascii="Garamond" w:hAnsi="Garamond"/>
        </w:rPr>
        <w:t xml:space="preserve"> and</w:t>
      </w:r>
      <w:r w:rsidR="0032255A">
        <w:rPr>
          <w:rFonts w:ascii="Garamond" w:hAnsi="Garamond"/>
        </w:rPr>
        <w:t xml:space="preserve"> in evaluations of </w:t>
      </w:r>
      <w:r w:rsidR="00A32DC2">
        <w:rPr>
          <w:rFonts w:ascii="Garamond" w:hAnsi="Garamond"/>
        </w:rPr>
        <w:t>rehabilitative potential</w:t>
      </w:r>
      <w:r w:rsidR="00117D32">
        <w:rPr>
          <w:rFonts w:ascii="Garamond" w:hAnsi="Garamond"/>
        </w:rPr>
        <w:t xml:space="preserve"> </w:t>
      </w:r>
      <w:r w:rsidR="00652E23">
        <w:rPr>
          <w:rFonts w:ascii="Garamond" w:hAnsi="Garamond"/>
        </w:rPr>
        <w:t xml:space="preserve">ought </w:t>
      </w:r>
      <w:r w:rsidR="00117D32">
        <w:rPr>
          <w:rFonts w:ascii="Garamond" w:hAnsi="Garamond"/>
        </w:rPr>
        <w:t xml:space="preserve">to be tested </w:t>
      </w:r>
      <w:r w:rsidR="00652E23">
        <w:rPr>
          <w:rFonts w:ascii="Garamond" w:hAnsi="Garamond"/>
        </w:rPr>
        <w:t>empirically as should</w:t>
      </w:r>
      <w:r w:rsidR="00117D32">
        <w:rPr>
          <w:rFonts w:ascii="Garamond" w:hAnsi="Garamond"/>
        </w:rPr>
        <w:t xml:space="preserve"> the </w:t>
      </w:r>
      <w:r w:rsidR="00652E23">
        <w:rPr>
          <w:rFonts w:ascii="Garamond" w:hAnsi="Garamond"/>
        </w:rPr>
        <w:t xml:space="preserve">potential that </w:t>
      </w:r>
      <w:r w:rsidRPr="00200BE4">
        <w:rPr>
          <w:rFonts w:ascii="Garamond" w:hAnsi="Garamond"/>
        </w:rPr>
        <w:t>courtroom demeano</w:t>
      </w:r>
      <w:r>
        <w:rPr>
          <w:rFonts w:ascii="Garamond" w:hAnsi="Garamond"/>
        </w:rPr>
        <w:t>u</w:t>
      </w:r>
      <w:r w:rsidRPr="00200BE4">
        <w:rPr>
          <w:rFonts w:ascii="Garamond" w:hAnsi="Garamond"/>
        </w:rPr>
        <w:t xml:space="preserve">r </w:t>
      </w:r>
      <w:r w:rsidR="00652E23">
        <w:rPr>
          <w:rFonts w:ascii="Garamond" w:hAnsi="Garamond"/>
        </w:rPr>
        <w:t>might be impacting the assessment of personal mitigating factors</w:t>
      </w:r>
      <w:r w:rsidR="00C50569">
        <w:rPr>
          <w:rFonts w:ascii="Garamond" w:hAnsi="Garamond"/>
        </w:rPr>
        <w:t xml:space="preserve">. </w:t>
      </w:r>
      <w:r w:rsidR="00652E23">
        <w:rPr>
          <w:rFonts w:ascii="Garamond" w:hAnsi="Garamond"/>
        </w:rPr>
        <w:t xml:space="preserve">Additional </w:t>
      </w:r>
      <w:r w:rsidR="0032255A">
        <w:rPr>
          <w:rFonts w:ascii="Garamond" w:hAnsi="Garamond"/>
        </w:rPr>
        <w:t xml:space="preserve">further </w:t>
      </w:r>
      <w:r w:rsidR="00652E23">
        <w:rPr>
          <w:rFonts w:ascii="Garamond" w:hAnsi="Garamond"/>
        </w:rPr>
        <w:t>insights into</w:t>
      </w:r>
      <w:r w:rsidR="00A32DC2">
        <w:rPr>
          <w:rFonts w:ascii="Garamond" w:hAnsi="Garamond"/>
        </w:rPr>
        <w:t xml:space="preserve"> the reasons behind the</w:t>
      </w:r>
      <w:r w:rsidR="00652E23">
        <w:rPr>
          <w:rFonts w:ascii="Garamond" w:hAnsi="Garamond"/>
        </w:rPr>
        <w:t xml:space="preserve"> </w:t>
      </w:r>
      <w:r w:rsidR="0032255A">
        <w:rPr>
          <w:rFonts w:ascii="Garamond" w:hAnsi="Garamond"/>
        </w:rPr>
        <w:t xml:space="preserve">large </w:t>
      </w:r>
      <w:r w:rsidR="00652E23">
        <w:rPr>
          <w:rFonts w:ascii="Garamond" w:hAnsi="Garamond"/>
        </w:rPr>
        <w:t>disparities in guilty pleas would be of benefit</w:t>
      </w:r>
      <w:r w:rsidR="00101E69">
        <w:rPr>
          <w:rFonts w:ascii="Garamond" w:hAnsi="Garamond"/>
        </w:rPr>
        <w:t xml:space="preserve"> too</w:t>
      </w:r>
      <w:r w:rsidR="00652E23">
        <w:rPr>
          <w:rFonts w:ascii="Garamond" w:hAnsi="Garamond"/>
        </w:rPr>
        <w:t xml:space="preserve">. </w:t>
      </w:r>
      <w:r w:rsidR="00E87E82">
        <w:rPr>
          <w:rFonts w:ascii="Garamond" w:hAnsi="Garamond"/>
        </w:rPr>
        <w:t xml:space="preserve">It </w:t>
      </w:r>
      <w:r w:rsidR="00571DC1">
        <w:rPr>
          <w:rFonts w:ascii="Garamond" w:hAnsi="Garamond"/>
        </w:rPr>
        <w:t>could also be</w:t>
      </w:r>
      <w:r w:rsidR="00E87E82">
        <w:rPr>
          <w:rFonts w:ascii="Garamond" w:hAnsi="Garamond"/>
        </w:rPr>
        <w:t xml:space="preserve"> possible that </w:t>
      </w:r>
      <w:r w:rsidR="00F31FBF">
        <w:rPr>
          <w:rFonts w:ascii="Garamond" w:hAnsi="Garamond"/>
        </w:rPr>
        <w:t xml:space="preserve">we are being completely misled and the reason behind the observed disparities is </w:t>
      </w:r>
      <w:r w:rsidR="007D47D5">
        <w:rPr>
          <w:rFonts w:ascii="Garamond" w:hAnsi="Garamond"/>
        </w:rPr>
        <w:t xml:space="preserve">simply </w:t>
      </w:r>
      <w:r w:rsidR="0032255A">
        <w:rPr>
          <w:rFonts w:ascii="Garamond" w:hAnsi="Garamond"/>
        </w:rPr>
        <w:t>that some judicial decisions</w:t>
      </w:r>
      <w:r w:rsidR="007D47D5">
        <w:rPr>
          <w:rFonts w:ascii="Garamond" w:hAnsi="Garamond"/>
        </w:rPr>
        <w:t xml:space="preserve"> are consciously or subconsciously</w:t>
      </w:r>
      <w:r w:rsidR="00F31FBF">
        <w:rPr>
          <w:rFonts w:ascii="Garamond" w:hAnsi="Garamond"/>
        </w:rPr>
        <w:t xml:space="preserve"> </w:t>
      </w:r>
      <w:r w:rsidR="00B751CE">
        <w:rPr>
          <w:rFonts w:ascii="Garamond" w:hAnsi="Garamond"/>
        </w:rPr>
        <w:t>biased</w:t>
      </w:r>
      <w:r w:rsidR="00F31FBF">
        <w:rPr>
          <w:rFonts w:ascii="Garamond" w:hAnsi="Garamond"/>
        </w:rPr>
        <w:t xml:space="preserve">. </w:t>
      </w:r>
      <w:r w:rsidR="00E33431">
        <w:rPr>
          <w:rFonts w:ascii="Garamond" w:hAnsi="Garamond"/>
        </w:rPr>
        <w:t xml:space="preserve">For example, </w:t>
      </w:r>
      <w:r w:rsidR="00493387">
        <w:rPr>
          <w:rFonts w:ascii="Garamond" w:hAnsi="Garamond"/>
        </w:rPr>
        <w:t xml:space="preserve">recent research carried out </w:t>
      </w:r>
      <w:r w:rsidR="00B751CE">
        <w:rPr>
          <w:rFonts w:ascii="Garamond" w:hAnsi="Garamond"/>
        </w:rPr>
        <w:t xml:space="preserve">by Pina-Sánchez and Lewis </w:t>
      </w:r>
      <w:r w:rsidR="00493387">
        <w:rPr>
          <w:rFonts w:ascii="Garamond" w:hAnsi="Garamond"/>
        </w:rPr>
        <w:t>for the Crown Prosecution Service</w:t>
      </w:r>
      <w:r w:rsidR="00E33431">
        <w:rPr>
          <w:rFonts w:ascii="Garamond" w:hAnsi="Garamond"/>
        </w:rPr>
        <w:t xml:space="preserve"> </w:t>
      </w:r>
      <w:r w:rsidR="00493387">
        <w:rPr>
          <w:rFonts w:ascii="Garamond" w:hAnsi="Garamond"/>
        </w:rPr>
        <w:t>(</w:t>
      </w:r>
      <w:r w:rsidR="00D93735">
        <w:rPr>
          <w:rFonts w:ascii="Garamond" w:hAnsi="Garamond"/>
        </w:rPr>
        <w:t>CPS</w:t>
      </w:r>
      <w:r w:rsidR="00493387">
        <w:rPr>
          <w:rFonts w:ascii="Garamond" w:hAnsi="Garamond"/>
        </w:rPr>
        <w:t>,</w:t>
      </w:r>
      <w:r w:rsidR="00D93735">
        <w:rPr>
          <w:rFonts w:ascii="Garamond" w:hAnsi="Garamond"/>
        </w:rPr>
        <w:t xml:space="preserve"> 2023)</w:t>
      </w:r>
      <w:r w:rsidR="002237EC">
        <w:rPr>
          <w:rFonts w:ascii="Garamond" w:hAnsi="Garamond"/>
        </w:rPr>
        <w:t xml:space="preserve">, </w:t>
      </w:r>
      <w:r w:rsidR="00493387" w:rsidRPr="00493387">
        <w:rPr>
          <w:rFonts w:ascii="Garamond" w:hAnsi="Garamond"/>
        </w:rPr>
        <w:t>identified regional disparities in charge rates, with rural areas displaying greater ethnic biases compared to urban centr</w:t>
      </w:r>
      <w:r w:rsidR="00493387">
        <w:rPr>
          <w:rFonts w:ascii="Garamond" w:hAnsi="Garamond"/>
        </w:rPr>
        <w:t>e</w:t>
      </w:r>
      <w:r w:rsidR="00493387" w:rsidRPr="00493387">
        <w:rPr>
          <w:rFonts w:ascii="Garamond" w:hAnsi="Garamond"/>
        </w:rPr>
        <w:t>s like London or Manchester.</w:t>
      </w:r>
      <w:r w:rsidR="00571DC1">
        <w:rPr>
          <w:rFonts w:ascii="Garamond" w:hAnsi="Garamond"/>
        </w:rPr>
        <w:t xml:space="preserve"> Similar insights are needed for sentencing disparities.</w:t>
      </w:r>
      <w:r w:rsidR="00493387" w:rsidRPr="00493387">
        <w:rPr>
          <w:rFonts w:ascii="Garamond" w:hAnsi="Garamond"/>
        </w:rPr>
        <w:t xml:space="preserve"> If similar dynamics exist in sentencing,</w:t>
      </w:r>
      <w:r w:rsidR="00571DC1">
        <w:rPr>
          <w:rFonts w:ascii="Garamond" w:hAnsi="Garamond"/>
        </w:rPr>
        <w:t xml:space="preserve"> then</w:t>
      </w:r>
      <w:r w:rsidR="00493387" w:rsidRPr="00493387">
        <w:rPr>
          <w:rFonts w:ascii="Garamond" w:hAnsi="Garamond"/>
        </w:rPr>
        <w:t xml:space="preserve"> diversifying the judiciary's ethnic composition </w:t>
      </w:r>
      <w:r w:rsidR="00B751CE">
        <w:rPr>
          <w:rFonts w:ascii="Garamond" w:hAnsi="Garamond"/>
        </w:rPr>
        <w:t>should be further encouraged</w:t>
      </w:r>
      <w:r w:rsidR="000251BE">
        <w:rPr>
          <w:rFonts w:ascii="Garamond" w:hAnsi="Garamond"/>
        </w:rPr>
        <w:t xml:space="preserve"> (Veiga et al., 2022)</w:t>
      </w:r>
      <w:r w:rsidR="00493387" w:rsidRPr="00493387">
        <w:rPr>
          <w:rFonts w:ascii="Garamond" w:hAnsi="Garamond"/>
        </w:rPr>
        <w:t>.</w:t>
      </w:r>
    </w:p>
    <w:p w14:paraId="50F62AFE" w14:textId="5F2A1933" w:rsidR="00493387" w:rsidRDefault="00493387" w:rsidP="00197016">
      <w:pPr>
        <w:spacing w:after="120" w:line="240" w:lineRule="auto"/>
        <w:jc w:val="both"/>
        <w:rPr>
          <w:rFonts w:ascii="Garamond" w:hAnsi="Garamond"/>
        </w:rPr>
      </w:pPr>
      <w:r w:rsidRPr="00493387">
        <w:rPr>
          <w:rFonts w:ascii="Garamond" w:hAnsi="Garamond"/>
        </w:rPr>
        <w:t xml:space="preserve">Intersectional dimensions also demand attention. For instance, Sorsby (2023) found ethnic disparities specific to male offenders, while </w:t>
      </w:r>
      <w:r w:rsidR="00101E69" w:rsidRPr="00101E69">
        <w:rPr>
          <w:rFonts w:ascii="Garamond" w:hAnsi="Garamond"/>
        </w:rPr>
        <w:t>Pina-S</w:t>
      </w:r>
      <w:r w:rsidR="00F52628">
        <w:rPr>
          <w:rFonts w:ascii="Garamond" w:hAnsi="Garamond"/>
        </w:rPr>
        <w:t>á</w:t>
      </w:r>
      <w:r w:rsidR="00101E69" w:rsidRPr="00101E69">
        <w:rPr>
          <w:rFonts w:ascii="Garamond" w:hAnsi="Garamond"/>
        </w:rPr>
        <w:t xml:space="preserve">nchez et al. </w:t>
      </w:r>
      <w:r w:rsidR="00101E69">
        <w:rPr>
          <w:rFonts w:ascii="Garamond" w:hAnsi="Garamond"/>
        </w:rPr>
        <w:t>(</w:t>
      </w:r>
      <w:r w:rsidR="00101E69" w:rsidRPr="00101E69">
        <w:rPr>
          <w:rFonts w:ascii="Garamond" w:hAnsi="Garamond"/>
        </w:rPr>
        <w:t>202</w:t>
      </w:r>
      <w:r w:rsidR="00333633">
        <w:rPr>
          <w:rFonts w:ascii="Garamond" w:hAnsi="Garamond"/>
        </w:rPr>
        <w:t>5</w:t>
      </w:r>
      <w:r w:rsidR="00101E69" w:rsidRPr="00101E69">
        <w:rPr>
          <w:rFonts w:ascii="Garamond" w:hAnsi="Garamond"/>
        </w:rPr>
        <w:t>)</w:t>
      </w:r>
      <w:r w:rsidR="00101E69">
        <w:rPr>
          <w:rFonts w:ascii="Garamond" w:hAnsi="Garamond"/>
        </w:rPr>
        <w:t xml:space="preserve"> </w:t>
      </w:r>
      <w:r w:rsidRPr="00493387">
        <w:rPr>
          <w:rFonts w:ascii="Garamond" w:hAnsi="Garamond"/>
        </w:rPr>
        <w:t>highlighted deprivation-related disparities alongside ethnic ones. Additionally, U.S.-based analyses (Pina-Sánchez &amp; Tura, 2024</w:t>
      </w:r>
      <w:r w:rsidR="00333633">
        <w:rPr>
          <w:rFonts w:ascii="Garamond" w:hAnsi="Garamond"/>
        </w:rPr>
        <w:t>c</w:t>
      </w:r>
      <w:r w:rsidRPr="00493387">
        <w:rPr>
          <w:rFonts w:ascii="Garamond" w:hAnsi="Garamond"/>
        </w:rPr>
        <w:t xml:space="preserve">) suggest factors like nationality and education level may further exacerbate disparities. Addressing these issues will require a combination of qualitative research and better use of existing datasets. </w:t>
      </w:r>
    </w:p>
    <w:p w14:paraId="76A18706" w14:textId="314D7684" w:rsidR="006233E2" w:rsidRDefault="0028596F" w:rsidP="00197016">
      <w:pPr>
        <w:spacing w:after="120" w:line="240" w:lineRule="auto"/>
        <w:jc w:val="both"/>
        <w:rPr>
          <w:rFonts w:ascii="Garamond" w:hAnsi="Garamond"/>
        </w:rPr>
      </w:pPr>
      <w:r>
        <w:rPr>
          <w:rFonts w:ascii="Garamond" w:hAnsi="Garamond"/>
        </w:rPr>
        <w:t>Many of the</w:t>
      </w:r>
      <w:r w:rsidR="000C2413">
        <w:rPr>
          <w:rFonts w:ascii="Garamond" w:hAnsi="Garamond"/>
        </w:rPr>
        <w:t>se</w:t>
      </w:r>
      <w:r>
        <w:rPr>
          <w:rFonts w:ascii="Garamond" w:hAnsi="Garamond"/>
        </w:rPr>
        <w:t xml:space="preserve"> questions </w:t>
      </w:r>
      <w:r w:rsidR="000C2413">
        <w:rPr>
          <w:rFonts w:ascii="Garamond" w:hAnsi="Garamond"/>
        </w:rPr>
        <w:t xml:space="preserve">such as evaluations of demeanour in court require qualitative designs, which inevitably will be costly and take a long time to </w:t>
      </w:r>
      <w:r w:rsidR="009E0D7A">
        <w:rPr>
          <w:rFonts w:ascii="Garamond" w:hAnsi="Garamond"/>
        </w:rPr>
        <w:t>be carried out.</w:t>
      </w:r>
      <w:r w:rsidR="00571DC1">
        <w:rPr>
          <w:rFonts w:ascii="Garamond" w:hAnsi="Garamond"/>
        </w:rPr>
        <w:t xml:space="preserve"> They also require the cooperation of the Judicial Office and members of the judiciary.</w:t>
      </w:r>
      <w:r w:rsidR="009E0D7A">
        <w:rPr>
          <w:rFonts w:ascii="Garamond" w:hAnsi="Garamond"/>
        </w:rPr>
        <w:t xml:space="preserve"> Other questions like those related to offender’s nationality, level of education, or legal aid, represent factual information that could be easily incorporated to future surveys of the Sentencing Council or administrative records from the Ministry of Justice, making them available in the near future at no </w:t>
      </w:r>
      <w:r w:rsidR="00493387">
        <w:rPr>
          <w:rFonts w:ascii="Garamond" w:hAnsi="Garamond"/>
        </w:rPr>
        <w:t xml:space="preserve">added </w:t>
      </w:r>
      <w:r w:rsidR="009E0D7A">
        <w:rPr>
          <w:rFonts w:ascii="Garamond" w:hAnsi="Garamond"/>
        </w:rPr>
        <w:t xml:space="preserve">substantial cost. </w:t>
      </w:r>
      <w:r w:rsidR="00493387">
        <w:rPr>
          <w:rFonts w:ascii="Garamond" w:hAnsi="Garamond"/>
        </w:rPr>
        <w:t>While a</w:t>
      </w:r>
      <w:r w:rsidR="009E0D7A">
        <w:rPr>
          <w:rFonts w:ascii="Garamond" w:hAnsi="Garamond"/>
        </w:rPr>
        <w:t xml:space="preserve"> third group of </w:t>
      </w:r>
      <w:r w:rsidR="00493387">
        <w:rPr>
          <w:rFonts w:ascii="Garamond" w:hAnsi="Garamond"/>
        </w:rPr>
        <w:t>key</w:t>
      </w:r>
      <w:r w:rsidR="009E0D7A">
        <w:rPr>
          <w:rFonts w:ascii="Garamond" w:hAnsi="Garamond"/>
        </w:rPr>
        <w:t xml:space="preserve"> </w:t>
      </w:r>
      <w:r w:rsidR="006233E2">
        <w:rPr>
          <w:rFonts w:ascii="Garamond" w:hAnsi="Garamond"/>
        </w:rPr>
        <w:t>questions</w:t>
      </w:r>
      <w:r w:rsidR="00493387">
        <w:rPr>
          <w:rFonts w:ascii="Garamond" w:hAnsi="Garamond"/>
        </w:rPr>
        <w:t>,</w:t>
      </w:r>
      <w:r w:rsidR="006233E2">
        <w:rPr>
          <w:rFonts w:ascii="Garamond" w:hAnsi="Garamond"/>
        </w:rPr>
        <w:t xml:space="preserve"> </w:t>
      </w:r>
      <w:r w:rsidR="008D4271">
        <w:rPr>
          <w:rFonts w:ascii="Garamond" w:hAnsi="Garamond"/>
        </w:rPr>
        <w:t xml:space="preserve">such as </w:t>
      </w:r>
      <w:r w:rsidR="006233E2">
        <w:rPr>
          <w:rFonts w:ascii="Garamond" w:hAnsi="Garamond"/>
        </w:rPr>
        <w:t>estimating</w:t>
      </w:r>
      <w:r w:rsidR="008D4271">
        <w:rPr>
          <w:rFonts w:ascii="Garamond" w:hAnsi="Garamond"/>
        </w:rPr>
        <w:t xml:space="preserve"> disparities in the magistrates</w:t>
      </w:r>
      <w:r w:rsidR="006233E2">
        <w:rPr>
          <w:rFonts w:ascii="Garamond" w:hAnsi="Garamond"/>
        </w:rPr>
        <w:t>’</w:t>
      </w:r>
      <w:r w:rsidR="008D4271">
        <w:rPr>
          <w:rFonts w:ascii="Garamond" w:hAnsi="Garamond"/>
        </w:rPr>
        <w:t xml:space="preserve"> courts, </w:t>
      </w:r>
      <w:r w:rsidR="006233E2">
        <w:rPr>
          <w:rFonts w:ascii="Garamond" w:hAnsi="Garamond"/>
        </w:rPr>
        <w:t>the extent to which</w:t>
      </w:r>
      <w:r w:rsidR="008D4271">
        <w:rPr>
          <w:rFonts w:ascii="Garamond" w:hAnsi="Garamond"/>
        </w:rPr>
        <w:t xml:space="preserve"> disparities are concentrated in certain court locations, or </w:t>
      </w:r>
      <w:r w:rsidR="00B751CE">
        <w:rPr>
          <w:rFonts w:ascii="Garamond" w:hAnsi="Garamond"/>
        </w:rPr>
        <w:t xml:space="preserve">- to some degree - </w:t>
      </w:r>
      <w:r w:rsidR="008D4271">
        <w:rPr>
          <w:rFonts w:ascii="Garamond" w:hAnsi="Garamond"/>
        </w:rPr>
        <w:t xml:space="preserve">the effect of </w:t>
      </w:r>
      <w:r w:rsidR="006233E2">
        <w:rPr>
          <w:rFonts w:ascii="Garamond" w:hAnsi="Garamond"/>
        </w:rPr>
        <w:t xml:space="preserve">sentencers failing to receive </w:t>
      </w:r>
      <w:r w:rsidR="008D4271">
        <w:rPr>
          <w:rFonts w:ascii="Garamond" w:hAnsi="Garamond"/>
        </w:rPr>
        <w:t>a pre-sentence report</w:t>
      </w:r>
      <w:r w:rsidR="00493387">
        <w:rPr>
          <w:rFonts w:ascii="Garamond" w:hAnsi="Garamond"/>
        </w:rPr>
        <w:t>,</w:t>
      </w:r>
      <w:r w:rsidR="006233E2">
        <w:rPr>
          <w:rFonts w:ascii="Garamond" w:hAnsi="Garamond"/>
        </w:rPr>
        <w:t xml:space="preserve"> </w:t>
      </w:r>
      <w:r w:rsidR="00493387">
        <w:rPr>
          <w:rFonts w:ascii="Garamond" w:hAnsi="Garamond"/>
        </w:rPr>
        <w:t>could be explored with data already available.</w:t>
      </w:r>
    </w:p>
    <w:p w14:paraId="2AD62A32" w14:textId="74FD4FFA" w:rsidR="003B78E0" w:rsidRPr="003B78E0" w:rsidRDefault="003B78E0" w:rsidP="003B78E0">
      <w:pPr>
        <w:spacing w:after="120" w:line="240" w:lineRule="auto"/>
        <w:jc w:val="both"/>
        <w:rPr>
          <w:rFonts w:ascii="Garamond" w:hAnsi="Garamond"/>
        </w:rPr>
      </w:pPr>
      <w:r w:rsidRPr="003B78E0">
        <w:rPr>
          <w:rFonts w:ascii="Garamond" w:hAnsi="Garamond"/>
        </w:rPr>
        <w:t>A key reason we lack answers to many of these questions, despite the availability of relevant data, lies in the numerous hurdles researchers face in accessing and using it. These include: (</w:t>
      </w:r>
      <w:proofErr w:type="spellStart"/>
      <w:r w:rsidRPr="003B78E0">
        <w:rPr>
          <w:rFonts w:ascii="Garamond" w:hAnsi="Garamond"/>
        </w:rPr>
        <w:t>i</w:t>
      </w:r>
      <w:proofErr w:type="spellEnd"/>
      <w:r w:rsidRPr="003B78E0">
        <w:rPr>
          <w:rFonts w:ascii="Garamond" w:hAnsi="Garamond"/>
        </w:rPr>
        <w:t>) lengthy application processes; (ii) mandatory research accreditation requiring a data security course and examination; (iii) limited access to IT infrastructure, available only at a few selected universities; (iv) reliance on slow servers for analysis; (v) re-application requirements to address research questions not outlined in the original plan; and most frustratingly, (vi) publication clearance from three separate gatekeepers</w:t>
      </w:r>
      <w:r w:rsidR="000A1238">
        <w:rPr>
          <w:rFonts w:ascii="Garamond" w:hAnsi="Garamond"/>
        </w:rPr>
        <w:t xml:space="preserve"> - </w:t>
      </w:r>
      <w:r w:rsidRPr="003B78E0">
        <w:rPr>
          <w:rFonts w:ascii="Garamond" w:hAnsi="Garamond"/>
        </w:rPr>
        <w:t>Office for National Statistics, Ministry of Justice, and Judicial Office</w:t>
      </w:r>
      <w:r w:rsidR="000A1238">
        <w:rPr>
          <w:rFonts w:ascii="Garamond" w:hAnsi="Garamond"/>
        </w:rPr>
        <w:t xml:space="preserve"> - </w:t>
      </w:r>
      <w:r w:rsidRPr="003B78E0">
        <w:rPr>
          <w:rFonts w:ascii="Garamond" w:hAnsi="Garamond"/>
        </w:rPr>
        <w:t>causing unnecessary delays and uncertainty.</w:t>
      </w:r>
    </w:p>
    <w:p w14:paraId="05ADE301" w14:textId="280563CA" w:rsidR="003B78E0" w:rsidRPr="003B78E0" w:rsidRDefault="003B78E0" w:rsidP="003B78E0">
      <w:pPr>
        <w:spacing w:after="120" w:line="240" w:lineRule="auto"/>
        <w:jc w:val="both"/>
        <w:rPr>
          <w:rFonts w:ascii="Garamond" w:hAnsi="Garamond"/>
        </w:rPr>
      </w:pPr>
      <w:r w:rsidRPr="003B78E0">
        <w:rPr>
          <w:rFonts w:ascii="Garamond" w:hAnsi="Garamond"/>
        </w:rPr>
        <w:t xml:space="preserve">To advance our understanding of fairness in sentencing, these stringent data security protocols must be reconsidered. Arguments for maintaining them typically cite confidentiality concerns, but </w:t>
      </w:r>
      <w:r w:rsidR="000A1238">
        <w:rPr>
          <w:rFonts w:ascii="Garamond" w:hAnsi="Garamond"/>
        </w:rPr>
        <w:t>we do not think these are valid</w:t>
      </w:r>
      <w:r w:rsidRPr="003B78E0">
        <w:rPr>
          <w:rFonts w:ascii="Garamond" w:hAnsi="Garamond"/>
        </w:rPr>
        <w:t>. Sentencing occurs publicly, and information about legal and extra-legal factors influencing decisions, as well as the sentencing outcomes themselves, should be treated as public domain. In fact, sentencing’s public nature is a feature meant to communicate the consequences of wrongdoing transparently.</w:t>
      </w:r>
      <w:r w:rsidR="000A1238">
        <w:rPr>
          <w:rFonts w:ascii="Garamond" w:hAnsi="Garamond"/>
        </w:rPr>
        <w:t xml:space="preserve"> </w:t>
      </w:r>
      <w:r w:rsidRPr="003B78E0">
        <w:rPr>
          <w:rFonts w:ascii="Garamond" w:hAnsi="Garamond"/>
        </w:rPr>
        <w:t>Other jurisdictions demonstrate that greater transparency is feasible. U.S. Federal Courts and states like Minnesota, Florida, and Pennsylvania have openly shared detailed sentencing data for decades, often including information about the judges involved. More recently, countries like China, the Czech Republic,</w:t>
      </w:r>
      <w:r w:rsidR="00DD264C">
        <w:rPr>
          <w:rFonts w:ascii="Garamond" w:hAnsi="Garamond"/>
        </w:rPr>
        <w:t xml:space="preserve"> Slovakia, France, Germany, Russia, Poland, the Netherlands</w:t>
      </w:r>
      <w:r w:rsidRPr="003B78E0">
        <w:rPr>
          <w:rFonts w:ascii="Garamond" w:hAnsi="Garamond"/>
        </w:rPr>
        <w:t xml:space="preserve"> and Finland have adopted similar practices</w:t>
      </w:r>
      <w:r w:rsidR="00322975">
        <w:rPr>
          <w:rStyle w:val="FootnoteReference"/>
          <w:rFonts w:ascii="Garamond" w:hAnsi="Garamond"/>
        </w:rPr>
        <w:footnoteReference w:id="12"/>
      </w:r>
      <w:r w:rsidRPr="003B78E0">
        <w:rPr>
          <w:rFonts w:ascii="Garamond" w:hAnsi="Garamond"/>
        </w:rPr>
        <w:t>. England and Wales should not remain an exception.</w:t>
      </w:r>
    </w:p>
    <w:p w14:paraId="7ECC542B" w14:textId="79EB3151" w:rsidR="000A1238" w:rsidRDefault="003B78E0" w:rsidP="003B78E0">
      <w:pPr>
        <w:spacing w:after="120" w:line="240" w:lineRule="auto"/>
        <w:jc w:val="both"/>
        <w:rPr>
          <w:rFonts w:ascii="Garamond" w:hAnsi="Garamond"/>
        </w:rPr>
      </w:pPr>
      <w:r w:rsidRPr="003B78E0">
        <w:rPr>
          <w:rFonts w:ascii="Garamond" w:hAnsi="Garamond"/>
        </w:rPr>
        <w:t xml:space="preserve">The current barriers severely limit the </w:t>
      </w:r>
      <w:r w:rsidR="00E13D3B">
        <w:rPr>
          <w:rFonts w:ascii="Garamond" w:hAnsi="Garamond"/>
        </w:rPr>
        <w:t>quantity</w:t>
      </w:r>
      <w:r w:rsidRPr="003B78E0">
        <w:rPr>
          <w:rFonts w:ascii="Garamond" w:hAnsi="Garamond"/>
        </w:rPr>
        <w:t xml:space="preserve"> of researchers equipped to work with these datasets</w:t>
      </w:r>
      <w:r w:rsidR="00E13D3B">
        <w:rPr>
          <w:rFonts w:ascii="Garamond" w:hAnsi="Garamond"/>
        </w:rPr>
        <w:t xml:space="preserve"> and the quality of their work</w:t>
      </w:r>
      <w:r w:rsidRPr="003B78E0">
        <w:rPr>
          <w:rFonts w:ascii="Garamond" w:hAnsi="Garamond"/>
        </w:rPr>
        <w:t>. In practice, only those with sufficient funding to dedicate their time exclusively to navigating these obstacles have used the data. This not only slows the research process but undermines its integrity, as replication of analyses becomes prohibitively time-consuming or practically infeasible.</w:t>
      </w:r>
      <w:r w:rsidR="000A1238">
        <w:rPr>
          <w:rFonts w:ascii="Garamond" w:hAnsi="Garamond"/>
        </w:rPr>
        <w:t xml:space="preserve"> </w:t>
      </w:r>
    </w:p>
    <w:p w14:paraId="33D7F204" w14:textId="15FDA67C" w:rsidR="00DF584C" w:rsidRPr="00730032" w:rsidRDefault="000A1238" w:rsidP="00197016">
      <w:pPr>
        <w:spacing w:after="120" w:line="240" w:lineRule="auto"/>
        <w:jc w:val="both"/>
        <w:rPr>
          <w:rFonts w:ascii="Garamond" w:hAnsi="Garamond"/>
        </w:rPr>
      </w:pPr>
      <w:r w:rsidRPr="000A1238">
        <w:rPr>
          <w:rFonts w:ascii="Garamond" w:hAnsi="Garamond"/>
        </w:rPr>
        <w:t>The case for facilitating access to sentencing data cannot be overstated. Better data access will lead to a fairer sentencing process by enabling deeper understanding of the disparities and more effective policies to address them.</w:t>
      </w:r>
      <w:r>
        <w:rPr>
          <w:rFonts w:ascii="Garamond" w:hAnsi="Garamond"/>
        </w:rPr>
        <w:t xml:space="preserve"> </w:t>
      </w:r>
      <w:r w:rsidRPr="000A1238">
        <w:rPr>
          <w:rFonts w:ascii="Garamond" w:hAnsi="Garamond"/>
        </w:rPr>
        <w:t>Drawing on our three years of collaboration with the Sentencing Council, Judicial Office, magistrates, and Crown Court, we have observed a genuine commitment among stakeholders to tackle unwarranted disparities.</w:t>
      </w:r>
      <w:r>
        <w:rPr>
          <w:rFonts w:ascii="Garamond" w:hAnsi="Garamond"/>
        </w:rPr>
        <w:t xml:space="preserve"> </w:t>
      </w:r>
      <w:r w:rsidR="00C755BD">
        <w:rPr>
          <w:rFonts w:ascii="Garamond" w:hAnsi="Garamond"/>
        </w:rPr>
        <w:t xml:space="preserve">All of them have shown a keen interest in </w:t>
      </w:r>
      <w:r>
        <w:rPr>
          <w:rFonts w:ascii="Garamond" w:hAnsi="Garamond"/>
        </w:rPr>
        <w:t>learning about the latest</w:t>
      </w:r>
      <w:r w:rsidR="00C755BD">
        <w:rPr>
          <w:rFonts w:ascii="Garamond" w:hAnsi="Garamond"/>
        </w:rPr>
        <w:t xml:space="preserve"> </w:t>
      </w:r>
      <w:r>
        <w:rPr>
          <w:rFonts w:ascii="Garamond" w:hAnsi="Garamond"/>
        </w:rPr>
        <w:t xml:space="preserve">findings on the subject to </w:t>
      </w:r>
      <w:r w:rsidR="00C755BD">
        <w:rPr>
          <w:rFonts w:ascii="Garamond" w:hAnsi="Garamond"/>
        </w:rPr>
        <w:t>implement solutions to tackle the issue effectively. We are therefore convinced that by identifying the specific mechanisms through which disparities come to</w:t>
      </w:r>
      <w:r w:rsidR="006568B5">
        <w:rPr>
          <w:rFonts w:ascii="Garamond" w:hAnsi="Garamond"/>
        </w:rPr>
        <w:t xml:space="preserve"> </w:t>
      </w:r>
      <w:r w:rsidR="00C755BD">
        <w:rPr>
          <w:rFonts w:ascii="Garamond" w:hAnsi="Garamond"/>
        </w:rPr>
        <w:t>be</w:t>
      </w:r>
      <w:r w:rsidR="006568B5">
        <w:rPr>
          <w:rFonts w:ascii="Garamond" w:hAnsi="Garamond"/>
        </w:rPr>
        <w:t>,</w:t>
      </w:r>
      <w:r w:rsidR="00C755BD">
        <w:rPr>
          <w:rFonts w:ascii="Garamond" w:hAnsi="Garamond"/>
        </w:rPr>
        <w:t xml:space="preserve"> we will be able to redress them.</w:t>
      </w:r>
      <w:r w:rsidR="00DF584C" w:rsidRPr="00730032">
        <w:rPr>
          <w:rFonts w:ascii="Garamond" w:hAnsi="Garamond"/>
        </w:rPr>
        <w:br w:type="page"/>
      </w:r>
    </w:p>
    <w:p w14:paraId="0903D0B9" w14:textId="50FAA775" w:rsidR="00DF584C" w:rsidRPr="0026142E" w:rsidRDefault="00DF584C" w:rsidP="00197016">
      <w:pPr>
        <w:spacing w:after="120" w:line="240" w:lineRule="auto"/>
        <w:rPr>
          <w:rFonts w:ascii="Garamond" w:hAnsi="Garamond"/>
          <w:b/>
          <w:bCs/>
          <w:lang w:val="de-DE"/>
        </w:rPr>
      </w:pPr>
      <w:r w:rsidRPr="0026142E">
        <w:rPr>
          <w:rFonts w:ascii="Garamond" w:hAnsi="Garamond"/>
          <w:b/>
          <w:bCs/>
          <w:lang w:val="de-DE"/>
        </w:rPr>
        <w:t>References</w:t>
      </w:r>
    </w:p>
    <w:p w14:paraId="559326CE" w14:textId="16A01C68" w:rsidR="00E90892" w:rsidRDefault="00E90892" w:rsidP="00E90892">
      <w:pPr>
        <w:spacing w:after="120" w:line="240" w:lineRule="auto"/>
        <w:rPr>
          <w:rFonts w:ascii="Garamond" w:hAnsi="Garamond"/>
          <w:lang w:val="de-DE"/>
        </w:rPr>
      </w:pPr>
      <w:r w:rsidRPr="00E90892">
        <w:rPr>
          <w:rFonts w:ascii="Garamond" w:hAnsi="Garamond"/>
          <w:lang w:val="de-DE"/>
        </w:rPr>
        <w:t>Baumer</w:t>
      </w:r>
      <w:r>
        <w:rPr>
          <w:rFonts w:ascii="Garamond" w:hAnsi="Garamond"/>
          <w:lang w:val="de-DE"/>
        </w:rPr>
        <w:t>,</w:t>
      </w:r>
      <w:r w:rsidRPr="00E90892">
        <w:rPr>
          <w:rFonts w:ascii="Garamond" w:hAnsi="Garamond"/>
          <w:lang w:val="de-DE"/>
        </w:rPr>
        <w:t xml:space="preserve"> E</w:t>
      </w:r>
      <w:r>
        <w:rPr>
          <w:rFonts w:ascii="Garamond" w:hAnsi="Garamond"/>
          <w:lang w:val="de-DE"/>
        </w:rPr>
        <w:t xml:space="preserve">. </w:t>
      </w:r>
      <w:r w:rsidRPr="00E90892">
        <w:rPr>
          <w:rFonts w:ascii="Garamond" w:hAnsi="Garamond"/>
          <w:lang w:val="de-DE"/>
        </w:rPr>
        <w:t>P</w:t>
      </w:r>
      <w:r>
        <w:rPr>
          <w:rFonts w:ascii="Garamond" w:hAnsi="Garamond"/>
          <w:lang w:val="de-DE"/>
        </w:rPr>
        <w:t>.</w:t>
      </w:r>
      <w:r w:rsidRPr="00E90892">
        <w:rPr>
          <w:rFonts w:ascii="Garamond" w:hAnsi="Garamond"/>
          <w:lang w:val="de-DE"/>
        </w:rPr>
        <w:t xml:space="preserve"> (2013)</w:t>
      </w:r>
      <w:r>
        <w:rPr>
          <w:rFonts w:ascii="Garamond" w:hAnsi="Garamond"/>
          <w:lang w:val="de-DE"/>
        </w:rPr>
        <w:t>.</w:t>
      </w:r>
      <w:r w:rsidRPr="00E90892">
        <w:rPr>
          <w:rFonts w:ascii="Garamond" w:hAnsi="Garamond"/>
          <w:lang w:val="de-DE"/>
        </w:rPr>
        <w:t xml:space="preserve"> Reassessing and redirecting research on race and sentencing. </w:t>
      </w:r>
      <w:r w:rsidRPr="00046D2E">
        <w:rPr>
          <w:rFonts w:ascii="Garamond" w:hAnsi="Garamond"/>
          <w:i/>
          <w:iCs/>
          <w:lang w:val="de-DE"/>
        </w:rPr>
        <w:t>Justice Quarterly</w:t>
      </w:r>
      <w:r>
        <w:rPr>
          <w:rFonts w:ascii="Garamond" w:hAnsi="Garamond"/>
          <w:lang w:val="de-DE"/>
        </w:rPr>
        <w:t xml:space="preserve"> </w:t>
      </w:r>
      <w:r w:rsidRPr="00E90892">
        <w:rPr>
          <w:rFonts w:ascii="Garamond" w:hAnsi="Garamond"/>
          <w:lang w:val="de-DE"/>
        </w:rPr>
        <w:t>30(2):231–261</w:t>
      </w:r>
      <w:r>
        <w:rPr>
          <w:rFonts w:ascii="Garamond" w:hAnsi="Garamond"/>
          <w:lang w:val="de-DE"/>
        </w:rPr>
        <w:t xml:space="preserve">. URL: </w:t>
      </w:r>
      <w:r>
        <w:rPr>
          <w:rFonts w:ascii="Garamond" w:hAnsi="Garamond"/>
          <w:lang w:val="de-DE"/>
        </w:rPr>
        <w:fldChar w:fldCharType="begin"/>
      </w:r>
      <w:r>
        <w:rPr>
          <w:rFonts w:ascii="Garamond" w:hAnsi="Garamond"/>
          <w:lang w:val="de-DE"/>
        </w:rPr>
        <w:instrText>HYPERLINK "</w:instrText>
      </w:r>
      <w:r w:rsidRPr="00E90892">
        <w:rPr>
          <w:rFonts w:ascii="Garamond" w:hAnsi="Garamond"/>
          <w:lang w:val="de-DE"/>
        </w:rPr>
        <w:instrText>https://www.tandfonline.com/doi/full/10.1080/07418825.2012.682602</w:instrText>
      </w:r>
      <w:r>
        <w:rPr>
          <w:rFonts w:ascii="Garamond" w:hAnsi="Garamond"/>
          <w:lang w:val="de-DE"/>
        </w:rPr>
        <w:instrText>"</w:instrText>
      </w:r>
      <w:r>
        <w:rPr>
          <w:rFonts w:ascii="Garamond" w:hAnsi="Garamond"/>
          <w:lang w:val="de-DE"/>
        </w:rPr>
      </w:r>
      <w:r>
        <w:rPr>
          <w:rFonts w:ascii="Garamond" w:hAnsi="Garamond"/>
          <w:lang w:val="de-DE"/>
        </w:rPr>
        <w:fldChar w:fldCharType="separate"/>
      </w:r>
      <w:r w:rsidRPr="00D70EF0">
        <w:rPr>
          <w:rStyle w:val="Hyperlink"/>
          <w:rFonts w:ascii="Garamond" w:hAnsi="Garamond"/>
          <w:lang w:val="de-DE"/>
        </w:rPr>
        <w:t>https://www.tandfonline.com/doi/full/10.1080/07418825.2012.682602</w:t>
      </w:r>
      <w:r>
        <w:rPr>
          <w:rFonts w:ascii="Garamond" w:hAnsi="Garamond"/>
          <w:lang w:val="de-DE"/>
        </w:rPr>
        <w:fldChar w:fldCharType="end"/>
      </w:r>
    </w:p>
    <w:p w14:paraId="176E8BF7" w14:textId="5C63E23A" w:rsidR="002C0A69" w:rsidRDefault="002C0A69" w:rsidP="00E90892">
      <w:pPr>
        <w:spacing w:after="120" w:line="240" w:lineRule="auto"/>
        <w:rPr>
          <w:rFonts w:ascii="Garamond" w:hAnsi="Garamond"/>
          <w:lang w:val="de-DE"/>
        </w:rPr>
      </w:pPr>
      <w:r w:rsidRPr="002C0A69">
        <w:rPr>
          <w:rFonts w:ascii="Garamond" w:hAnsi="Garamond"/>
          <w:lang w:val="de-DE"/>
        </w:rPr>
        <w:t xml:space="preserve">BBC (2025) Call for ministers to overrule 'two-tier' sentencing changes. URL: </w:t>
      </w:r>
      <w:r>
        <w:rPr>
          <w:rFonts w:ascii="Garamond" w:hAnsi="Garamond"/>
          <w:lang w:val="de-DE"/>
        </w:rPr>
        <w:fldChar w:fldCharType="begin"/>
      </w:r>
      <w:r>
        <w:rPr>
          <w:rFonts w:ascii="Garamond" w:hAnsi="Garamond"/>
          <w:lang w:val="de-DE"/>
        </w:rPr>
        <w:instrText xml:space="preserve"> HYPERLINK "</w:instrText>
      </w:r>
      <w:r w:rsidRPr="002C0A69">
        <w:rPr>
          <w:rFonts w:ascii="Garamond" w:hAnsi="Garamond"/>
          <w:lang w:val="de-DE"/>
        </w:rPr>
        <w:instrText>https://www.bbc.co.uk/news/articles/cvg19gx7vl4o</w:instrText>
      </w:r>
      <w:r>
        <w:rPr>
          <w:rFonts w:ascii="Garamond" w:hAnsi="Garamond"/>
          <w:lang w:val="de-DE"/>
        </w:rPr>
        <w:instrText xml:space="preserve">" </w:instrText>
      </w:r>
      <w:r>
        <w:rPr>
          <w:rFonts w:ascii="Garamond" w:hAnsi="Garamond"/>
          <w:lang w:val="de-DE"/>
        </w:rPr>
      </w:r>
      <w:r>
        <w:rPr>
          <w:rFonts w:ascii="Garamond" w:hAnsi="Garamond"/>
          <w:lang w:val="de-DE"/>
        </w:rPr>
        <w:fldChar w:fldCharType="separate"/>
      </w:r>
      <w:r w:rsidRPr="0023681B">
        <w:rPr>
          <w:rStyle w:val="Hyperlink"/>
          <w:rFonts w:ascii="Garamond" w:hAnsi="Garamond"/>
          <w:lang w:val="de-DE"/>
        </w:rPr>
        <w:t>https://www.bbc.co.uk/news/articles/cvg19gx7vl4o</w:t>
      </w:r>
      <w:r>
        <w:rPr>
          <w:rFonts w:ascii="Garamond" w:hAnsi="Garamond"/>
          <w:lang w:val="de-DE"/>
        </w:rPr>
        <w:fldChar w:fldCharType="end"/>
      </w:r>
      <w:r>
        <w:rPr>
          <w:rFonts w:ascii="Garamond" w:hAnsi="Garamond"/>
          <w:lang w:val="de-DE"/>
        </w:rPr>
        <w:t xml:space="preserve"> </w:t>
      </w:r>
    </w:p>
    <w:p w14:paraId="34A4E52C" w14:textId="5F5891D4" w:rsidR="00DF584C" w:rsidRDefault="0026731B" w:rsidP="00197016">
      <w:pPr>
        <w:spacing w:after="120" w:line="240" w:lineRule="auto"/>
        <w:rPr>
          <w:rStyle w:val="Hyperlink"/>
          <w:rFonts w:ascii="Garamond" w:hAnsi="Garamond"/>
        </w:rPr>
      </w:pPr>
      <w:r w:rsidRPr="0026142E">
        <w:rPr>
          <w:rFonts w:ascii="Garamond" w:hAnsi="Garamond"/>
          <w:lang w:val="de-DE"/>
        </w:rPr>
        <w:t>Chen, Q., Vuk, M., Kuppuswamy, C.</w:t>
      </w:r>
      <w:r w:rsidR="00421EF0" w:rsidRPr="0026142E">
        <w:rPr>
          <w:rFonts w:ascii="Garamond" w:hAnsi="Garamond"/>
          <w:lang w:val="de-DE"/>
        </w:rPr>
        <w:t>,</w:t>
      </w:r>
      <w:r w:rsidRPr="0026142E">
        <w:rPr>
          <w:rFonts w:ascii="Garamond" w:hAnsi="Garamond"/>
          <w:lang w:val="de-DE"/>
        </w:rPr>
        <w:t xml:space="preserve"> &amp; Kirsch, D. (2023). </w:t>
      </w:r>
      <w:r w:rsidRPr="0026731B">
        <w:rPr>
          <w:rFonts w:ascii="Garamond" w:hAnsi="Garamond"/>
        </w:rPr>
        <w:t>Equality and diversity</w:t>
      </w:r>
      <w:r>
        <w:rPr>
          <w:rFonts w:ascii="Garamond" w:hAnsi="Garamond"/>
        </w:rPr>
        <w:t xml:space="preserve"> </w:t>
      </w:r>
      <w:r w:rsidRPr="0026731B">
        <w:rPr>
          <w:rFonts w:ascii="Garamond" w:hAnsi="Garamond"/>
        </w:rPr>
        <w:t>in the work of the Sentencing Council</w:t>
      </w:r>
      <w:r>
        <w:rPr>
          <w:rFonts w:ascii="Garamond" w:hAnsi="Garamond"/>
        </w:rPr>
        <w:t xml:space="preserve">. </w:t>
      </w:r>
      <w:r w:rsidR="003659C4" w:rsidRPr="003659C4">
        <w:rPr>
          <w:rFonts w:ascii="Garamond" w:hAnsi="Garamond"/>
          <w:i/>
          <w:iCs/>
        </w:rPr>
        <w:t>Sentencing Council for England and Wales</w:t>
      </w:r>
      <w:r w:rsidR="003659C4">
        <w:rPr>
          <w:rFonts w:ascii="Garamond" w:hAnsi="Garamond"/>
          <w:i/>
          <w:iCs/>
        </w:rPr>
        <w:t>.</w:t>
      </w:r>
      <w:r w:rsidR="003659C4">
        <w:rPr>
          <w:rFonts w:ascii="Garamond" w:hAnsi="Garamond"/>
        </w:rPr>
        <w:t xml:space="preserve"> </w:t>
      </w:r>
      <w:r>
        <w:rPr>
          <w:rFonts w:ascii="Garamond" w:hAnsi="Garamond"/>
        </w:rPr>
        <w:t xml:space="preserve">URL: </w:t>
      </w:r>
      <w:hyperlink r:id="rId11" w:history="1">
        <w:r w:rsidR="002C0A69" w:rsidRPr="002C0A69">
          <w:rPr>
            <w:rStyle w:val="Hyperlink"/>
            <w:rFonts w:ascii="Garamond" w:hAnsi="Garamond"/>
          </w:rPr>
          <w:t>https://www.sentencingcouncil.org.uk/wp-content/uploads/Equality-and-Diversity-Report-FINAL.pdf</w:t>
        </w:r>
      </w:hyperlink>
    </w:p>
    <w:p w14:paraId="395222BC" w14:textId="41E31272" w:rsidR="00E455EB" w:rsidRDefault="00E455EB" w:rsidP="00197016">
      <w:pPr>
        <w:spacing w:after="120" w:line="240" w:lineRule="auto"/>
        <w:rPr>
          <w:rFonts w:ascii="Garamond" w:hAnsi="Garamond"/>
        </w:rPr>
      </w:pPr>
      <w:r w:rsidRPr="00E455EB">
        <w:rPr>
          <w:rFonts w:ascii="Garamond" w:hAnsi="Garamond"/>
        </w:rPr>
        <w:t>Clinks (2020) Future Sentencing Policy – Entrenching Inequality</w:t>
      </w:r>
      <w:r>
        <w:rPr>
          <w:rFonts w:ascii="Garamond" w:hAnsi="Garamond"/>
        </w:rPr>
        <w:t>. URL</w:t>
      </w:r>
      <w:r w:rsidR="00FF6499">
        <w:rPr>
          <w:rFonts w:ascii="Garamond" w:hAnsi="Garamond"/>
        </w:rPr>
        <w:t>:</w:t>
      </w:r>
      <w:r>
        <w:rPr>
          <w:rFonts w:ascii="Garamond" w:hAnsi="Garamond"/>
        </w:rPr>
        <w:t xml:space="preserve"> </w:t>
      </w:r>
      <w:r w:rsidRPr="00E455EB">
        <w:rPr>
          <w:rFonts w:ascii="Garamond" w:hAnsi="Garamond"/>
        </w:rPr>
        <w:t>https://www.clinks.org/community/blog-posts/future-sentencing-policy-entrenching-inequality</w:t>
      </w:r>
    </w:p>
    <w:p w14:paraId="3AD8FE1B" w14:textId="249A59C1" w:rsidR="001B387E" w:rsidRPr="0026142E" w:rsidRDefault="001B387E" w:rsidP="00197016">
      <w:pPr>
        <w:spacing w:after="120" w:line="240" w:lineRule="auto"/>
        <w:rPr>
          <w:lang w:val="it-IT"/>
        </w:rPr>
      </w:pPr>
      <w:r>
        <w:rPr>
          <w:rFonts w:ascii="Garamond" w:hAnsi="Garamond"/>
        </w:rPr>
        <w:t xml:space="preserve">Crown Prosecution Service (2023). </w:t>
      </w:r>
      <w:r w:rsidRPr="001B387E">
        <w:rPr>
          <w:rFonts w:ascii="Garamond" w:hAnsi="Garamond"/>
        </w:rPr>
        <w:t>CPS charging decisions - examining demographic disparities in the outcomes of our decision making</w:t>
      </w:r>
      <w:r>
        <w:rPr>
          <w:rFonts w:ascii="Garamond" w:hAnsi="Garamond"/>
        </w:rPr>
        <w:t xml:space="preserve">. </w:t>
      </w:r>
      <w:r w:rsidRPr="0026142E">
        <w:rPr>
          <w:rFonts w:ascii="Garamond" w:hAnsi="Garamond"/>
          <w:lang w:val="it-IT"/>
        </w:rPr>
        <w:t xml:space="preserve">URL: </w:t>
      </w:r>
      <w:hyperlink r:id="rId12" w:history="1">
        <w:r w:rsidR="001F2EDA" w:rsidRPr="0026142E">
          <w:rPr>
            <w:rStyle w:val="Hyperlink"/>
            <w:rFonts w:ascii="Garamond" w:hAnsi="Garamond"/>
            <w:lang w:val="it-IT"/>
          </w:rPr>
          <w:t>https://www.cps.gov.uk/publication/cps-charging-decisions-examining-demographic-disparities-outcomes-our-decision-making</w:t>
        </w:r>
      </w:hyperlink>
    </w:p>
    <w:p w14:paraId="49C83DEB" w14:textId="39068C67" w:rsidR="00BB77A9" w:rsidRDefault="00BB77A9" w:rsidP="00197016">
      <w:pPr>
        <w:spacing w:after="120" w:line="240" w:lineRule="auto"/>
        <w:rPr>
          <w:rStyle w:val="Hyperlink"/>
          <w:rFonts w:ascii="Garamond" w:hAnsi="Garamond"/>
        </w:rPr>
      </w:pPr>
      <w:r w:rsidRPr="00E837D8">
        <w:rPr>
          <w:rFonts w:ascii="Garamond" w:hAnsi="Garamond"/>
          <w:lang w:val="es-ES"/>
        </w:rPr>
        <w:t>Guilfoyle, E.</w:t>
      </w:r>
      <w:r w:rsidR="004F283A" w:rsidRPr="00E837D8">
        <w:rPr>
          <w:rFonts w:ascii="Garamond" w:hAnsi="Garamond"/>
          <w:lang w:val="es-ES"/>
        </w:rPr>
        <w:t>, &amp;</w:t>
      </w:r>
      <w:r w:rsidRPr="00E837D8">
        <w:rPr>
          <w:rFonts w:ascii="Garamond" w:hAnsi="Garamond"/>
          <w:lang w:val="es-ES"/>
        </w:rPr>
        <w:t xml:space="preserve"> Pina-S</w:t>
      </w:r>
      <w:r w:rsidR="00922402" w:rsidRPr="00E837D8">
        <w:rPr>
          <w:rFonts w:ascii="Garamond" w:hAnsi="Garamond"/>
          <w:lang w:val="es-ES"/>
        </w:rPr>
        <w:t>á</w:t>
      </w:r>
      <w:r w:rsidRPr="00E837D8">
        <w:rPr>
          <w:rFonts w:ascii="Garamond" w:hAnsi="Garamond"/>
          <w:lang w:val="es-ES"/>
        </w:rPr>
        <w:t xml:space="preserve">nchez, J. (2024). </w:t>
      </w:r>
      <w:r w:rsidRPr="00BB77A9">
        <w:rPr>
          <w:rFonts w:ascii="Garamond" w:hAnsi="Garamond"/>
        </w:rPr>
        <w:t>Racially determined case characteristics: Exploring</w:t>
      </w:r>
      <w:r>
        <w:rPr>
          <w:rFonts w:ascii="Garamond" w:hAnsi="Garamond"/>
        </w:rPr>
        <w:t xml:space="preserve"> </w:t>
      </w:r>
      <w:r w:rsidRPr="00BB77A9">
        <w:rPr>
          <w:rFonts w:ascii="Garamond" w:hAnsi="Garamond"/>
        </w:rPr>
        <w:t xml:space="preserve">disparities in the use of sentencing guideline factors in England and Wales. </w:t>
      </w:r>
      <w:r w:rsidRPr="003659C4">
        <w:rPr>
          <w:rFonts w:ascii="Garamond" w:hAnsi="Garamond"/>
          <w:i/>
          <w:iCs/>
        </w:rPr>
        <w:t>The British Journal of Criminology.</w:t>
      </w:r>
      <w:r>
        <w:rPr>
          <w:rFonts w:ascii="Garamond" w:hAnsi="Garamond"/>
        </w:rPr>
        <w:t xml:space="preserve"> URL: </w:t>
      </w:r>
      <w:hyperlink r:id="rId13" w:history="1">
        <w:r w:rsidR="00CF25C8" w:rsidRPr="00D37AFB">
          <w:rPr>
            <w:rStyle w:val="Hyperlink"/>
            <w:rFonts w:ascii="Garamond" w:hAnsi="Garamond"/>
          </w:rPr>
          <w:t>https://academic.oup.com/bjc/advance-article/doi/10.1093/bjc/azae039/7708313</w:t>
        </w:r>
      </w:hyperlink>
    </w:p>
    <w:p w14:paraId="01E52BB7" w14:textId="3379A0BB" w:rsidR="00E90892" w:rsidRDefault="00E90892" w:rsidP="00E90892">
      <w:pPr>
        <w:spacing w:after="120" w:line="240" w:lineRule="auto"/>
        <w:rPr>
          <w:rFonts w:ascii="Garamond" w:hAnsi="Garamond"/>
        </w:rPr>
      </w:pPr>
      <w:r w:rsidRPr="00E90892">
        <w:rPr>
          <w:rFonts w:ascii="Garamond" w:hAnsi="Garamond"/>
        </w:rPr>
        <w:t>Halevy</w:t>
      </w:r>
      <w:r>
        <w:rPr>
          <w:rFonts w:ascii="Garamond" w:hAnsi="Garamond"/>
        </w:rPr>
        <w:t>,</w:t>
      </w:r>
      <w:r w:rsidRPr="00E90892">
        <w:rPr>
          <w:rFonts w:ascii="Garamond" w:hAnsi="Garamond"/>
        </w:rPr>
        <w:t xml:space="preserve"> T</w:t>
      </w:r>
      <w:r>
        <w:rPr>
          <w:rFonts w:ascii="Garamond" w:hAnsi="Garamond"/>
        </w:rPr>
        <w:t>.</w:t>
      </w:r>
      <w:r w:rsidRPr="00E90892">
        <w:rPr>
          <w:rFonts w:ascii="Garamond" w:hAnsi="Garamond"/>
        </w:rPr>
        <w:t xml:space="preserve"> (1995)</w:t>
      </w:r>
      <w:r>
        <w:rPr>
          <w:rFonts w:ascii="Garamond" w:hAnsi="Garamond"/>
        </w:rPr>
        <w:t>.</w:t>
      </w:r>
      <w:r w:rsidRPr="00E90892">
        <w:rPr>
          <w:rFonts w:ascii="Garamond" w:hAnsi="Garamond"/>
        </w:rPr>
        <w:t xml:space="preserve"> Racial discrimination in sentencing: a study with dubious conclusions.</w:t>
      </w:r>
      <w:r w:rsidRPr="003A6C23">
        <w:rPr>
          <w:rFonts w:ascii="Garamond" w:hAnsi="Garamond"/>
          <w:i/>
          <w:iCs/>
        </w:rPr>
        <w:t xml:space="preserve"> Criminal Law Review</w:t>
      </w:r>
      <w:r>
        <w:rPr>
          <w:rFonts w:ascii="Garamond" w:hAnsi="Garamond"/>
        </w:rPr>
        <w:t>,</w:t>
      </w:r>
      <w:r w:rsidRPr="00E90892">
        <w:rPr>
          <w:rFonts w:ascii="Garamond" w:hAnsi="Garamond"/>
        </w:rPr>
        <w:t xml:space="preserve"> pp</w:t>
      </w:r>
      <w:r>
        <w:rPr>
          <w:rFonts w:ascii="Garamond" w:hAnsi="Garamond"/>
        </w:rPr>
        <w:t>.</w:t>
      </w:r>
      <w:r w:rsidRPr="00E90892">
        <w:rPr>
          <w:rFonts w:ascii="Garamond" w:hAnsi="Garamond"/>
        </w:rPr>
        <w:t xml:space="preserve"> 267–271</w:t>
      </w:r>
      <w:r>
        <w:rPr>
          <w:rFonts w:ascii="Garamond" w:hAnsi="Garamond"/>
        </w:rPr>
        <w:t xml:space="preserve">. </w:t>
      </w:r>
    </w:p>
    <w:p w14:paraId="431BE2AA" w14:textId="7209ED65" w:rsidR="00BA7D19" w:rsidRPr="00BA7D19" w:rsidRDefault="002B5AD9" w:rsidP="00BA7D19">
      <w:pPr>
        <w:spacing w:after="120" w:line="240" w:lineRule="auto"/>
        <w:rPr>
          <w:rFonts w:ascii="Garamond" w:hAnsi="Garamond"/>
        </w:rPr>
      </w:pPr>
      <w:r w:rsidRPr="002B5AD9">
        <w:rPr>
          <w:rFonts w:ascii="Garamond" w:hAnsi="Garamond"/>
        </w:rPr>
        <w:t>HM Inspectorate of Probation (2021)</w:t>
      </w:r>
      <w:r w:rsidR="00FF6499">
        <w:rPr>
          <w:rFonts w:ascii="Garamond" w:hAnsi="Garamond"/>
        </w:rPr>
        <w:t>.</w:t>
      </w:r>
      <w:r w:rsidRPr="002B5AD9">
        <w:rPr>
          <w:rFonts w:ascii="Garamond" w:hAnsi="Garamond"/>
        </w:rPr>
        <w:t xml:space="preserve"> Race Equality in Probation: The Experiences of Black, Asian and Minority Ethnic Probation Service Users and Staff: A Thematic Inspection by HM Inspectorate of Probation. </w:t>
      </w:r>
      <w:r w:rsidRPr="001F2EDA">
        <w:rPr>
          <w:rFonts w:ascii="Garamond" w:hAnsi="Garamond"/>
          <w:i/>
        </w:rPr>
        <w:t>HM Inspectorate of Probation.</w:t>
      </w:r>
      <w:r w:rsidR="00FF6499">
        <w:rPr>
          <w:rFonts w:ascii="Garamond" w:hAnsi="Garamond"/>
          <w:i/>
        </w:rPr>
        <w:t xml:space="preserve"> </w:t>
      </w:r>
      <w:r>
        <w:rPr>
          <w:rFonts w:ascii="Garamond" w:hAnsi="Garamond"/>
        </w:rPr>
        <w:t xml:space="preserve">URL: </w:t>
      </w:r>
      <w:hyperlink r:id="rId14" w:history="1">
        <w:r w:rsidRPr="001E1762">
          <w:rPr>
            <w:rStyle w:val="Hyperlink"/>
            <w:rFonts w:ascii="Garamond" w:hAnsi="Garamond"/>
          </w:rPr>
          <w:t>https://www.justiceinspectorates.gov.uk/hmiprobation/wp-content/uploads/sites/5/2021/03/Race-Equality-in-Probation-thematic-inspection-report-v1.0.pdf</w:t>
        </w:r>
      </w:hyperlink>
      <w:r>
        <w:rPr>
          <w:rFonts w:ascii="Garamond" w:hAnsi="Garamond"/>
        </w:rPr>
        <w:t xml:space="preserve"> </w:t>
      </w:r>
    </w:p>
    <w:p w14:paraId="0B121F1B" w14:textId="6182396E" w:rsidR="00BA7D19" w:rsidRPr="002B5AD9" w:rsidRDefault="00BA7D19" w:rsidP="00BA7D19">
      <w:pPr>
        <w:spacing w:after="120" w:line="240" w:lineRule="auto"/>
        <w:rPr>
          <w:rFonts w:ascii="Garamond" w:hAnsi="Garamond"/>
        </w:rPr>
      </w:pPr>
      <w:r w:rsidRPr="00BA7D19">
        <w:rPr>
          <w:rFonts w:ascii="Garamond" w:hAnsi="Garamond"/>
        </w:rPr>
        <w:t>HM Inspectorate of Probation (2023)</w:t>
      </w:r>
      <w:r w:rsidR="00FF6499">
        <w:rPr>
          <w:rFonts w:ascii="Garamond" w:hAnsi="Garamond"/>
        </w:rPr>
        <w:t>.</w:t>
      </w:r>
      <w:r w:rsidRPr="00BA7D19">
        <w:rPr>
          <w:rFonts w:ascii="Garamond" w:hAnsi="Garamond"/>
        </w:rPr>
        <w:t xml:space="preserve"> Race equality in probation follow-up: A work in progress, HM Inspectorate of Probations.URL: </w:t>
      </w:r>
      <w:hyperlink r:id="rId15" w:history="1">
        <w:r w:rsidRPr="001E1762">
          <w:rPr>
            <w:rStyle w:val="Hyperlink"/>
            <w:rFonts w:ascii="Garamond" w:hAnsi="Garamond"/>
          </w:rPr>
          <w:t>https://www.justiceinspectorates.gov.uk/hmiprobation/wp-content/uploads/sites/5/2023/09/Race-equality-in-probation-follow-up-thematic-inspection-v1.0.pdf</w:t>
        </w:r>
      </w:hyperlink>
      <w:r>
        <w:rPr>
          <w:rFonts w:ascii="Garamond" w:hAnsi="Garamond"/>
        </w:rPr>
        <w:t xml:space="preserve"> </w:t>
      </w:r>
    </w:p>
    <w:p w14:paraId="21CDB37F" w14:textId="79BD1DBB" w:rsidR="007F2AFE" w:rsidRDefault="007F2AFE" w:rsidP="00197016">
      <w:pPr>
        <w:spacing w:after="120" w:line="240" w:lineRule="auto"/>
        <w:rPr>
          <w:rFonts w:ascii="Garamond" w:hAnsi="Garamond"/>
        </w:rPr>
      </w:pPr>
      <w:r w:rsidRPr="007F2AFE">
        <w:rPr>
          <w:rFonts w:ascii="Garamond" w:hAnsi="Garamond"/>
        </w:rPr>
        <w:t>Hopkins K</w:t>
      </w:r>
      <w:r w:rsidR="004F283A">
        <w:rPr>
          <w:rFonts w:ascii="Garamond" w:hAnsi="Garamond"/>
        </w:rPr>
        <w:t>.</w:t>
      </w:r>
      <w:r w:rsidRPr="007F2AFE">
        <w:rPr>
          <w:rFonts w:ascii="Garamond" w:hAnsi="Garamond"/>
        </w:rPr>
        <w:t>, Uhrig</w:t>
      </w:r>
      <w:r w:rsidR="004F283A">
        <w:rPr>
          <w:rFonts w:ascii="Garamond" w:hAnsi="Garamond"/>
        </w:rPr>
        <w:t>,</w:t>
      </w:r>
      <w:r w:rsidRPr="007F2AFE">
        <w:rPr>
          <w:rFonts w:ascii="Garamond" w:hAnsi="Garamond"/>
        </w:rPr>
        <w:t xml:space="preserve"> N</w:t>
      </w:r>
      <w:r w:rsidR="004F283A">
        <w:rPr>
          <w:rFonts w:ascii="Garamond" w:hAnsi="Garamond"/>
        </w:rPr>
        <w:t>.</w:t>
      </w:r>
      <w:r w:rsidRPr="007F2AFE">
        <w:rPr>
          <w:rFonts w:ascii="Garamond" w:hAnsi="Garamond"/>
        </w:rPr>
        <w:t>,</w:t>
      </w:r>
      <w:r w:rsidR="004F283A">
        <w:rPr>
          <w:rFonts w:ascii="Garamond" w:hAnsi="Garamond"/>
        </w:rPr>
        <w:t xml:space="preserve"> &amp;</w:t>
      </w:r>
      <w:r w:rsidRPr="007F2AFE">
        <w:rPr>
          <w:rFonts w:ascii="Garamond" w:hAnsi="Garamond"/>
        </w:rPr>
        <w:t xml:space="preserve"> Colahan</w:t>
      </w:r>
      <w:r w:rsidR="004F283A">
        <w:rPr>
          <w:rFonts w:ascii="Garamond" w:hAnsi="Garamond"/>
        </w:rPr>
        <w:t>,</w:t>
      </w:r>
      <w:r w:rsidRPr="007F2AFE">
        <w:rPr>
          <w:rFonts w:ascii="Garamond" w:hAnsi="Garamond"/>
        </w:rPr>
        <w:t xml:space="preserve"> M</w:t>
      </w:r>
      <w:r w:rsidR="004F283A">
        <w:rPr>
          <w:rFonts w:ascii="Garamond" w:hAnsi="Garamond"/>
        </w:rPr>
        <w:t>.</w:t>
      </w:r>
      <w:r w:rsidRPr="007F2AFE">
        <w:rPr>
          <w:rFonts w:ascii="Garamond" w:hAnsi="Garamond"/>
        </w:rPr>
        <w:t xml:space="preserve"> (2016)</w:t>
      </w:r>
      <w:r w:rsidR="004F283A">
        <w:rPr>
          <w:rFonts w:ascii="Garamond" w:hAnsi="Garamond"/>
        </w:rPr>
        <w:t>.</w:t>
      </w:r>
      <w:r w:rsidRPr="007F2AFE">
        <w:rPr>
          <w:rFonts w:ascii="Garamond" w:hAnsi="Garamond"/>
        </w:rPr>
        <w:t xml:space="preserve"> Associations between ethnic background and being sentenced</w:t>
      </w:r>
      <w:r>
        <w:rPr>
          <w:rFonts w:ascii="Garamond" w:hAnsi="Garamond"/>
        </w:rPr>
        <w:t xml:space="preserve"> </w:t>
      </w:r>
      <w:r w:rsidRPr="007F2AFE">
        <w:rPr>
          <w:rFonts w:ascii="Garamond" w:hAnsi="Garamond"/>
        </w:rPr>
        <w:t xml:space="preserve">to prison in the </w:t>
      </w:r>
      <w:r w:rsidR="00EA7130">
        <w:rPr>
          <w:rFonts w:ascii="Garamond" w:hAnsi="Garamond"/>
        </w:rPr>
        <w:t>C</w:t>
      </w:r>
      <w:r w:rsidRPr="007F2AFE">
        <w:rPr>
          <w:rFonts w:ascii="Garamond" w:hAnsi="Garamond"/>
        </w:rPr>
        <w:t xml:space="preserve">rown </w:t>
      </w:r>
      <w:r w:rsidR="00EA7130">
        <w:rPr>
          <w:rFonts w:ascii="Garamond" w:hAnsi="Garamond"/>
        </w:rPr>
        <w:t>C</w:t>
      </w:r>
      <w:r w:rsidRPr="007F2AFE">
        <w:rPr>
          <w:rFonts w:ascii="Garamond" w:hAnsi="Garamond"/>
        </w:rPr>
        <w:t xml:space="preserve">ourt in England and Wales in 2015. </w:t>
      </w:r>
      <w:r w:rsidRPr="007F2AFE">
        <w:rPr>
          <w:rFonts w:ascii="Garamond" w:hAnsi="Garamond"/>
          <w:i/>
          <w:iCs/>
        </w:rPr>
        <w:t>Ministry of Justice</w:t>
      </w:r>
      <w:r w:rsidR="003659C4" w:rsidRPr="003659C4">
        <w:rPr>
          <w:rFonts w:ascii="Garamond" w:hAnsi="Garamond"/>
          <w:i/>
          <w:iCs/>
        </w:rPr>
        <w:t>.</w:t>
      </w:r>
      <w:r>
        <w:rPr>
          <w:rFonts w:ascii="Garamond" w:hAnsi="Garamond"/>
        </w:rPr>
        <w:t xml:space="preserve"> </w:t>
      </w:r>
      <w:r w:rsidRPr="007F2AFE">
        <w:rPr>
          <w:rFonts w:ascii="Garamond" w:hAnsi="Garamond"/>
        </w:rPr>
        <w:t>URL</w:t>
      </w:r>
      <w:r>
        <w:rPr>
          <w:rFonts w:ascii="Garamond" w:hAnsi="Garamond"/>
        </w:rPr>
        <w:t xml:space="preserve">: </w:t>
      </w:r>
      <w:hyperlink r:id="rId16" w:history="1">
        <w:r w:rsidRPr="007F2AFE">
          <w:rPr>
            <w:rStyle w:val="Hyperlink"/>
            <w:rFonts w:ascii="Garamond" w:hAnsi="Garamond"/>
          </w:rPr>
          <w:t>https://assets.publishing.service.gov.uk/government/uploads/system/uploads/attachment_data/file/639261/bame-disproportionality-in-the-cjs.pdf</w:t>
        </w:r>
      </w:hyperlink>
    </w:p>
    <w:p w14:paraId="767CC07B" w14:textId="5072097E" w:rsidR="003D52C4" w:rsidRDefault="003D52C4" w:rsidP="00197016">
      <w:pPr>
        <w:spacing w:after="120" w:line="240" w:lineRule="auto"/>
        <w:rPr>
          <w:rStyle w:val="Hyperlink"/>
          <w:rFonts w:ascii="Garamond" w:hAnsi="Garamond"/>
        </w:rPr>
      </w:pPr>
      <w:r w:rsidRPr="003D52C4">
        <w:rPr>
          <w:rFonts w:ascii="Garamond" w:hAnsi="Garamond"/>
        </w:rPr>
        <w:t xml:space="preserve">House of Commons Debate (2021). Police, Crime, Sentencing and Courts Bill: Twelfth Sitting. </w:t>
      </w:r>
      <w:r w:rsidRPr="003D52C4">
        <w:rPr>
          <w:rFonts w:ascii="Garamond" w:hAnsi="Garamond"/>
          <w:i/>
          <w:iCs/>
        </w:rPr>
        <w:t>Hansard.</w:t>
      </w:r>
      <w:r w:rsidRPr="003D52C4">
        <w:rPr>
          <w:rFonts w:ascii="Garamond" w:hAnsi="Garamond"/>
        </w:rPr>
        <w:t xml:space="preserve"> </w:t>
      </w:r>
      <w:r>
        <w:rPr>
          <w:rFonts w:ascii="Garamond" w:hAnsi="Garamond"/>
        </w:rPr>
        <w:t>URL:</w:t>
      </w:r>
      <w:r w:rsidRPr="003D52C4">
        <w:rPr>
          <w:rFonts w:ascii="Garamond" w:hAnsi="Garamond"/>
        </w:rPr>
        <w:t xml:space="preserve"> </w:t>
      </w:r>
      <w:hyperlink r:id="rId17" w:history="1">
        <w:r w:rsidR="006D323B" w:rsidRPr="00485952">
          <w:rPr>
            <w:rStyle w:val="Hyperlink"/>
            <w:rFonts w:ascii="Garamond" w:hAnsi="Garamond"/>
          </w:rPr>
          <w:t>https://hansard.parliament.uk/Commons/2021-06-10/debates/fc94f669-16a7-4e5d-94b0-eea72d258033/PoliceCrimeSentencingAndCourtsBill%28TwelfthSitting%29</w:t>
        </w:r>
      </w:hyperlink>
    </w:p>
    <w:p w14:paraId="418F3549" w14:textId="667076EC" w:rsidR="00E455EB" w:rsidRDefault="00E455EB" w:rsidP="00197016">
      <w:pPr>
        <w:spacing w:after="120" w:line="240" w:lineRule="auto"/>
        <w:rPr>
          <w:rFonts w:ascii="Garamond" w:hAnsi="Garamond"/>
        </w:rPr>
      </w:pPr>
      <w:bookmarkStart w:id="3" w:name="_Hlk186819078"/>
      <w:r w:rsidRPr="00E455EB">
        <w:rPr>
          <w:rFonts w:ascii="Garamond" w:hAnsi="Garamond"/>
        </w:rPr>
        <w:t xml:space="preserve">Institute of Race Relation </w:t>
      </w:r>
      <w:bookmarkEnd w:id="3"/>
      <w:r w:rsidRPr="00E455EB">
        <w:rPr>
          <w:rFonts w:ascii="Garamond" w:hAnsi="Garamond"/>
        </w:rPr>
        <w:t>(2024)</w:t>
      </w:r>
      <w:r w:rsidR="00FF6499">
        <w:rPr>
          <w:rFonts w:ascii="Garamond" w:hAnsi="Garamond"/>
        </w:rPr>
        <w:t>.</w:t>
      </w:r>
      <w:r w:rsidRPr="00E455EB">
        <w:rPr>
          <w:rFonts w:ascii="Garamond" w:hAnsi="Garamond"/>
        </w:rPr>
        <w:t xml:space="preserve"> Criminal Justice System Statistics</w:t>
      </w:r>
      <w:r>
        <w:rPr>
          <w:rFonts w:ascii="Garamond" w:hAnsi="Garamond"/>
        </w:rPr>
        <w:t xml:space="preserve">. </w:t>
      </w:r>
      <w:r w:rsidRPr="001F2EDA">
        <w:rPr>
          <w:rFonts w:ascii="Garamond" w:hAnsi="Garamond"/>
          <w:i/>
        </w:rPr>
        <w:t>Institute of Race Relation.</w:t>
      </w:r>
      <w:r>
        <w:rPr>
          <w:rFonts w:ascii="Garamond" w:hAnsi="Garamond"/>
        </w:rPr>
        <w:t xml:space="preserve"> URL</w:t>
      </w:r>
      <w:r w:rsidR="00FF6499">
        <w:rPr>
          <w:rFonts w:ascii="Garamond" w:hAnsi="Garamond"/>
        </w:rPr>
        <w:t>:</w:t>
      </w:r>
      <w:r>
        <w:rPr>
          <w:rFonts w:ascii="Garamond" w:hAnsi="Garamond"/>
        </w:rPr>
        <w:t xml:space="preserve"> </w:t>
      </w:r>
      <w:hyperlink r:id="rId18" w:history="1">
        <w:r w:rsidRPr="001E1762">
          <w:rPr>
            <w:rStyle w:val="Hyperlink"/>
            <w:rFonts w:ascii="Garamond" w:hAnsi="Garamond"/>
          </w:rPr>
          <w:t>https://irr.org.uk/research/statistics/criminal-justice/</w:t>
        </w:r>
      </w:hyperlink>
      <w:r>
        <w:rPr>
          <w:rFonts w:ascii="Garamond" w:hAnsi="Garamond"/>
        </w:rPr>
        <w:t xml:space="preserve"> </w:t>
      </w:r>
    </w:p>
    <w:p w14:paraId="689FA9AF" w14:textId="0365E131" w:rsidR="007F2AFE" w:rsidRPr="003659C4" w:rsidRDefault="007F2AFE" w:rsidP="00197016">
      <w:pPr>
        <w:spacing w:after="120" w:line="240" w:lineRule="auto"/>
        <w:rPr>
          <w:rFonts w:ascii="Garamond" w:hAnsi="Garamond"/>
        </w:rPr>
      </w:pPr>
      <w:r w:rsidRPr="007F2AFE">
        <w:rPr>
          <w:rFonts w:ascii="Garamond" w:hAnsi="Garamond"/>
        </w:rPr>
        <w:t>Isaac</w:t>
      </w:r>
      <w:r w:rsidR="004F283A">
        <w:rPr>
          <w:rFonts w:ascii="Garamond" w:hAnsi="Garamond"/>
        </w:rPr>
        <w:t>,</w:t>
      </w:r>
      <w:r w:rsidRPr="007F2AFE">
        <w:rPr>
          <w:rFonts w:ascii="Garamond" w:hAnsi="Garamond"/>
        </w:rPr>
        <w:t xml:space="preserve"> A</w:t>
      </w:r>
      <w:r w:rsidR="004F283A">
        <w:rPr>
          <w:rFonts w:ascii="Garamond" w:hAnsi="Garamond"/>
        </w:rPr>
        <w:t>.</w:t>
      </w:r>
      <w:r w:rsidRPr="007F2AFE">
        <w:rPr>
          <w:rFonts w:ascii="Garamond" w:hAnsi="Garamond"/>
        </w:rPr>
        <w:t xml:space="preserve"> (2020)</w:t>
      </w:r>
      <w:r w:rsidR="004F283A">
        <w:rPr>
          <w:rFonts w:ascii="Garamond" w:hAnsi="Garamond"/>
        </w:rPr>
        <w:t>.</w:t>
      </w:r>
      <w:r w:rsidRPr="007F2AFE">
        <w:rPr>
          <w:rFonts w:ascii="Garamond" w:hAnsi="Garamond"/>
        </w:rPr>
        <w:t xml:space="preserve"> Investigating the association between an offender</w:t>
      </w:r>
      <w:r>
        <w:rPr>
          <w:rFonts w:ascii="Garamond" w:hAnsi="Garamond"/>
        </w:rPr>
        <w:t>’</w:t>
      </w:r>
      <w:r w:rsidRPr="007F2AFE">
        <w:rPr>
          <w:rFonts w:ascii="Garamond" w:hAnsi="Garamond"/>
        </w:rPr>
        <w:t>s sex and ethnicity and the</w:t>
      </w:r>
      <w:r>
        <w:rPr>
          <w:rFonts w:ascii="Garamond" w:hAnsi="Garamond"/>
        </w:rPr>
        <w:t xml:space="preserve"> </w:t>
      </w:r>
      <w:r w:rsidRPr="007F2AFE">
        <w:rPr>
          <w:rFonts w:ascii="Garamond" w:hAnsi="Garamond"/>
        </w:rPr>
        <w:t>sentence imposed at the Crown Court for drug offences.</w:t>
      </w:r>
      <w:r w:rsidR="003659C4">
        <w:rPr>
          <w:rFonts w:ascii="Garamond" w:hAnsi="Garamond"/>
        </w:rPr>
        <w:t xml:space="preserve"> </w:t>
      </w:r>
      <w:r w:rsidR="003659C4" w:rsidRPr="003659C4">
        <w:rPr>
          <w:rFonts w:ascii="Garamond" w:hAnsi="Garamond"/>
          <w:i/>
          <w:iCs/>
        </w:rPr>
        <w:t>Sentencing Council for England and Wales.</w:t>
      </w:r>
      <w:r w:rsidRPr="007F2AFE">
        <w:rPr>
          <w:rFonts w:ascii="Garamond" w:hAnsi="Garamond"/>
        </w:rPr>
        <w:t xml:space="preserve"> URL</w:t>
      </w:r>
      <w:r w:rsidRPr="003659C4">
        <w:rPr>
          <w:rFonts w:ascii="Garamond" w:hAnsi="Garamond"/>
        </w:rPr>
        <w:t>:</w:t>
      </w:r>
      <w:r w:rsidRPr="007F2AFE">
        <w:rPr>
          <w:rFonts w:ascii="Garamond" w:hAnsi="Garamond"/>
        </w:rPr>
        <w:t xml:space="preserve"> </w:t>
      </w:r>
      <w:hyperlink r:id="rId19" w:history="1">
        <w:r w:rsidRPr="007F2AFE">
          <w:rPr>
            <w:rStyle w:val="Hyperlink"/>
            <w:rFonts w:ascii="Garamond" w:hAnsi="Garamond"/>
          </w:rPr>
          <w:t>https://www.sentencingcouncil.org.uk/wp-content/uploads/</w:t>
        </w:r>
        <w:r w:rsidRPr="003659C4">
          <w:rPr>
            <w:rStyle w:val="Hyperlink"/>
            <w:rFonts w:ascii="Garamond" w:hAnsi="Garamond"/>
          </w:rPr>
          <w:t>Sex-and-ethnicity-analysis-final-1.pdf</w:t>
        </w:r>
      </w:hyperlink>
    </w:p>
    <w:p w14:paraId="190538FE" w14:textId="4EBA286C" w:rsidR="00CD7BA0" w:rsidRDefault="00CD7BA0" w:rsidP="00197016">
      <w:pPr>
        <w:spacing w:after="120" w:line="240" w:lineRule="auto"/>
        <w:rPr>
          <w:rFonts w:ascii="Garamond" w:hAnsi="Garamond"/>
        </w:rPr>
      </w:pPr>
      <w:r w:rsidRPr="00CD7BA0">
        <w:rPr>
          <w:rFonts w:ascii="Garamond" w:hAnsi="Garamond"/>
        </w:rPr>
        <w:t>Lammy</w:t>
      </w:r>
      <w:r w:rsidR="004F283A">
        <w:rPr>
          <w:rFonts w:ascii="Garamond" w:hAnsi="Garamond"/>
        </w:rPr>
        <w:t>,</w:t>
      </w:r>
      <w:r w:rsidRPr="00CD7BA0">
        <w:rPr>
          <w:rFonts w:ascii="Garamond" w:hAnsi="Garamond"/>
        </w:rPr>
        <w:t xml:space="preserve"> D</w:t>
      </w:r>
      <w:r w:rsidR="004F283A">
        <w:rPr>
          <w:rFonts w:ascii="Garamond" w:hAnsi="Garamond"/>
        </w:rPr>
        <w:t>.</w:t>
      </w:r>
      <w:r w:rsidRPr="00CD7BA0">
        <w:rPr>
          <w:rFonts w:ascii="Garamond" w:hAnsi="Garamond"/>
        </w:rPr>
        <w:t xml:space="preserve"> (2017)</w:t>
      </w:r>
      <w:r w:rsidR="004F283A">
        <w:rPr>
          <w:rFonts w:ascii="Garamond" w:hAnsi="Garamond"/>
        </w:rPr>
        <w:t>.</w:t>
      </w:r>
      <w:r w:rsidRPr="00CD7BA0">
        <w:rPr>
          <w:rFonts w:ascii="Garamond" w:hAnsi="Garamond"/>
        </w:rPr>
        <w:t xml:space="preserve"> The Lammy Review: An independent review into the treatment of, and outcomes</w:t>
      </w:r>
      <w:r>
        <w:rPr>
          <w:rFonts w:ascii="Garamond" w:hAnsi="Garamond"/>
        </w:rPr>
        <w:t xml:space="preserve"> </w:t>
      </w:r>
      <w:r w:rsidRPr="00CD7BA0">
        <w:rPr>
          <w:rFonts w:ascii="Garamond" w:hAnsi="Garamond"/>
        </w:rPr>
        <w:t>for, Black, Asian and Minority Ethnic individuals in the Criminal Justice system. Her Majesty</w:t>
      </w:r>
      <w:r>
        <w:rPr>
          <w:rFonts w:ascii="Garamond" w:hAnsi="Garamond"/>
        </w:rPr>
        <w:t xml:space="preserve">’s </w:t>
      </w:r>
      <w:r w:rsidRPr="00CD7BA0">
        <w:rPr>
          <w:rFonts w:ascii="Garamond" w:hAnsi="Garamond"/>
        </w:rPr>
        <w:t>Government</w:t>
      </w:r>
      <w:r>
        <w:rPr>
          <w:rFonts w:ascii="Garamond" w:hAnsi="Garamond"/>
        </w:rPr>
        <w:t>.</w:t>
      </w:r>
      <w:r w:rsidRPr="00CD7BA0">
        <w:rPr>
          <w:rFonts w:ascii="Garamond" w:hAnsi="Garamond"/>
        </w:rPr>
        <w:t xml:space="preserve"> URL</w:t>
      </w:r>
      <w:r>
        <w:rPr>
          <w:rFonts w:ascii="Garamond" w:hAnsi="Garamond"/>
        </w:rPr>
        <w:t>:</w:t>
      </w:r>
      <w:r w:rsidRPr="00CD7BA0">
        <w:rPr>
          <w:rFonts w:ascii="Garamond" w:hAnsi="Garamond"/>
        </w:rPr>
        <w:t xml:space="preserve"> </w:t>
      </w:r>
      <w:hyperlink r:id="rId20" w:history="1">
        <w:r w:rsidRPr="002B0273">
          <w:rPr>
            <w:rStyle w:val="Hyperlink"/>
            <w:rFonts w:ascii="Garamond" w:hAnsi="Garamond"/>
          </w:rPr>
          <w:t>https://www.gov.uk/government/publications/lammy-review-final-report</w:t>
        </w:r>
      </w:hyperlink>
      <w:r>
        <w:rPr>
          <w:rFonts w:ascii="Garamond" w:hAnsi="Garamond"/>
        </w:rPr>
        <w:t xml:space="preserve"> </w:t>
      </w:r>
    </w:p>
    <w:p w14:paraId="3C7A0361" w14:textId="2F64BA8A" w:rsidR="007F2AFE" w:rsidRDefault="007F2AFE" w:rsidP="00197016">
      <w:pPr>
        <w:spacing w:after="120" w:line="240" w:lineRule="auto"/>
        <w:rPr>
          <w:rFonts w:ascii="Garamond" w:hAnsi="Garamond"/>
        </w:rPr>
      </w:pPr>
      <w:r w:rsidRPr="007F2AFE">
        <w:rPr>
          <w:rFonts w:ascii="Garamond" w:hAnsi="Garamond"/>
        </w:rPr>
        <w:t xml:space="preserve">Lymperopoulou, K. (2024). Ethnic inequalities in sentencing: Evidence from the </w:t>
      </w:r>
      <w:r w:rsidR="00EA7130">
        <w:rPr>
          <w:rFonts w:ascii="Garamond" w:hAnsi="Garamond"/>
        </w:rPr>
        <w:t>C</w:t>
      </w:r>
      <w:r w:rsidRPr="007F2AFE">
        <w:rPr>
          <w:rFonts w:ascii="Garamond" w:hAnsi="Garamond"/>
        </w:rPr>
        <w:t xml:space="preserve">rown </w:t>
      </w:r>
      <w:r w:rsidR="00EA7130">
        <w:rPr>
          <w:rFonts w:ascii="Garamond" w:hAnsi="Garamond"/>
        </w:rPr>
        <w:t>C</w:t>
      </w:r>
      <w:r w:rsidRPr="007F2AFE">
        <w:rPr>
          <w:rFonts w:ascii="Garamond" w:hAnsi="Garamond"/>
        </w:rPr>
        <w:t xml:space="preserve">ourt in England and Wales. </w:t>
      </w:r>
      <w:r w:rsidRPr="003659C4">
        <w:rPr>
          <w:rFonts w:ascii="Garamond" w:hAnsi="Garamond"/>
          <w:i/>
          <w:iCs/>
        </w:rPr>
        <w:t>The British Journal of Criminology</w:t>
      </w:r>
      <w:r w:rsidRPr="007F2AFE">
        <w:rPr>
          <w:rFonts w:ascii="Garamond" w:hAnsi="Garamond"/>
        </w:rPr>
        <w:t xml:space="preserve">, </w:t>
      </w:r>
      <w:r>
        <w:rPr>
          <w:rFonts w:ascii="Garamond" w:hAnsi="Garamond"/>
        </w:rPr>
        <w:t xml:space="preserve">64(5), 1189-1210. URL: </w:t>
      </w:r>
      <w:hyperlink r:id="rId21" w:history="1">
        <w:r w:rsidRPr="002B0273">
          <w:rPr>
            <w:rStyle w:val="Hyperlink"/>
            <w:rFonts w:ascii="Garamond" w:hAnsi="Garamond"/>
          </w:rPr>
          <w:t>https://academic.oup.com/bjc/article/64/5/1189/7612940</w:t>
        </w:r>
      </w:hyperlink>
    </w:p>
    <w:p w14:paraId="33860847" w14:textId="4ACA7303" w:rsidR="00A53472" w:rsidRDefault="00A53472" w:rsidP="00197016">
      <w:pPr>
        <w:spacing w:after="120" w:line="240" w:lineRule="auto"/>
        <w:rPr>
          <w:rFonts w:ascii="Garamond" w:hAnsi="Garamond"/>
        </w:rPr>
      </w:pPr>
      <w:r>
        <w:rPr>
          <w:rFonts w:ascii="Garamond" w:hAnsi="Garamond"/>
        </w:rPr>
        <w:t xml:space="preserve">Ministry of Justice (2024). </w:t>
      </w:r>
      <w:r w:rsidRPr="00A53472">
        <w:rPr>
          <w:rFonts w:ascii="Garamond" w:hAnsi="Garamond"/>
        </w:rPr>
        <w:t>Statistics on Ethnicity and the Criminal Justice System, 2022</w:t>
      </w:r>
      <w:r>
        <w:rPr>
          <w:rFonts w:ascii="Garamond" w:hAnsi="Garamond"/>
        </w:rPr>
        <w:t xml:space="preserve">. URL: </w:t>
      </w:r>
      <w:hyperlink r:id="rId22" w:history="1">
        <w:r w:rsidRPr="008F64A5">
          <w:rPr>
            <w:rStyle w:val="Hyperlink"/>
            <w:rFonts w:ascii="Garamond" w:hAnsi="Garamond"/>
          </w:rPr>
          <w:t>https://www.gov.uk/government/statistics/ethnicity-and-the-criminal-justice-system-2022/statistics-on-ethnicity-and-the-criminal-justice-system-2022-html</w:t>
        </w:r>
      </w:hyperlink>
    </w:p>
    <w:p w14:paraId="4300C4F6" w14:textId="047B2994" w:rsidR="004F283A" w:rsidRDefault="004F283A" w:rsidP="00197016">
      <w:pPr>
        <w:spacing w:after="120" w:line="240" w:lineRule="auto"/>
        <w:rPr>
          <w:rFonts w:ascii="Garamond" w:hAnsi="Garamond"/>
        </w:rPr>
      </w:pPr>
      <w:r w:rsidRPr="004F283A">
        <w:rPr>
          <w:rFonts w:ascii="Garamond" w:hAnsi="Garamond"/>
        </w:rPr>
        <w:t>Monteith,</w:t>
      </w:r>
      <w:r w:rsidR="00A53472">
        <w:rPr>
          <w:rFonts w:ascii="Garamond" w:hAnsi="Garamond"/>
        </w:rPr>
        <w:t xml:space="preserve"> K.,</w:t>
      </w:r>
      <w:r w:rsidRPr="004F283A">
        <w:rPr>
          <w:rFonts w:ascii="Garamond" w:hAnsi="Garamond"/>
        </w:rPr>
        <w:t xml:space="preserve"> Quinn,</w:t>
      </w:r>
      <w:r w:rsidR="00A53472">
        <w:rPr>
          <w:rFonts w:ascii="Garamond" w:hAnsi="Garamond"/>
        </w:rPr>
        <w:t xml:space="preserve"> E.,</w:t>
      </w:r>
      <w:r w:rsidRPr="004F283A">
        <w:rPr>
          <w:rFonts w:ascii="Garamond" w:hAnsi="Garamond"/>
        </w:rPr>
        <w:t xml:space="preserve"> Dennis,</w:t>
      </w:r>
      <w:r w:rsidR="00A53472">
        <w:rPr>
          <w:rFonts w:ascii="Garamond" w:hAnsi="Garamond"/>
        </w:rPr>
        <w:t xml:space="preserve"> A.,</w:t>
      </w:r>
      <w:r w:rsidRPr="004F283A">
        <w:rPr>
          <w:rFonts w:ascii="Garamond" w:hAnsi="Garamond"/>
        </w:rPr>
        <w:t xml:space="preserve"> Joseph-Salisbury,</w:t>
      </w:r>
      <w:r w:rsidR="00A53472">
        <w:rPr>
          <w:rFonts w:ascii="Garamond" w:hAnsi="Garamond"/>
        </w:rPr>
        <w:t xml:space="preserve"> R.,</w:t>
      </w:r>
      <w:r>
        <w:rPr>
          <w:rFonts w:ascii="Garamond" w:hAnsi="Garamond"/>
        </w:rPr>
        <w:t xml:space="preserve"> </w:t>
      </w:r>
      <w:r w:rsidRPr="004F283A">
        <w:rPr>
          <w:rFonts w:ascii="Garamond" w:hAnsi="Garamond"/>
        </w:rPr>
        <w:t>Kane,</w:t>
      </w:r>
      <w:r w:rsidR="00A53472">
        <w:rPr>
          <w:rFonts w:ascii="Garamond" w:hAnsi="Garamond"/>
        </w:rPr>
        <w:t xml:space="preserve"> E.,</w:t>
      </w:r>
      <w:r w:rsidRPr="004F283A">
        <w:rPr>
          <w:rFonts w:ascii="Garamond" w:hAnsi="Garamond"/>
        </w:rPr>
        <w:t xml:space="preserve"> Addo</w:t>
      </w:r>
      <w:r>
        <w:rPr>
          <w:rFonts w:ascii="Garamond" w:hAnsi="Garamond"/>
        </w:rPr>
        <w:t>,</w:t>
      </w:r>
      <w:r w:rsidR="00A53472">
        <w:rPr>
          <w:rFonts w:ascii="Garamond" w:hAnsi="Garamond"/>
        </w:rPr>
        <w:t xml:space="preserve"> F.,</w:t>
      </w:r>
      <w:r>
        <w:rPr>
          <w:rFonts w:ascii="Garamond" w:hAnsi="Garamond"/>
        </w:rPr>
        <w:t xml:space="preserve"> &amp;</w:t>
      </w:r>
      <w:r w:rsidRPr="004F283A">
        <w:rPr>
          <w:rFonts w:ascii="Garamond" w:hAnsi="Garamond"/>
        </w:rPr>
        <w:t xml:space="preserve"> McGourlay</w:t>
      </w:r>
      <w:r w:rsidR="00A53472">
        <w:rPr>
          <w:rFonts w:ascii="Garamond" w:hAnsi="Garamond"/>
        </w:rPr>
        <w:t>, C</w:t>
      </w:r>
      <w:r>
        <w:rPr>
          <w:rFonts w:ascii="Garamond" w:hAnsi="Garamond"/>
        </w:rPr>
        <w:t xml:space="preserve">. (2022). </w:t>
      </w:r>
      <w:r w:rsidRPr="004F283A">
        <w:rPr>
          <w:rFonts w:ascii="Garamond" w:hAnsi="Garamond"/>
        </w:rPr>
        <w:t>Racial Bias and the</w:t>
      </w:r>
      <w:r>
        <w:rPr>
          <w:rFonts w:ascii="Garamond" w:hAnsi="Garamond"/>
        </w:rPr>
        <w:t xml:space="preserve"> </w:t>
      </w:r>
      <w:r w:rsidRPr="004F283A">
        <w:rPr>
          <w:rFonts w:ascii="Garamond" w:hAnsi="Garamond"/>
        </w:rPr>
        <w:t>Bench: A response to the Judicial Diversity and Inclusion</w:t>
      </w:r>
      <w:r>
        <w:rPr>
          <w:rFonts w:ascii="Garamond" w:hAnsi="Garamond"/>
        </w:rPr>
        <w:t xml:space="preserve"> </w:t>
      </w:r>
      <w:r w:rsidRPr="004F283A">
        <w:rPr>
          <w:rFonts w:ascii="Garamond" w:hAnsi="Garamond"/>
        </w:rPr>
        <w:t>Strategy (2020-2025)</w:t>
      </w:r>
      <w:r>
        <w:rPr>
          <w:rFonts w:ascii="Garamond" w:hAnsi="Garamond"/>
        </w:rPr>
        <w:t xml:space="preserve">. </w:t>
      </w:r>
      <w:r w:rsidRPr="004F283A">
        <w:rPr>
          <w:rFonts w:ascii="Garamond" w:hAnsi="Garamond"/>
          <w:i/>
          <w:iCs/>
        </w:rPr>
        <w:t>University of Manchester.</w:t>
      </w:r>
      <w:r>
        <w:rPr>
          <w:rFonts w:ascii="Garamond" w:hAnsi="Garamond"/>
          <w:i/>
          <w:iCs/>
        </w:rPr>
        <w:t xml:space="preserve"> </w:t>
      </w:r>
      <w:r>
        <w:rPr>
          <w:rFonts w:ascii="Garamond" w:hAnsi="Garamond"/>
        </w:rPr>
        <w:t xml:space="preserve">URL: </w:t>
      </w:r>
      <w:hyperlink r:id="rId23" w:history="1">
        <w:r w:rsidR="00EA7130" w:rsidRPr="00F103E7">
          <w:rPr>
            <w:rStyle w:val="Hyperlink"/>
            <w:rFonts w:ascii="Garamond" w:hAnsi="Garamond"/>
          </w:rPr>
          <w:t>https://documents.manchester.ac.uk/display.aspx?DocID=64125</w:t>
        </w:r>
      </w:hyperlink>
    </w:p>
    <w:p w14:paraId="53BACE39" w14:textId="4D63F3FE" w:rsidR="006D323B" w:rsidRDefault="006D323B" w:rsidP="00197016">
      <w:pPr>
        <w:spacing w:after="120" w:line="240" w:lineRule="auto"/>
        <w:rPr>
          <w:rFonts w:ascii="Garamond" w:hAnsi="Garamond"/>
        </w:rPr>
      </w:pPr>
      <w:r>
        <w:rPr>
          <w:rFonts w:ascii="Garamond" w:hAnsi="Garamond"/>
        </w:rPr>
        <w:t xml:space="preserve">Nielson, A. (2017). </w:t>
      </w:r>
      <w:r w:rsidRPr="006D323B">
        <w:rPr>
          <w:rFonts w:ascii="Garamond" w:hAnsi="Garamond"/>
        </w:rPr>
        <w:t>‘Explain or reform’: Howard League responds to Lammy Review</w:t>
      </w:r>
      <w:r>
        <w:rPr>
          <w:rFonts w:ascii="Garamond" w:hAnsi="Garamond"/>
        </w:rPr>
        <w:t xml:space="preserve">. </w:t>
      </w:r>
      <w:r w:rsidRPr="006D323B">
        <w:rPr>
          <w:rFonts w:ascii="Garamond" w:hAnsi="Garamond"/>
          <w:i/>
          <w:iCs/>
        </w:rPr>
        <w:t>Howard League</w:t>
      </w:r>
      <w:r>
        <w:rPr>
          <w:rFonts w:ascii="Garamond" w:hAnsi="Garamond"/>
        </w:rPr>
        <w:t xml:space="preserve">. URL: </w:t>
      </w:r>
      <w:hyperlink r:id="rId24" w:history="1">
        <w:r w:rsidRPr="00485952">
          <w:rPr>
            <w:rStyle w:val="Hyperlink"/>
            <w:rFonts w:ascii="Garamond" w:hAnsi="Garamond"/>
          </w:rPr>
          <w:t>https://howardleague.org/news/explain-or-reform-howard-league-responds-to-lammy-review/</w:t>
        </w:r>
      </w:hyperlink>
    </w:p>
    <w:p w14:paraId="11C9203F" w14:textId="72588734" w:rsidR="009E08F1" w:rsidRPr="001809F3" w:rsidRDefault="009E08F1" w:rsidP="00197016">
      <w:pPr>
        <w:spacing w:after="120" w:line="240" w:lineRule="auto"/>
        <w:rPr>
          <w:rFonts w:ascii="Garamond" w:hAnsi="Garamond"/>
          <w:lang w:val="es-ES"/>
        </w:rPr>
      </w:pPr>
      <w:r w:rsidRPr="0026142E">
        <w:rPr>
          <w:rFonts w:ascii="Garamond" w:hAnsi="Garamond"/>
          <w:lang w:val="it-IT"/>
        </w:rPr>
        <w:t xml:space="preserve">Pina-Sánchez, J., Dhami, M., </w:t>
      </w:r>
      <w:r w:rsidR="004F283A" w:rsidRPr="0026142E">
        <w:rPr>
          <w:rFonts w:ascii="Garamond" w:hAnsi="Garamond"/>
          <w:lang w:val="it-IT"/>
        </w:rPr>
        <w:t>&amp;</w:t>
      </w:r>
      <w:r w:rsidRPr="0026142E">
        <w:rPr>
          <w:rFonts w:ascii="Garamond" w:hAnsi="Garamond"/>
          <w:lang w:val="it-IT"/>
        </w:rPr>
        <w:t xml:space="preserve"> Gosling, J. P. (2024</w:t>
      </w:r>
      <w:r w:rsidR="00B41E81" w:rsidRPr="0026142E">
        <w:rPr>
          <w:rFonts w:ascii="Garamond" w:hAnsi="Garamond"/>
          <w:lang w:val="it-IT"/>
        </w:rPr>
        <w:t>a</w:t>
      </w:r>
      <w:r w:rsidRPr="0026142E">
        <w:rPr>
          <w:rFonts w:ascii="Garamond" w:hAnsi="Garamond"/>
          <w:lang w:val="it-IT"/>
        </w:rPr>
        <w:t xml:space="preserve">). </w:t>
      </w:r>
      <w:r w:rsidR="00FD3383" w:rsidRPr="00FD3383">
        <w:rPr>
          <w:rFonts w:ascii="Garamond" w:hAnsi="Garamond"/>
        </w:rPr>
        <w:t>Which are the main characteristics determining sentence severity? An empirical exploration of shoplifting offences using spike-and-slab models</w:t>
      </w:r>
      <w:r w:rsidR="00FD3383">
        <w:rPr>
          <w:rFonts w:ascii="Garamond" w:hAnsi="Garamond"/>
        </w:rPr>
        <w:t>.</w:t>
      </w:r>
      <w:r w:rsidRPr="009E08F1">
        <w:rPr>
          <w:rFonts w:ascii="Garamond" w:hAnsi="Garamond"/>
        </w:rPr>
        <w:t xml:space="preserve"> In</w:t>
      </w:r>
      <w:r>
        <w:rPr>
          <w:rFonts w:ascii="Garamond" w:hAnsi="Garamond"/>
        </w:rPr>
        <w:t xml:space="preserve"> </w:t>
      </w:r>
      <w:r w:rsidRPr="009E08F1">
        <w:rPr>
          <w:rFonts w:ascii="Garamond" w:hAnsi="Garamond"/>
        </w:rPr>
        <w:t xml:space="preserve">Fix, M. P. and Montgomery, M., editors, </w:t>
      </w:r>
      <w:r w:rsidRPr="009E08F1">
        <w:rPr>
          <w:rFonts w:ascii="Garamond" w:hAnsi="Garamond"/>
          <w:i/>
          <w:iCs/>
        </w:rPr>
        <w:t>Research Handbook on Judicial Politics</w:t>
      </w:r>
      <w:r w:rsidRPr="009E08F1">
        <w:rPr>
          <w:rFonts w:ascii="Garamond" w:hAnsi="Garamond"/>
        </w:rPr>
        <w:t>,</w:t>
      </w:r>
      <w:r>
        <w:rPr>
          <w:rFonts w:ascii="Garamond" w:hAnsi="Garamond"/>
        </w:rPr>
        <w:t xml:space="preserve"> </w:t>
      </w:r>
      <w:r w:rsidRPr="009E08F1">
        <w:rPr>
          <w:rFonts w:ascii="Garamond" w:hAnsi="Garamond"/>
        </w:rPr>
        <w:t xml:space="preserve">pages 450–464. </w:t>
      </w:r>
      <w:r w:rsidRPr="009E08F1">
        <w:rPr>
          <w:rFonts w:ascii="Garamond" w:hAnsi="Garamond"/>
          <w:lang w:val="es-ES"/>
        </w:rPr>
        <w:t xml:space="preserve">Edward Elgar. </w:t>
      </w:r>
      <w:r w:rsidRPr="001809F3">
        <w:rPr>
          <w:rFonts w:ascii="Garamond" w:hAnsi="Garamond"/>
          <w:lang w:val="es-ES"/>
        </w:rPr>
        <w:t xml:space="preserve">URL: </w:t>
      </w:r>
      <w:hyperlink r:id="rId25" w:history="1">
        <w:r w:rsidRPr="001809F3">
          <w:rPr>
            <w:rStyle w:val="Hyperlink"/>
            <w:rFonts w:ascii="Garamond" w:hAnsi="Garamond"/>
            <w:lang w:val="es-ES"/>
          </w:rPr>
          <w:t>https://www.e-elgar.com/shop/gbp/research-handbook-on-judicial-politics-9781035309313.html?srsltid=AfmBOoqWhcMQP1PxgW0jVICArFQ875-KvayYthP176uIUxEkCCyQU_Tw</w:t>
        </w:r>
      </w:hyperlink>
    </w:p>
    <w:p w14:paraId="75E5EA02" w14:textId="4947CFB9" w:rsidR="00BB77A9" w:rsidRPr="0026142E" w:rsidRDefault="00BB77A9" w:rsidP="00197016">
      <w:pPr>
        <w:spacing w:after="120" w:line="240" w:lineRule="auto"/>
        <w:rPr>
          <w:rFonts w:ascii="Garamond" w:hAnsi="Garamond"/>
          <w:lang w:val="it-IT"/>
        </w:rPr>
      </w:pPr>
      <w:r w:rsidRPr="00197016">
        <w:rPr>
          <w:rFonts w:ascii="Garamond" w:hAnsi="Garamond"/>
          <w:lang w:val="es-ES"/>
        </w:rPr>
        <w:t>Pina-Sánchez, J.</w:t>
      </w:r>
      <w:r w:rsidR="00EA7130" w:rsidRPr="00197016">
        <w:rPr>
          <w:rFonts w:ascii="Garamond" w:hAnsi="Garamond"/>
          <w:lang w:val="es-ES"/>
        </w:rPr>
        <w:t>,</w:t>
      </w:r>
      <w:r w:rsidRPr="00197016">
        <w:rPr>
          <w:rFonts w:ascii="Garamond" w:hAnsi="Garamond"/>
          <w:lang w:val="es-ES"/>
        </w:rPr>
        <w:t xml:space="preserve"> </w:t>
      </w:r>
      <w:r w:rsidR="00EA7130" w:rsidRPr="00197016">
        <w:rPr>
          <w:rFonts w:ascii="Garamond" w:hAnsi="Garamond"/>
          <w:lang w:val="es-ES"/>
        </w:rPr>
        <w:t>&amp;</w:t>
      </w:r>
      <w:r w:rsidRPr="00197016">
        <w:rPr>
          <w:rFonts w:ascii="Garamond" w:hAnsi="Garamond"/>
          <w:lang w:val="es-ES"/>
        </w:rPr>
        <w:t xml:space="preserve"> Hamilton, M. (2024</w:t>
      </w:r>
      <w:r w:rsidR="00B41E81">
        <w:rPr>
          <w:rFonts w:ascii="Garamond" w:hAnsi="Garamond"/>
          <w:lang w:val="es-ES"/>
        </w:rPr>
        <w:t>b</w:t>
      </w:r>
      <w:r w:rsidRPr="00197016">
        <w:rPr>
          <w:rFonts w:ascii="Garamond" w:hAnsi="Garamond"/>
          <w:lang w:val="es-ES"/>
        </w:rPr>
        <w:t xml:space="preserve">). </w:t>
      </w:r>
      <w:r w:rsidRPr="00BB77A9">
        <w:rPr>
          <w:rFonts w:ascii="Garamond" w:hAnsi="Garamond"/>
        </w:rPr>
        <w:t>Modelling unwarranted disparities in sentencing:</w:t>
      </w:r>
      <w:r>
        <w:rPr>
          <w:rFonts w:ascii="Garamond" w:hAnsi="Garamond"/>
        </w:rPr>
        <w:t xml:space="preserve"> </w:t>
      </w:r>
      <w:r w:rsidRPr="00BB77A9">
        <w:rPr>
          <w:rFonts w:ascii="Garamond" w:hAnsi="Garamond"/>
        </w:rPr>
        <w:t>Distinguishing between go</w:t>
      </w:r>
      <w:r w:rsidR="00CF25C8">
        <w:rPr>
          <w:rFonts w:ascii="Garamond" w:hAnsi="Garamond"/>
        </w:rPr>
        <w:t>o</w:t>
      </w:r>
      <w:r w:rsidRPr="00BB77A9">
        <w:rPr>
          <w:rFonts w:ascii="Garamond" w:hAnsi="Garamond"/>
        </w:rPr>
        <w:t>d and bad controls.</w:t>
      </w:r>
      <w:r>
        <w:rPr>
          <w:rFonts w:ascii="Garamond" w:hAnsi="Garamond"/>
        </w:rPr>
        <w:t xml:space="preserve"> </w:t>
      </w:r>
      <w:r w:rsidRPr="0026142E">
        <w:rPr>
          <w:rFonts w:ascii="Garamond" w:hAnsi="Garamond"/>
          <w:i/>
          <w:iCs/>
          <w:lang w:val="it-IT"/>
        </w:rPr>
        <w:t>SocArXiv</w:t>
      </w:r>
      <w:r w:rsidRPr="0026142E">
        <w:rPr>
          <w:rFonts w:ascii="Garamond" w:hAnsi="Garamond"/>
          <w:lang w:val="it-IT"/>
        </w:rPr>
        <w:t xml:space="preserve">. URL: </w:t>
      </w:r>
      <w:hyperlink r:id="rId26" w:history="1">
        <w:r w:rsidRPr="0026142E">
          <w:rPr>
            <w:rStyle w:val="Hyperlink"/>
            <w:rFonts w:ascii="Garamond" w:hAnsi="Garamond"/>
            <w:lang w:val="it-IT"/>
          </w:rPr>
          <w:t>https://osf.io/preprints/socarxiv/ymzsv</w:t>
        </w:r>
      </w:hyperlink>
    </w:p>
    <w:p w14:paraId="5D99E4B0" w14:textId="3FF8ED49" w:rsidR="00421EF0" w:rsidRPr="00DD264C" w:rsidRDefault="00421EF0" w:rsidP="00197016">
      <w:pPr>
        <w:spacing w:after="120" w:line="240" w:lineRule="auto"/>
        <w:rPr>
          <w:rFonts w:ascii="Garamond" w:hAnsi="Garamond"/>
        </w:rPr>
      </w:pPr>
      <w:r w:rsidRPr="0026142E">
        <w:rPr>
          <w:rFonts w:ascii="Garamond" w:hAnsi="Garamond"/>
          <w:lang w:val="it-IT"/>
        </w:rPr>
        <w:t>Pina-Sánchez, J., Morales, A., Guilfoyle, E., Veiga, A., &amp; Geneletti, S. (202</w:t>
      </w:r>
      <w:r w:rsidR="00333633" w:rsidRPr="0026142E">
        <w:rPr>
          <w:rFonts w:ascii="Garamond" w:hAnsi="Garamond"/>
          <w:lang w:val="it-IT"/>
        </w:rPr>
        <w:t>5</w:t>
      </w:r>
      <w:r w:rsidRPr="0026142E">
        <w:rPr>
          <w:rFonts w:ascii="Garamond" w:hAnsi="Garamond"/>
          <w:lang w:val="it-IT"/>
        </w:rPr>
        <w:t xml:space="preserve">). </w:t>
      </w:r>
      <w:r w:rsidRPr="00421EF0">
        <w:rPr>
          <w:rFonts w:ascii="Garamond" w:hAnsi="Garamond"/>
        </w:rPr>
        <w:t xml:space="preserve">Testing the </w:t>
      </w:r>
      <w:r w:rsidR="00EA7130">
        <w:rPr>
          <w:rFonts w:ascii="Garamond" w:hAnsi="Garamond"/>
        </w:rPr>
        <w:t>i</w:t>
      </w:r>
      <w:r w:rsidRPr="00421EF0">
        <w:rPr>
          <w:rFonts w:ascii="Garamond" w:hAnsi="Garamond"/>
        </w:rPr>
        <w:t xml:space="preserve">nterrelationship between </w:t>
      </w:r>
      <w:r w:rsidR="00EA7130">
        <w:rPr>
          <w:rFonts w:ascii="Garamond" w:hAnsi="Garamond"/>
        </w:rPr>
        <w:t>a</w:t>
      </w:r>
      <w:r w:rsidRPr="00421EF0">
        <w:rPr>
          <w:rFonts w:ascii="Garamond" w:hAnsi="Garamond"/>
        </w:rPr>
        <w:t xml:space="preserve">rea </w:t>
      </w:r>
      <w:r w:rsidR="00EA7130">
        <w:rPr>
          <w:rFonts w:ascii="Garamond" w:hAnsi="Garamond"/>
        </w:rPr>
        <w:t>d</w:t>
      </w:r>
      <w:r w:rsidRPr="00421EF0">
        <w:rPr>
          <w:rFonts w:ascii="Garamond" w:hAnsi="Garamond"/>
        </w:rPr>
        <w:t xml:space="preserve">eprivation and </w:t>
      </w:r>
      <w:r w:rsidR="00EA7130">
        <w:rPr>
          <w:rFonts w:ascii="Garamond" w:hAnsi="Garamond"/>
        </w:rPr>
        <w:t>e</w:t>
      </w:r>
      <w:r w:rsidRPr="00421EF0">
        <w:rPr>
          <w:rFonts w:ascii="Garamond" w:hAnsi="Garamond"/>
        </w:rPr>
        <w:t xml:space="preserve">thnic </w:t>
      </w:r>
      <w:r w:rsidR="00EA7130">
        <w:rPr>
          <w:rFonts w:ascii="Garamond" w:hAnsi="Garamond"/>
        </w:rPr>
        <w:t>d</w:t>
      </w:r>
      <w:r w:rsidRPr="00421EF0">
        <w:rPr>
          <w:rFonts w:ascii="Garamond" w:hAnsi="Garamond"/>
        </w:rPr>
        <w:t xml:space="preserve">isparities in </w:t>
      </w:r>
      <w:r w:rsidR="00EA7130">
        <w:rPr>
          <w:rFonts w:ascii="Garamond" w:hAnsi="Garamond"/>
        </w:rPr>
        <w:t>s</w:t>
      </w:r>
      <w:r w:rsidRPr="00421EF0">
        <w:rPr>
          <w:rFonts w:ascii="Garamond" w:hAnsi="Garamond"/>
        </w:rPr>
        <w:t xml:space="preserve">entencing. </w:t>
      </w:r>
      <w:r w:rsidR="00333633" w:rsidRPr="00333633">
        <w:rPr>
          <w:rFonts w:ascii="Garamond" w:hAnsi="Garamond"/>
          <w:i/>
          <w:iCs/>
        </w:rPr>
        <w:t>Analyses of Social Issues and Public Policy</w:t>
      </w:r>
      <w:r w:rsidRPr="00DD264C">
        <w:rPr>
          <w:rFonts w:ascii="Garamond" w:hAnsi="Garamond"/>
        </w:rPr>
        <w:t xml:space="preserve">. URL: </w:t>
      </w:r>
      <w:r w:rsidR="00333633" w:rsidRPr="00333633">
        <w:rPr>
          <w:rStyle w:val="Hyperlink"/>
          <w:rFonts w:ascii="Garamond" w:hAnsi="Garamond"/>
        </w:rPr>
        <w:t>https://spssi.onlinelibrary.wiley.com/doi/10.1111/asap.12446</w:t>
      </w:r>
    </w:p>
    <w:p w14:paraId="6E74C225" w14:textId="1276A9DF" w:rsidR="009E08F1" w:rsidRDefault="009E08F1" w:rsidP="00197016">
      <w:pPr>
        <w:spacing w:after="120" w:line="240" w:lineRule="auto"/>
        <w:rPr>
          <w:rFonts w:ascii="Garamond" w:hAnsi="Garamond"/>
        </w:rPr>
      </w:pPr>
      <w:r w:rsidRPr="00197016">
        <w:rPr>
          <w:rFonts w:ascii="Garamond" w:hAnsi="Garamond"/>
          <w:lang w:val="es-ES"/>
        </w:rPr>
        <w:t>Pina-Sánchez, J.</w:t>
      </w:r>
      <w:r w:rsidR="00EA7130" w:rsidRPr="00197016">
        <w:rPr>
          <w:rFonts w:ascii="Garamond" w:hAnsi="Garamond"/>
          <w:lang w:val="es-ES"/>
        </w:rPr>
        <w:t>, &amp;</w:t>
      </w:r>
      <w:r w:rsidRPr="00197016">
        <w:rPr>
          <w:rFonts w:ascii="Garamond" w:hAnsi="Garamond"/>
          <w:lang w:val="es-ES"/>
        </w:rPr>
        <w:t xml:space="preserve"> Tura, F. (202</w:t>
      </w:r>
      <w:r w:rsidR="00B41E81">
        <w:rPr>
          <w:rFonts w:ascii="Garamond" w:hAnsi="Garamond"/>
          <w:lang w:val="es-ES"/>
        </w:rPr>
        <w:t>4</w:t>
      </w:r>
      <w:r w:rsidR="00333633">
        <w:rPr>
          <w:rFonts w:ascii="Garamond" w:hAnsi="Garamond"/>
          <w:lang w:val="es-ES"/>
        </w:rPr>
        <w:t>c</w:t>
      </w:r>
      <w:r w:rsidRPr="00197016">
        <w:rPr>
          <w:rFonts w:ascii="Garamond" w:hAnsi="Garamond"/>
          <w:lang w:val="es-ES"/>
        </w:rPr>
        <w:t xml:space="preserve">). </w:t>
      </w:r>
      <w:r w:rsidRPr="009E08F1">
        <w:rPr>
          <w:rFonts w:ascii="Garamond" w:hAnsi="Garamond"/>
        </w:rPr>
        <w:t>Intersectional disparities in sentencing: An application</w:t>
      </w:r>
      <w:r>
        <w:rPr>
          <w:rFonts w:ascii="Garamond" w:hAnsi="Garamond"/>
        </w:rPr>
        <w:t xml:space="preserve"> </w:t>
      </w:r>
      <w:r w:rsidRPr="009E08F1">
        <w:rPr>
          <w:rFonts w:ascii="Garamond" w:hAnsi="Garamond"/>
        </w:rPr>
        <w:t>of MAIHDA to Federal Courts data.</w:t>
      </w:r>
      <w:r>
        <w:rPr>
          <w:rFonts w:ascii="Garamond" w:hAnsi="Garamond"/>
        </w:rPr>
        <w:t xml:space="preserve"> </w:t>
      </w:r>
      <w:proofErr w:type="spellStart"/>
      <w:r w:rsidRPr="00421EF0">
        <w:rPr>
          <w:rFonts w:ascii="Garamond" w:hAnsi="Garamond"/>
          <w:i/>
          <w:iCs/>
        </w:rPr>
        <w:t>CrimRxiv</w:t>
      </w:r>
      <w:proofErr w:type="spellEnd"/>
      <w:r w:rsidRPr="00421EF0">
        <w:rPr>
          <w:rFonts w:ascii="Garamond" w:hAnsi="Garamond"/>
        </w:rPr>
        <w:t>.</w:t>
      </w:r>
      <w:r>
        <w:rPr>
          <w:rFonts w:ascii="Garamond" w:hAnsi="Garamond"/>
        </w:rPr>
        <w:t xml:space="preserve"> URL: </w:t>
      </w:r>
      <w:hyperlink r:id="rId27" w:history="1">
        <w:r w:rsidRPr="002B0273">
          <w:rPr>
            <w:rStyle w:val="Hyperlink"/>
            <w:rFonts w:ascii="Garamond" w:hAnsi="Garamond"/>
          </w:rPr>
          <w:t>https://www.crimrxiv.com/pub/9pmllz74/release/1</w:t>
        </w:r>
      </w:hyperlink>
    </w:p>
    <w:p w14:paraId="3D8BF1C2" w14:textId="1716F213" w:rsidR="00411BB6" w:rsidRDefault="00411BB6" w:rsidP="00197016">
      <w:pPr>
        <w:spacing w:after="120" w:line="240" w:lineRule="auto"/>
        <w:rPr>
          <w:rStyle w:val="Hyperlink"/>
          <w:rFonts w:ascii="Garamond" w:hAnsi="Garamond"/>
        </w:rPr>
      </w:pPr>
      <w:r>
        <w:rPr>
          <w:rFonts w:ascii="Garamond" w:hAnsi="Garamond"/>
        </w:rPr>
        <w:t xml:space="preserve">Roberts, J.V., &amp; Bild, J. (2021). Ethnicity and Custodial Sentencing: </w:t>
      </w:r>
      <w:r w:rsidRPr="00411BB6">
        <w:rPr>
          <w:rFonts w:ascii="Garamond" w:hAnsi="Garamond"/>
        </w:rPr>
        <w:t>A review of the trends, 2009-2019</w:t>
      </w:r>
      <w:r>
        <w:rPr>
          <w:rFonts w:ascii="Garamond" w:hAnsi="Garamond"/>
        </w:rPr>
        <w:t xml:space="preserve">. </w:t>
      </w:r>
      <w:r w:rsidRPr="00411BB6">
        <w:rPr>
          <w:rFonts w:ascii="Garamond" w:hAnsi="Garamond"/>
          <w:i/>
          <w:iCs/>
        </w:rPr>
        <w:t>Sentencing Academy</w:t>
      </w:r>
      <w:r>
        <w:rPr>
          <w:rFonts w:ascii="Garamond" w:hAnsi="Garamond"/>
        </w:rPr>
        <w:t xml:space="preserve">. URL: </w:t>
      </w:r>
      <w:hyperlink r:id="rId28" w:history="1">
        <w:r w:rsidRPr="004644AD">
          <w:rPr>
            <w:rStyle w:val="Hyperlink"/>
            <w:rFonts w:ascii="Garamond" w:hAnsi="Garamond"/>
          </w:rPr>
          <w:t>https://www.sentencingacademy.org.uk/wp-content/uploads/2023/09/Ethnicity-and-Custodial-Sentencing-1.pdf</w:t>
        </w:r>
      </w:hyperlink>
    </w:p>
    <w:p w14:paraId="66517A0C" w14:textId="10896DFC" w:rsidR="002C0A69" w:rsidRDefault="002C0A69" w:rsidP="00197016">
      <w:pPr>
        <w:spacing w:after="120" w:line="240" w:lineRule="auto"/>
        <w:rPr>
          <w:rFonts w:ascii="Garamond" w:hAnsi="Garamond"/>
        </w:rPr>
      </w:pPr>
      <w:r w:rsidRPr="002C0A69">
        <w:rPr>
          <w:rFonts w:ascii="Garamond" w:hAnsi="Garamond"/>
        </w:rPr>
        <w:t xml:space="preserve">Sentencing Council (2025) Imposition of Community and Custodial Sentences. URL: </w:t>
      </w:r>
      <w:hyperlink r:id="rId29" w:anchor="3.%20Pre-sentence%20reports%20(PSRs)" w:history="1">
        <w:r w:rsidRPr="0023681B">
          <w:rPr>
            <w:rStyle w:val="Hyperlink"/>
            <w:rFonts w:ascii="Garamond" w:hAnsi="Garamond"/>
          </w:rPr>
          <w:t>https://www.sentencingcouncil.org.uk/overarching-guides/magistrates-court/item/imposition-of-community-and-custodial-sentences-overarching-guideline/#3.%20Pre-sentence%20reports%20(PSRs)</w:t>
        </w:r>
      </w:hyperlink>
      <w:r>
        <w:rPr>
          <w:rFonts w:ascii="Garamond" w:hAnsi="Garamond"/>
        </w:rPr>
        <w:t xml:space="preserve"> </w:t>
      </w:r>
    </w:p>
    <w:p w14:paraId="7E3DC3A9" w14:textId="5860DCC1" w:rsidR="00EA7C0E" w:rsidRDefault="00EA7C0E" w:rsidP="00EA7C0E">
      <w:pPr>
        <w:spacing w:after="120" w:line="240" w:lineRule="auto"/>
        <w:rPr>
          <w:rFonts w:ascii="Garamond" w:hAnsi="Garamond"/>
        </w:rPr>
      </w:pPr>
      <w:r w:rsidRPr="00EA7C0E">
        <w:rPr>
          <w:rFonts w:ascii="Garamond" w:hAnsi="Garamond"/>
        </w:rPr>
        <w:t>Stockton</w:t>
      </w:r>
      <w:r>
        <w:rPr>
          <w:rFonts w:ascii="Garamond" w:hAnsi="Garamond"/>
        </w:rPr>
        <w:t>,</w:t>
      </w:r>
      <w:r w:rsidRPr="00EA7C0E">
        <w:rPr>
          <w:rFonts w:ascii="Garamond" w:hAnsi="Garamond"/>
        </w:rPr>
        <w:t xml:space="preserve"> B</w:t>
      </w:r>
      <w:r>
        <w:rPr>
          <w:rFonts w:ascii="Garamond" w:hAnsi="Garamond"/>
        </w:rPr>
        <w:t>.</w:t>
      </w:r>
      <w:r w:rsidRPr="00EA7C0E">
        <w:rPr>
          <w:rFonts w:ascii="Garamond" w:hAnsi="Garamond"/>
        </w:rPr>
        <w:t>, Strange</w:t>
      </w:r>
      <w:r>
        <w:rPr>
          <w:rFonts w:ascii="Garamond" w:hAnsi="Garamond"/>
        </w:rPr>
        <w:t>,</w:t>
      </w:r>
      <w:r w:rsidRPr="00EA7C0E">
        <w:rPr>
          <w:rFonts w:ascii="Garamond" w:hAnsi="Garamond"/>
        </w:rPr>
        <w:t xml:space="preserve"> C</w:t>
      </w:r>
      <w:r>
        <w:rPr>
          <w:rFonts w:ascii="Garamond" w:hAnsi="Garamond"/>
        </w:rPr>
        <w:t>.</w:t>
      </w:r>
      <w:r w:rsidRPr="00EA7C0E">
        <w:rPr>
          <w:rFonts w:ascii="Garamond" w:hAnsi="Garamond"/>
        </w:rPr>
        <w:t>C</w:t>
      </w:r>
      <w:r>
        <w:rPr>
          <w:rFonts w:ascii="Garamond" w:hAnsi="Garamond"/>
        </w:rPr>
        <w:t>.</w:t>
      </w:r>
      <w:r w:rsidRPr="00EA7C0E">
        <w:rPr>
          <w:rFonts w:ascii="Garamond" w:hAnsi="Garamond"/>
        </w:rPr>
        <w:t>,</w:t>
      </w:r>
      <w:r>
        <w:rPr>
          <w:rFonts w:ascii="Garamond" w:hAnsi="Garamond"/>
        </w:rPr>
        <w:t xml:space="preserve"> &amp;</w:t>
      </w:r>
      <w:r w:rsidRPr="00EA7C0E">
        <w:rPr>
          <w:rFonts w:ascii="Garamond" w:hAnsi="Garamond"/>
        </w:rPr>
        <w:t xml:space="preserve"> Harel</w:t>
      </w:r>
      <w:r>
        <w:rPr>
          <w:rFonts w:ascii="Garamond" w:hAnsi="Garamond"/>
        </w:rPr>
        <w:t>,</w:t>
      </w:r>
      <w:r w:rsidRPr="00EA7C0E">
        <w:rPr>
          <w:rFonts w:ascii="Garamond" w:hAnsi="Garamond"/>
        </w:rPr>
        <w:t xml:space="preserve"> O</w:t>
      </w:r>
      <w:r>
        <w:rPr>
          <w:rFonts w:ascii="Garamond" w:hAnsi="Garamond"/>
        </w:rPr>
        <w:t>.</w:t>
      </w:r>
      <w:r w:rsidRPr="00EA7C0E">
        <w:rPr>
          <w:rFonts w:ascii="Garamond" w:hAnsi="Garamond"/>
        </w:rPr>
        <w:t xml:space="preserve"> (2024)</w:t>
      </w:r>
      <w:r>
        <w:rPr>
          <w:rFonts w:ascii="Garamond" w:hAnsi="Garamond"/>
        </w:rPr>
        <w:t>.</w:t>
      </w:r>
      <w:r w:rsidRPr="00EA7C0E">
        <w:rPr>
          <w:rFonts w:ascii="Garamond" w:hAnsi="Garamond"/>
        </w:rPr>
        <w:t xml:space="preserve"> Now you see it, now you don</w:t>
      </w:r>
      <w:r>
        <w:rPr>
          <w:rFonts w:ascii="Garamond" w:hAnsi="Garamond"/>
        </w:rPr>
        <w:t>’</w:t>
      </w:r>
      <w:r w:rsidRPr="00EA7C0E">
        <w:rPr>
          <w:rFonts w:ascii="Garamond" w:hAnsi="Garamond"/>
        </w:rPr>
        <w:t>t: A simulation and illustration</w:t>
      </w:r>
      <w:r>
        <w:rPr>
          <w:rFonts w:ascii="Garamond" w:hAnsi="Garamond"/>
        </w:rPr>
        <w:t xml:space="preserve"> </w:t>
      </w:r>
      <w:r w:rsidRPr="00EA7C0E">
        <w:rPr>
          <w:rFonts w:ascii="Garamond" w:hAnsi="Garamond"/>
        </w:rPr>
        <w:t xml:space="preserve">of the importance of treating incomplete data in estimating race effects in sentencing. </w:t>
      </w:r>
      <w:r w:rsidRPr="00EA7C0E">
        <w:rPr>
          <w:rFonts w:ascii="Garamond" w:hAnsi="Garamond"/>
          <w:i/>
          <w:iCs/>
        </w:rPr>
        <w:t>Journal of Quantitative Criminology</w:t>
      </w:r>
      <w:r>
        <w:rPr>
          <w:rFonts w:ascii="Garamond" w:hAnsi="Garamond"/>
        </w:rPr>
        <w:t>,</w:t>
      </w:r>
      <w:r w:rsidRPr="00EA7C0E">
        <w:rPr>
          <w:rFonts w:ascii="Garamond" w:hAnsi="Garamond"/>
        </w:rPr>
        <w:t xml:space="preserve"> 40</w:t>
      </w:r>
      <w:r>
        <w:rPr>
          <w:rFonts w:ascii="Garamond" w:hAnsi="Garamond"/>
        </w:rPr>
        <w:t xml:space="preserve">, </w:t>
      </w:r>
      <w:r w:rsidRPr="00EA7C0E">
        <w:rPr>
          <w:rFonts w:ascii="Garamond" w:hAnsi="Garamond"/>
        </w:rPr>
        <w:t>563</w:t>
      </w:r>
      <w:r w:rsidRPr="00EA7C0E">
        <w:rPr>
          <w:rFonts w:ascii="Garamond" w:hAnsi="Garamond" w:hint="eastAsia"/>
        </w:rPr>
        <w:t>–</w:t>
      </w:r>
      <w:r w:rsidRPr="00EA7C0E">
        <w:rPr>
          <w:rFonts w:ascii="Garamond" w:hAnsi="Garamond"/>
        </w:rPr>
        <w:t>590</w:t>
      </w:r>
      <w:r>
        <w:rPr>
          <w:rFonts w:ascii="Garamond" w:hAnsi="Garamond"/>
        </w:rPr>
        <w:t>.</w:t>
      </w:r>
      <w:r w:rsidR="00E47060">
        <w:rPr>
          <w:rFonts w:ascii="Garamond" w:hAnsi="Garamond"/>
        </w:rPr>
        <w:t xml:space="preserve"> URL: </w:t>
      </w:r>
      <w:hyperlink r:id="rId30" w:history="1">
        <w:r w:rsidR="00E47060" w:rsidRPr="008F64A5">
          <w:rPr>
            <w:rStyle w:val="Hyperlink"/>
            <w:rFonts w:ascii="Garamond" w:hAnsi="Garamond"/>
          </w:rPr>
          <w:t>https://link.springer.com/article/10.1007/s10940-023-09577-w</w:t>
        </w:r>
      </w:hyperlink>
    </w:p>
    <w:p w14:paraId="7E6BA09F" w14:textId="24056699" w:rsidR="0026731B" w:rsidRDefault="00421EF0" w:rsidP="00197016">
      <w:pPr>
        <w:spacing w:after="120" w:line="240" w:lineRule="auto"/>
      </w:pPr>
      <w:r>
        <w:rPr>
          <w:rFonts w:ascii="Garamond" w:hAnsi="Garamond"/>
        </w:rPr>
        <w:t xml:space="preserve">Sorsby, A. (2023). </w:t>
      </w:r>
      <w:r w:rsidR="00AB77D1">
        <w:rPr>
          <w:rFonts w:ascii="Garamond" w:hAnsi="Garamond"/>
        </w:rPr>
        <w:t>The n</w:t>
      </w:r>
      <w:r>
        <w:rPr>
          <w:rFonts w:ascii="Garamond" w:hAnsi="Garamond"/>
        </w:rPr>
        <w:t xml:space="preserve">umber of </w:t>
      </w:r>
      <w:r w:rsidRPr="00421EF0">
        <w:rPr>
          <w:rFonts w:ascii="Garamond" w:hAnsi="Garamond"/>
        </w:rPr>
        <w:t xml:space="preserve">convictions before </w:t>
      </w:r>
      <w:r w:rsidR="00AB77D1" w:rsidRPr="00AB77D1">
        <w:rPr>
          <w:rFonts w:ascii="Garamond" w:hAnsi="Garamond"/>
        </w:rPr>
        <w:t>the</w:t>
      </w:r>
      <w:r w:rsidR="00AB77D1">
        <w:rPr>
          <w:rFonts w:ascii="Garamond" w:hAnsi="Garamond"/>
        </w:rPr>
        <w:t xml:space="preserve"> </w:t>
      </w:r>
      <w:r w:rsidR="00AB77D1" w:rsidRPr="00AB77D1">
        <w:rPr>
          <w:rFonts w:ascii="Garamond" w:hAnsi="Garamond"/>
        </w:rPr>
        <w:t>imposition of a short sentence of immediate</w:t>
      </w:r>
      <w:r w:rsidR="00AB77D1">
        <w:rPr>
          <w:rFonts w:ascii="Garamond" w:hAnsi="Garamond"/>
        </w:rPr>
        <w:t xml:space="preserve"> </w:t>
      </w:r>
      <w:r w:rsidR="00AB77D1" w:rsidRPr="00AB77D1">
        <w:rPr>
          <w:rFonts w:ascii="Garamond" w:hAnsi="Garamond"/>
        </w:rPr>
        <w:t>custody: ethnicity and gender difference</w:t>
      </w:r>
      <w:r>
        <w:rPr>
          <w:rFonts w:ascii="Garamond" w:hAnsi="Garamond"/>
        </w:rPr>
        <w:t>.</w:t>
      </w:r>
      <w:r w:rsidR="003659C4">
        <w:rPr>
          <w:rFonts w:ascii="Garamond" w:hAnsi="Garamond"/>
        </w:rPr>
        <w:t xml:space="preserve"> </w:t>
      </w:r>
      <w:r w:rsidR="003659C4" w:rsidRPr="003659C4">
        <w:rPr>
          <w:rFonts w:ascii="Garamond" w:hAnsi="Garamond"/>
          <w:i/>
          <w:iCs/>
        </w:rPr>
        <w:t>Administrative Data Research UK.</w:t>
      </w:r>
      <w:r w:rsidRPr="003659C4">
        <w:rPr>
          <w:rFonts w:ascii="Garamond" w:hAnsi="Garamond"/>
        </w:rPr>
        <w:t xml:space="preserve"> URL: </w:t>
      </w:r>
      <w:hyperlink r:id="rId31" w:history="1">
        <w:r w:rsidR="00AB77D1" w:rsidRPr="00AB77D1">
          <w:rPr>
            <w:rStyle w:val="Hyperlink"/>
            <w:rFonts w:ascii="Garamond" w:hAnsi="Garamond"/>
          </w:rPr>
          <w:t>https://www.adruk.org/fileadmin/uploads/adruk/Documents/Data_Insights/Data_Insight_The_number_of_convictions_before_the_imposition_of_a_short_sentence_of_immediate_custody_ethnicity_and_gender_differences_August_2022.pdf</w:t>
        </w:r>
      </w:hyperlink>
    </w:p>
    <w:p w14:paraId="26D61FC8" w14:textId="5E64754B" w:rsidR="0026731B" w:rsidRPr="003659C4" w:rsidRDefault="003E74B3" w:rsidP="00197016">
      <w:pPr>
        <w:spacing w:after="120" w:line="240" w:lineRule="auto"/>
        <w:rPr>
          <w:rFonts w:ascii="Garamond" w:hAnsi="Garamond"/>
        </w:rPr>
      </w:pPr>
      <w:r w:rsidRPr="00197016">
        <w:rPr>
          <w:rFonts w:ascii="Garamond" w:hAnsi="Garamond"/>
          <w:lang w:val="es-ES"/>
        </w:rPr>
        <w:t xml:space="preserve">Veiga, A., Pina-Sánchez, J., </w:t>
      </w:r>
      <w:r w:rsidR="00EA7130" w:rsidRPr="00197016">
        <w:rPr>
          <w:rFonts w:ascii="Garamond" w:hAnsi="Garamond"/>
          <w:lang w:val="es-ES"/>
        </w:rPr>
        <w:t>&amp;</w:t>
      </w:r>
      <w:r w:rsidRPr="00197016">
        <w:rPr>
          <w:rFonts w:ascii="Garamond" w:hAnsi="Garamond"/>
          <w:lang w:val="es-ES"/>
        </w:rPr>
        <w:t xml:space="preserve"> Lewis, S. (2023). </w:t>
      </w:r>
      <w:r w:rsidRPr="003E74B3">
        <w:rPr>
          <w:rFonts w:ascii="Garamond" w:hAnsi="Garamond"/>
        </w:rPr>
        <w:t>Racial and ethnic disparities in sentencing:</w:t>
      </w:r>
      <w:r>
        <w:rPr>
          <w:rFonts w:ascii="Garamond" w:hAnsi="Garamond"/>
        </w:rPr>
        <w:t xml:space="preserve"> </w:t>
      </w:r>
      <w:r w:rsidRPr="003E74B3">
        <w:rPr>
          <w:rFonts w:ascii="Garamond" w:hAnsi="Garamond"/>
        </w:rPr>
        <w:t xml:space="preserve">What do we know, and where should we go? </w:t>
      </w:r>
      <w:r w:rsidRPr="003E74B3">
        <w:rPr>
          <w:rFonts w:ascii="Garamond" w:hAnsi="Garamond"/>
          <w:i/>
          <w:iCs/>
        </w:rPr>
        <w:t>The Howard Journal of Crime and Justice</w:t>
      </w:r>
      <w:r w:rsidRPr="003E74B3">
        <w:rPr>
          <w:rFonts w:ascii="Garamond" w:hAnsi="Garamond"/>
        </w:rPr>
        <w:t>,</w:t>
      </w:r>
      <w:r>
        <w:rPr>
          <w:rFonts w:ascii="Garamond" w:hAnsi="Garamond"/>
        </w:rPr>
        <w:t xml:space="preserve"> </w:t>
      </w:r>
      <w:r w:rsidRPr="003E74B3">
        <w:rPr>
          <w:rFonts w:ascii="Garamond" w:hAnsi="Garamond"/>
        </w:rPr>
        <w:t>62(2):167–182</w:t>
      </w:r>
      <w:r>
        <w:rPr>
          <w:rFonts w:ascii="Garamond" w:hAnsi="Garamond"/>
        </w:rPr>
        <w:t xml:space="preserve">. URL: </w:t>
      </w:r>
      <w:hyperlink r:id="rId32" w:history="1">
        <w:r w:rsidRPr="002B0273">
          <w:rPr>
            <w:rStyle w:val="Hyperlink"/>
            <w:rFonts w:ascii="Garamond" w:hAnsi="Garamond"/>
          </w:rPr>
          <w:t>https://onlinelibrary.wiley.com/doi/10.1111/hojo.12496</w:t>
        </w:r>
      </w:hyperlink>
    </w:p>
    <w:sectPr w:rsidR="0026731B" w:rsidRPr="003659C4" w:rsidSect="00031663">
      <w:footerReference w:type="default" r:id="rId33"/>
      <w:footerReference w:type="first" r:id="rId3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705E6" w14:textId="77777777" w:rsidR="00802AD9" w:rsidRDefault="00802AD9" w:rsidP="00082704">
      <w:pPr>
        <w:spacing w:after="0" w:line="240" w:lineRule="auto"/>
      </w:pPr>
      <w:r>
        <w:separator/>
      </w:r>
    </w:p>
  </w:endnote>
  <w:endnote w:type="continuationSeparator" w:id="0">
    <w:p w14:paraId="4418E7C5" w14:textId="77777777" w:rsidR="00802AD9" w:rsidRDefault="00802AD9" w:rsidP="0008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638301"/>
      <w:docPartObj>
        <w:docPartGallery w:val="Page Numbers (Bottom of Page)"/>
        <w:docPartUnique/>
      </w:docPartObj>
    </w:sdtPr>
    <w:sdtEndPr>
      <w:rPr>
        <w:noProof/>
      </w:rPr>
    </w:sdtEndPr>
    <w:sdtContent>
      <w:p w14:paraId="20A48942" w14:textId="75C252D2" w:rsidR="00C03F0F" w:rsidRDefault="00C03F0F">
        <w:pPr>
          <w:pStyle w:val="Footer"/>
          <w:jc w:val="right"/>
        </w:pPr>
        <w:r w:rsidRPr="00FD3383">
          <w:rPr>
            <w:rFonts w:ascii="Garamond" w:hAnsi="Garamond"/>
          </w:rPr>
          <w:fldChar w:fldCharType="begin"/>
        </w:r>
        <w:r w:rsidRPr="00FD3383">
          <w:rPr>
            <w:rFonts w:ascii="Garamond" w:hAnsi="Garamond"/>
          </w:rPr>
          <w:instrText xml:space="preserve"> PAGE   \* MERGEFORMAT </w:instrText>
        </w:r>
        <w:r w:rsidRPr="00FD3383">
          <w:rPr>
            <w:rFonts w:ascii="Garamond" w:hAnsi="Garamond"/>
          </w:rPr>
          <w:fldChar w:fldCharType="separate"/>
        </w:r>
        <w:r w:rsidRPr="00FD3383">
          <w:rPr>
            <w:rFonts w:ascii="Garamond" w:hAnsi="Garamond"/>
            <w:noProof/>
          </w:rPr>
          <w:t>2</w:t>
        </w:r>
        <w:r w:rsidRPr="00FD3383">
          <w:rPr>
            <w:rFonts w:ascii="Garamond" w:hAnsi="Garamond"/>
            <w:noProof/>
          </w:rPr>
          <w:fldChar w:fldCharType="end"/>
        </w:r>
      </w:p>
    </w:sdtContent>
  </w:sdt>
  <w:p w14:paraId="04A88920" w14:textId="4BC693C0" w:rsidR="00C03F0F" w:rsidRPr="00031663" w:rsidRDefault="00031663">
    <w:pPr>
      <w:pStyle w:val="Footer"/>
      <w:rPr>
        <w:i/>
        <w:iCs/>
      </w:rPr>
    </w:pPr>
    <w:r w:rsidRPr="00031663">
      <w:rPr>
        <w:i/>
        <w:iCs/>
      </w:rPr>
      <w:t>I</w:t>
    </w:r>
    <w:r w:rsidRPr="00031663">
      <w:rPr>
        <w:i/>
        <w:iCs/>
      </w:rPr>
      <w:t>SSN: 2752-3403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B58C1" w14:textId="0035A451" w:rsidR="00031663" w:rsidRPr="00031663" w:rsidRDefault="00031663">
    <w:pPr>
      <w:pStyle w:val="Footer"/>
      <w:rPr>
        <w:i/>
        <w:iCs/>
      </w:rPr>
    </w:pPr>
    <w:r w:rsidRPr="00031663">
      <w:rPr>
        <w:i/>
        <w:iCs/>
      </w:rPr>
      <w:t>I</w:t>
    </w:r>
    <w:r w:rsidRPr="00031663">
      <w:rPr>
        <w:i/>
        <w:iCs/>
      </w:rPr>
      <w:t>SSN: 2752-3403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CBB30" w14:textId="77777777" w:rsidR="00802AD9" w:rsidRDefault="00802AD9" w:rsidP="00082704">
      <w:pPr>
        <w:spacing w:after="0" w:line="240" w:lineRule="auto"/>
      </w:pPr>
      <w:r>
        <w:separator/>
      </w:r>
    </w:p>
  </w:footnote>
  <w:footnote w:type="continuationSeparator" w:id="0">
    <w:p w14:paraId="712490FA" w14:textId="77777777" w:rsidR="00802AD9" w:rsidRDefault="00802AD9" w:rsidP="00082704">
      <w:pPr>
        <w:spacing w:after="0" w:line="240" w:lineRule="auto"/>
      </w:pPr>
      <w:r>
        <w:continuationSeparator/>
      </w:r>
    </w:p>
  </w:footnote>
  <w:footnote w:id="1">
    <w:p w14:paraId="3FA7A3F6" w14:textId="55D49CA9" w:rsidR="00046D2E" w:rsidRDefault="00046D2E">
      <w:pPr>
        <w:pStyle w:val="FootnoteText"/>
      </w:pPr>
      <w:r>
        <w:rPr>
          <w:rStyle w:val="FootnoteReference"/>
        </w:rPr>
        <w:footnoteRef/>
      </w:r>
      <w:r>
        <w:t xml:space="preserve"> </w:t>
      </w:r>
      <w:r w:rsidRPr="00046D2E">
        <w:rPr>
          <w:rFonts w:ascii="Garamond" w:hAnsi="Garamond"/>
        </w:rPr>
        <w:t>School of Law</w:t>
      </w:r>
      <w:r>
        <w:rPr>
          <w:rFonts w:ascii="Garamond" w:hAnsi="Garamond"/>
        </w:rPr>
        <w:t xml:space="preserve">, </w:t>
      </w:r>
      <w:r w:rsidRPr="00046D2E">
        <w:rPr>
          <w:rFonts w:ascii="Garamond" w:hAnsi="Garamond"/>
        </w:rPr>
        <w:t>The Liberty Building</w:t>
      </w:r>
      <w:r>
        <w:rPr>
          <w:rFonts w:ascii="Garamond" w:hAnsi="Garamond"/>
        </w:rPr>
        <w:t xml:space="preserve">, </w:t>
      </w:r>
      <w:r w:rsidRPr="00046D2E">
        <w:rPr>
          <w:rFonts w:ascii="Garamond" w:hAnsi="Garamond"/>
        </w:rPr>
        <w:t>University of Leeds</w:t>
      </w:r>
      <w:r>
        <w:rPr>
          <w:rFonts w:ascii="Garamond" w:hAnsi="Garamond"/>
        </w:rPr>
        <w:t xml:space="preserve">, </w:t>
      </w:r>
      <w:r w:rsidRPr="00046D2E">
        <w:rPr>
          <w:rFonts w:ascii="Garamond" w:hAnsi="Garamond"/>
        </w:rPr>
        <w:t>Leeds, LS2 9JT</w:t>
      </w:r>
      <w:r>
        <w:rPr>
          <w:rFonts w:ascii="Garamond" w:hAnsi="Garamond"/>
        </w:rPr>
        <w:t xml:space="preserve">, </w:t>
      </w:r>
      <w:r w:rsidRPr="00046D2E">
        <w:rPr>
          <w:rFonts w:ascii="Garamond" w:hAnsi="Garamond"/>
        </w:rPr>
        <w:t>UK</w:t>
      </w:r>
      <w:r>
        <w:rPr>
          <w:rFonts w:ascii="Garamond" w:hAnsi="Garamond"/>
        </w:rPr>
        <w:t>.</w:t>
      </w:r>
    </w:p>
  </w:footnote>
  <w:footnote w:id="2">
    <w:p w14:paraId="597B57A7" w14:textId="479AFE3B" w:rsidR="00046D2E" w:rsidRPr="00046D2E" w:rsidRDefault="00046D2E">
      <w:pPr>
        <w:pStyle w:val="FootnoteText"/>
        <w:rPr>
          <w:rFonts w:ascii="Garamond" w:hAnsi="Garamond"/>
        </w:rPr>
      </w:pPr>
      <w:r w:rsidRPr="00046D2E">
        <w:rPr>
          <w:rStyle w:val="FootnoteReference"/>
          <w:rFonts w:ascii="Garamond" w:hAnsi="Garamond"/>
        </w:rPr>
        <w:footnoteRef/>
      </w:r>
      <w:r w:rsidRPr="00046D2E">
        <w:rPr>
          <w:rFonts w:ascii="Garamond" w:hAnsi="Garamond"/>
        </w:rPr>
        <w:t xml:space="preserve"> Brunel University of London.</w:t>
      </w:r>
    </w:p>
  </w:footnote>
  <w:footnote w:id="3">
    <w:p w14:paraId="2343142C" w14:textId="77777777" w:rsidR="00C03F0F" w:rsidRDefault="00C03F0F" w:rsidP="004C52D2">
      <w:pPr>
        <w:pStyle w:val="FootnoteText"/>
      </w:pPr>
      <w:r>
        <w:rPr>
          <w:rStyle w:val="FootnoteReference"/>
        </w:rPr>
        <w:footnoteRef/>
      </w:r>
      <w:r>
        <w:t xml:space="preserve"> </w:t>
      </w:r>
      <w:r w:rsidRPr="00082704">
        <w:rPr>
          <w:rFonts w:ascii="Garamond" w:hAnsi="Garamond"/>
        </w:rPr>
        <w:t>This survey was based on a combination of convenience sampling (the questionnaire was distributed to a variety of organisations and individuals within the legal profession) and voluntary response sampling (the questionnaire was also hosted on the research project’s website and advertised via social media).</w:t>
      </w:r>
    </w:p>
  </w:footnote>
  <w:footnote w:id="4">
    <w:p w14:paraId="269DA5A3" w14:textId="314BB9F1" w:rsidR="00C03F0F" w:rsidRPr="00D63CD7" w:rsidRDefault="00C03F0F">
      <w:pPr>
        <w:pStyle w:val="FootnoteText"/>
        <w:rPr>
          <w:rFonts w:ascii="Garamond" w:hAnsi="Garamond"/>
        </w:rPr>
      </w:pPr>
      <w:r w:rsidRPr="00D63CD7">
        <w:rPr>
          <w:rStyle w:val="FootnoteReference"/>
          <w:rFonts w:ascii="Garamond" w:hAnsi="Garamond"/>
        </w:rPr>
        <w:footnoteRef/>
      </w:r>
      <w:r w:rsidRPr="00D63CD7">
        <w:rPr>
          <w:rFonts w:ascii="Garamond" w:hAnsi="Garamond"/>
        </w:rPr>
        <w:t xml:space="preserve"> The Lammy Review advocated for the introduction of an ‘explain or reform’ principle</w:t>
      </w:r>
      <w:r w:rsidRPr="00E455EB">
        <w:t xml:space="preserve"> </w:t>
      </w:r>
      <w:r w:rsidRPr="00E455EB">
        <w:rPr>
          <w:rFonts w:ascii="Garamond" w:hAnsi="Garamond"/>
        </w:rPr>
        <w:t>i.e. if an evidence-based explanation for apparent disparities between ethnic groups cannot be provided, then reforms should be introduced to address any observed disparities.</w:t>
      </w:r>
    </w:p>
  </w:footnote>
  <w:footnote w:id="5">
    <w:p w14:paraId="2BBF5FAA" w14:textId="77777777" w:rsidR="00C03F0F" w:rsidRDefault="00C03F0F" w:rsidP="00D06515">
      <w:pPr>
        <w:pStyle w:val="FootnoteText"/>
      </w:pPr>
      <w:r>
        <w:rPr>
          <w:rStyle w:val="FootnoteReference"/>
        </w:rPr>
        <w:footnoteRef/>
      </w:r>
      <w:r>
        <w:t xml:space="preserve"> </w:t>
      </w:r>
      <w:r>
        <w:rPr>
          <w:rFonts w:ascii="Garamond" w:hAnsi="Garamond"/>
        </w:rPr>
        <w:t>Following the publication of the Lammy Review the first author of this article submitted separate data access applications to the Judicial Office, the Ministry of Justice, HM Courts and Tribunals Service, and the Sentencing Council for England and Wales. All were either rejected or ignored.</w:t>
      </w:r>
    </w:p>
  </w:footnote>
  <w:footnote w:id="6">
    <w:p w14:paraId="2C205CE8" w14:textId="1877018C" w:rsidR="00C03F0F" w:rsidRDefault="00C03F0F">
      <w:pPr>
        <w:pStyle w:val="FootnoteText"/>
      </w:pPr>
      <w:r>
        <w:rPr>
          <w:rStyle w:val="FootnoteReference"/>
        </w:rPr>
        <w:footnoteRef/>
      </w:r>
      <w:r>
        <w:t xml:space="preserve"> </w:t>
      </w:r>
      <w:r>
        <w:rPr>
          <w:rFonts w:ascii="Garamond" w:hAnsi="Garamond"/>
        </w:rPr>
        <w:t xml:space="preserve">Notably, aggregate data cannot be used to conduct the type of multivariate analysis that allow conditioning on legal factors such as guilty plea or previous convictions. This </w:t>
      </w:r>
      <w:r w:rsidR="000A4D1E">
        <w:rPr>
          <w:rFonts w:ascii="Garamond" w:hAnsi="Garamond"/>
        </w:rPr>
        <w:t xml:space="preserve">type of analysis </w:t>
      </w:r>
      <w:r>
        <w:rPr>
          <w:rFonts w:ascii="Garamond" w:hAnsi="Garamond"/>
        </w:rPr>
        <w:t>is key to approximate estimations of unwarranted disparities, and it is only possible through individual-level data.</w:t>
      </w:r>
    </w:p>
  </w:footnote>
  <w:footnote w:id="7">
    <w:p w14:paraId="54C76911" w14:textId="0665A7AA" w:rsidR="00C03F0F" w:rsidRDefault="00C03F0F" w:rsidP="00D06515">
      <w:pPr>
        <w:pStyle w:val="FootnoteText"/>
      </w:pPr>
      <w:r>
        <w:rPr>
          <w:rStyle w:val="FootnoteReference"/>
        </w:rPr>
        <w:footnoteRef/>
      </w:r>
      <w:r>
        <w:t xml:space="preserve"> </w:t>
      </w:r>
      <w:r w:rsidRPr="000F5F9F">
        <w:rPr>
          <w:rFonts w:ascii="Garamond" w:hAnsi="Garamond"/>
        </w:rPr>
        <w:t>Data First</w:t>
      </w:r>
      <w:r>
        <w:t xml:space="preserve"> </w:t>
      </w:r>
      <w:r w:rsidRPr="00A53102">
        <w:rPr>
          <w:rFonts w:ascii="Garamond" w:hAnsi="Garamond"/>
        </w:rPr>
        <w:t xml:space="preserve">was created as a collaboration between the Office for National Statistics, the Ministry of Justice, and Administrative Data Research UK, </w:t>
      </w:r>
      <w:r>
        <w:rPr>
          <w:rFonts w:ascii="Garamond" w:hAnsi="Garamond"/>
        </w:rPr>
        <w:t>tasked with making administrative government data available to accredited researchers through secure data access protocols. The first datasets released covered all sentences imposed since 2016 for the Crown Court</w:t>
      </w:r>
      <w:r w:rsidR="00A2316B">
        <w:rPr>
          <w:rFonts w:ascii="Garamond" w:hAnsi="Garamond"/>
        </w:rPr>
        <w:t>,</w:t>
      </w:r>
      <w:r>
        <w:rPr>
          <w:rFonts w:ascii="Garamond" w:hAnsi="Garamond"/>
        </w:rPr>
        <w:t xml:space="preserve"> and 2011 from the magistrates’ courts, capturing key case characteristics (such as the most serious offence, whether the defendant was placed in remand, or whether they plead guilty), but also important offender characteristics, crucially amongst them, their ethnic background.</w:t>
      </w:r>
      <w:r>
        <w:t xml:space="preserve"> </w:t>
      </w:r>
    </w:p>
  </w:footnote>
  <w:footnote w:id="8">
    <w:p w14:paraId="33D0023D" w14:textId="374A1B8A" w:rsidR="00C03F0F" w:rsidRPr="0059682C" w:rsidRDefault="00C03F0F" w:rsidP="0028660C">
      <w:pPr>
        <w:spacing w:after="0" w:line="240" w:lineRule="auto"/>
        <w:jc w:val="both"/>
        <w:rPr>
          <w:rFonts w:ascii="Garamond" w:hAnsi="Garamond"/>
          <w:sz w:val="20"/>
          <w:szCs w:val="20"/>
        </w:rPr>
      </w:pPr>
      <w:r>
        <w:rPr>
          <w:rStyle w:val="FootnoteReference"/>
        </w:rPr>
        <w:footnoteRef/>
      </w:r>
      <w:r>
        <w:t xml:space="preserve"> </w:t>
      </w:r>
      <w:r>
        <w:rPr>
          <w:rFonts w:ascii="Garamond" w:hAnsi="Garamond"/>
          <w:sz w:val="20"/>
          <w:szCs w:val="20"/>
        </w:rPr>
        <w:t xml:space="preserve">To further illustrate, </w:t>
      </w:r>
      <w:r w:rsidRPr="0059682C">
        <w:rPr>
          <w:rFonts w:ascii="Garamond" w:hAnsi="Garamond"/>
          <w:sz w:val="20"/>
          <w:szCs w:val="20"/>
        </w:rPr>
        <w:t>Pina-Sánchez et al. (2024</w:t>
      </w:r>
      <w:r>
        <w:rPr>
          <w:rFonts w:ascii="Garamond" w:hAnsi="Garamond"/>
          <w:sz w:val="20"/>
          <w:szCs w:val="20"/>
        </w:rPr>
        <w:t>a</w:t>
      </w:r>
      <w:r w:rsidRPr="0059682C">
        <w:rPr>
          <w:rFonts w:ascii="Garamond" w:hAnsi="Garamond"/>
          <w:sz w:val="20"/>
          <w:szCs w:val="20"/>
        </w:rPr>
        <w:t xml:space="preserve">) demonstrated that only a few major legal factors significantly influence sentence severity. Specifically, in custody decisions for shoplifting offences, sentence severity could be predicted </w:t>
      </w:r>
      <w:r w:rsidR="002D325F">
        <w:rPr>
          <w:rFonts w:ascii="Garamond" w:hAnsi="Garamond"/>
          <w:sz w:val="20"/>
          <w:szCs w:val="20"/>
        </w:rPr>
        <w:t xml:space="preserve">with </w:t>
      </w:r>
      <w:r w:rsidRPr="0059682C">
        <w:rPr>
          <w:rFonts w:ascii="Garamond" w:hAnsi="Garamond"/>
          <w:sz w:val="20"/>
          <w:szCs w:val="20"/>
        </w:rPr>
        <w:t xml:space="preserve">80.7% </w:t>
      </w:r>
      <w:r w:rsidR="002D325F">
        <w:rPr>
          <w:rFonts w:ascii="Garamond" w:hAnsi="Garamond"/>
          <w:sz w:val="20"/>
          <w:szCs w:val="20"/>
        </w:rPr>
        <w:t>accuracy</w:t>
      </w:r>
      <w:r w:rsidRPr="0059682C">
        <w:rPr>
          <w:rFonts w:ascii="Garamond" w:hAnsi="Garamond"/>
          <w:sz w:val="20"/>
          <w:szCs w:val="20"/>
        </w:rPr>
        <w:t xml:space="preserve"> using </w:t>
      </w:r>
      <w:r w:rsidR="002D325F">
        <w:rPr>
          <w:rFonts w:ascii="Garamond" w:hAnsi="Garamond"/>
          <w:sz w:val="20"/>
          <w:szCs w:val="20"/>
        </w:rPr>
        <w:t>only</w:t>
      </w:r>
      <w:r w:rsidRPr="0059682C">
        <w:rPr>
          <w:rFonts w:ascii="Garamond" w:hAnsi="Garamond"/>
          <w:sz w:val="20"/>
          <w:szCs w:val="20"/>
        </w:rPr>
        <w:t xml:space="preserve"> the top</w:t>
      </w:r>
      <w:r w:rsidR="002D325F">
        <w:rPr>
          <w:rFonts w:ascii="Garamond" w:hAnsi="Garamond"/>
          <w:sz w:val="20"/>
          <w:szCs w:val="20"/>
        </w:rPr>
        <w:t xml:space="preserve"> </w:t>
      </w:r>
      <w:r w:rsidRPr="0059682C">
        <w:rPr>
          <w:rFonts w:ascii="Garamond" w:hAnsi="Garamond"/>
          <w:sz w:val="20"/>
          <w:szCs w:val="20"/>
        </w:rPr>
        <w:t>10 most important</w:t>
      </w:r>
      <w:r w:rsidR="002D325F">
        <w:rPr>
          <w:rFonts w:ascii="Garamond" w:hAnsi="Garamond"/>
          <w:sz w:val="20"/>
          <w:szCs w:val="20"/>
        </w:rPr>
        <w:t xml:space="preserve"> guideline</w:t>
      </w:r>
      <w:r w:rsidRPr="0059682C">
        <w:rPr>
          <w:rFonts w:ascii="Garamond" w:hAnsi="Garamond"/>
          <w:sz w:val="20"/>
          <w:szCs w:val="20"/>
        </w:rPr>
        <w:t xml:space="preserve"> factors. Expanding to the top 20 factors only marginally increased predictive accuracy to 81.2%. For context, Is</w:t>
      </w:r>
      <w:r w:rsidR="00F52628">
        <w:rPr>
          <w:rFonts w:ascii="Garamond" w:hAnsi="Garamond"/>
          <w:sz w:val="20"/>
          <w:szCs w:val="20"/>
        </w:rPr>
        <w:t>a</w:t>
      </w:r>
      <w:r w:rsidRPr="0059682C">
        <w:rPr>
          <w:rFonts w:ascii="Garamond" w:hAnsi="Garamond"/>
          <w:sz w:val="20"/>
          <w:szCs w:val="20"/>
        </w:rPr>
        <w:t>ac (2021) controlled for over 30 legal factors in their analysis.</w:t>
      </w:r>
      <w:r>
        <w:rPr>
          <w:rFonts w:ascii="Garamond" w:hAnsi="Garamond"/>
          <w:sz w:val="20"/>
          <w:szCs w:val="20"/>
        </w:rPr>
        <w:t xml:space="preserve"> </w:t>
      </w:r>
    </w:p>
  </w:footnote>
  <w:footnote w:id="9">
    <w:p w14:paraId="40E0DDAB" w14:textId="124D244D" w:rsidR="00C03F0F" w:rsidRDefault="00C03F0F">
      <w:pPr>
        <w:pStyle w:val="FootnoteText"/>
      </w:pPr>
      <w:r>
        <w:rPr>
          <w:rStyle w:val="FootnoteReference"/>
        </w:rPr>
        <w:footnoteRef/>
      </w:r>
      <w:r>
        <w:t xml:space="preserve"> </w:t>
      </w:r>
      <w:r>
        <w:rPr>
          <w:rFonts w:ascii="Garamond" w:hAnsi="Garamond"/>
        </w:rPr>
        <w:t>For example, Isaac (2021) did not control for whether the defendant was placed on</w:t>
      </w:r>
      <w:r w:rsidRPr="0055769A">
        <w:rPr>
          <w:rFonts w:ascii="Garamond" w:hAnsi="Garamond"/>
        </w:rPr>
        <w:t xml:space="preserve"> remand</w:t>
      </w:r>
      <w:r>
        <w:rPr>
          <w:rFonts w:ascii="Garamond" w:hAnsi="Garamond"/>
        </w:rPr>
        <w:t>, which</w:t>
      </w:r>
      <w:r w:rsidRPr="0055769A">
        <w:rPr>
          <w:rFonts w:ascii="Garamond" w:hAnsi="Garamond"/>
        </w:rPr>
        <w:t xml:space="preserve"> could be </w:t>
      </w:r>
      <w:r>
        <w:rPr>
          <w:rFonts w:ascii="Garamond" w:hAnsi="Garamond"/>
        </w:rPr>
        <w:t xml:space="preserve">taken as a proxy for </w:t>
      </w:r>
      <w:r w:rsidRPr="0055769A">
        <w:rPr>
          <w:rFonts w:ascii="Garamond" w:hAnsi="Garamond"/>
        </w:rPr>
        <w:t>offenders’ dangerousness</w:t>
      </w:r>
      <w:r>
        <w:rPr>
          <w:rFonts w:ascii="Garamond" w:hAnsi="Garamond"/>
        </w:rPr>
        <w:t xml:space="preserve">. However, according to the latest statistics on ethnicity and the criminal justice </w:t>
      </w:r>
      <w:r w:rsidRPr="0055769A">
        <w:rPr>
          <w:rFonts w:ascii="Garamond" w:hAnsi="Garamond"/>
        </w:rPr>
        <w:t>(Ministry of Justice, 2024)</w:t>
      </w:r>
      <w:r>
        <w:rPr>
          <w:rFonts w:ascii="Garamond" w:hAnsi="Garamond"/>
        </w:rPr>
        <w:t>, the remand rate in the Crown Court is 53%, and in the most extreme comparison</w:t>
      </w:r>
      <w:r w:rsidRPr="0055769A">
        <w:rPr>
          <w:rFonts w:ascii="Garamond" w:hAnsi="Garamond"/>
        </w:rPr>
        <w:t xml:space="preserve"> </w:t>
      </w:r>
      <w:r>
        <w:rPr>
          <w:rFonts w:ascii="Garamond" w:hAnsi="Garamond"/>
        </w:rPr>
        <w:t xml:space="preserve">only 13.5% more prevalent in black than white offenders. Hence, it is not possible that having failed to control for remand is on its own exerting a strong enough bias to explain </w:t>
      </w:r>
      <w:r w:rsidR="001F5B65">
        <w:rPr>
          <w:rFonts w:ascii="Garamond" w:hAnsi="Garamond"/>
        </w:rPr>
        <w:t xml:space="preserve">away </w:t>
      </w:r>
      <w:r>
        <w:rPr>
          <w:rFonts w:ascii="Garamond" w:hAnsi="Garamond"/>
        </w:rPr>
        <w:t>the estimated ethnic disparities in custody.</w:t>
      </w:r>
    </w:p>
  </w:footnote>
  <w:footnote w:id="10">
    <w:p w14:paraId="74BD024F" w14:textId="7A090ADD" w:rsidR="00C03F0F" w:rsidRPr="009D5DBB" w:rsidRDefault="00C03F0F" w:rsidP="00A014EA">
      <w:pPr>
        <w:pStyle w:val="FootnoteText"/>
        <w:rPr>
          <w:rFonts w:ascii="Garamond" w:hAnsi="Garamond"/>
        </w:rPr>
      </w:pPr>
      <w:r w:rsidRPr="009D5DBB">
        <w:rPr>
          <w:rStyle w:val="FootnoteReference"/>
          <w:rFonts w:ascii="Garamond" w:hAnsi="Garamond"/>
        </w:rPr>
        <w:footnoteRef/>
      </w:r>
      <w:r w:rsidRPr="009D5DBB">
        <w:rPr>
          <w:rFonts w:ascii="Garamond" w:hAnsi="Garamond"/>
        </w:rPr>
        <w:t xml:space="preserve"> </w:t>
      </w:r>
      <w:r>
        <w:rPr>
          <w:rFonts w:ascii="Garamond" w:hAnsi="Garamond"/>
        </w:rPr>
        <w:t>It is worth nothing that</w:t>
      </w:r>
      <w:r w:rsidRPr="009D5DBB">
        <w:rPr>
          <w:rFonts w:ascii="Garamond" w:hAnsi="Garamond"/>
        </w:rPr>
        <w:t xml:space="preserve"> we have not consider</w:t>
      </w:r>
      <w:r w:rsidR="001F5B65">
        <w:rPr>
          <w:rFonts w:ascii="Garamond" w:hAnsi="Garamond"/>
        </w:rPr>
        <w:t>ed</w:t>
      </w:r>
      <w:r w:rsidRPr="009D5DBB">
        <w:rPr>
          <w:rFonts w:ascii="Garamond" w:hAnsi="Garamond"/>
        </w:rPr>
        <w:t xml:space="preserve"> further assumptions commonly violated </w:t>
      </w:r>
      <w:r>
        <w:rPr>
          <w:rFonts w:ascii="Garamond" w:hAnsi="Garamond"/>
        </w:rPr>
        <w:t xml:space="preserve">that are likely affecting the validity of our findings, </w:t>
      </w:r>
      <w:r w:rsidRPr="009D5DBB">
        <w:rPr>
          <w:rFonts w:ascii="Garamond" w:hAnsi="Garamond"/>
        </w:rPr>
        <w:t xml:space="preserve">such as when missing data is not </w:t>
      </w:r>
      <w:r w:rsidR="001F5B65">
        <w:rPr>
          <w:rFonts w:ascii="Garamond" w:hAnsi="Garamond"/>
        </w:rPr>
        <w:t xml:space="preserve">missing </w:t>
      </w:r>
      <w:r w:rsidRPr="009D5DBB">
        <w:rPr>
          <w:rFonts w:ascii="Garamond" w:hAnsi="Garamond"/>
        </w:rPr>
        <w:t>at random (</w:t>
      </w:r>
      <w:r>
        <w:rPr>
          <w:rFonts w:ascii="Garamond" w:hAnsi="Garamond"/>
        </w:rPr>
        <w:t>Stockton et al., 2024</w:t>
      </w:r>
      <w:r w:rsidRPr="009D5DBB">
        <w:rPr>
          <w:rFonts w:ascii="Garamond" w:hAnsi="Garamond"/>
        </w:rPr>
        <w:t xml:space="preserve">), or the fact that most studies misclassify the reference group in their measures of ethnicity by adding ethnic minority categories such as gypsy travellers in the UK, or white Hispanics in the US. </w:t>
      </w:r>
    </w:p>
  </w:footnote>
  <w:footnote w:id="11">
    <w:p w14:paraId="47ECEFDC" w14:textId="00F3ACF9" w:rsidR="00C03F0F" w:rsidRDefault="00C03F0F">
      <w:pPr>
        <w:pStyle w:val="FootnoteText"/>
      </w:pPr>
      <w:r>
        <w:rPr>
          <w:rStyle w:val="FootnoteReference"/>
        </w:rPr>
        <w:footnoteRef/>
      </w:r>
      <w:r>
        <w:t xml:space="preserve"> </w:t>
      </w:r>
      <w:r w:rsidRPr="001F2EDA">
        <w:rPr>
          <w:rFonts w:ascii="Garamond" w:hAnsi="Garamond"/>
        </w:rPr>
        <w:t xml:space="preserve">Many of these recent reforms stem from a review commissioned by the Sentencing Council to assess equality and diversity within its work (Chen et al., 2022). The final report presented a range of recommendations, </w:t>
      </w:r>
      <w:r>
        <w:rPr>
          <w:rFonts w:ascii="Garamond" w:hAnsi="Garamond"/>
        </w:rPr>
        <w:t>a significant number of</w:t>
      </w:r>
      <w:r w:rsidRPr="001F2EDA">
        <w:rPr>
          <w:rFonts w:ascii="Garamond" w:hAnsi="Garamond"/>
        </w:rPr>
        <w:t xml:space="preserve"> which </w:t>
      </w:r>
      <w:r>
        <w:rPr>
          <w:rFonts w:ascii="Garamond" w:hAnsi="Garamond"/>
        </w:rPr>
        <w:t>were</w:t>
      </w:r>
      <w:r w:rsidRPr="001F2EDA">
        <w:rPr>
          <w:rFonts w:ascii="Garamond" w:hAnsi="Garamond"/>
        </w:rPr>
        <w:t xml:space="preserve"> accepted and acted upon by the </w:t>
      </w:r>
      <w:r>
        <w:rPr>
          <w:rFonts w:ascii="Garamond" w:hAnsi="Garamond"/>
        </w:rPr>
        <w:t xml:space="preserve">Sentencing </w:t>
      </w:r>
      <w:r w:rsidRPr="001F2EDA">
        <w:rPr>
          <w:rFonts w:ascii="Garamond" w:hAnsi="Garamond"/>
        </w:rPr>
        <w:t>Council.</w:t>
      </w:r>
    </w:p>
  </w:footnote>
  <w:footnote w:id="12">
    <w:p w14:paraId="71D1F7E0" w14:textId="2A4BED98" w:rsidR="00322975" w:rsidRPr="00046D2E" w:rsidRDefault="00322975">
      <w:pPr>
        <w:pStyle w:val="FootnoteText"/>
        <w:rPr>
          <w:rFonts w:ascii="Garamond" w:hAnsi="Garamond"/>
        </w:rPr>
      </w:pPr>
      <w:r w:rsidRPr="00046D2E">
        <w:rPr>
          <w:rStyle w:val="FootnoteReference"/>
          <w:rFonts w:ascii="Garamond" w:hAnsi="Garamond"/>
        </w:rPr>
        <w:footnoteRef/>
      </w:r>
      <w:r w:rsidRPr="00046D2E">
        <w:rPr>
          <w:rFonts w:ascii="Garamond" w:hAnsi="Garamond"/>
        </w:rPr>
        <w:t xml:space="preserve"> </w:t>
      </w:r>
      <w:r w:rsidR="009D0E64" w:rsidRPr="009D0E64">
        <w:rPr>
          <w:rFonts w:ascii="Garamond" w:hAnsi="Garamond"/>
        </w:rPr>
        <w:t xml:space="preserve">The availability of open individual-level sentencing data across European countries was recently discussed in an online event hosted by the Empirical Research on Sentencing Network. Slides from national correspondents can be accessed here: </w:t>
      </w:r>
      <w:hyperlink r:id="rId1" w:history="1">
        <w:r w:rsidR="009D0E64" w:rsidRPr="00046D2E">
          <w:rPr>
            <w:rStyle w:val="Hyperlink"/>
            <w:rFonts w:ascii="Garamond" w:hAnsi="Garamond"/>
          </w:rPr>
          <w:t>https://empiricalresearchonsentencing.wordpress.com/presentations/</w:t>
        </w:r>
      </w:hyperlink>
      <w:r w:rsidR="009D0E64" w:rsidRPr="00046D2E">
        <w:rPr>
          <w:rFonts w:ascii="Garamond" w:hAnsi="Garamond"/>
        </w:rPr>
        <w:t xml:space="preserve"> and the full recording of the meeting </w:t>
      </w:r>
      <w:r w:rsidR="009D0E64">
        <w:rPr>
          <w:rFonts w:ascii="Garamond" w:hAnsi="Garamond"/>
        </w:rPr>
        <w:t xml:space="preserve">is available </w:t>
      </w:r>
      <w:r w:rsidR="009D0E64" w:rsidRPr="00046D2E">
        <w:rPr>
          <w:rFonts w:ascii="Garamond" w:hAnsi="Garamond"/>
        </w:rPr>
        <w:t xml:space="preserve">here: </w:t>
      </w:r>
      <w:hyperlink r:id="rId2" w:history="1">
        <w:r w:rsidR="009D0E64" w:rsidRPr="00046D2E">
          <w:rPr>
            <w:rStyle w:val="Hyperlink"/>
            <w:rFonts w:ascii="Garamond" w:hAnsi="Garamond"/>
          </w:rPr>
          <w:t>https://owncloud.cesnet.cz/index.php/s/jRyF1RHARSSay2P</w:t>
        </w:r>
      </w:hyperlink>
      <w:r w:rsidR="009D0E64" w:rsidRPr="00046D2E">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90F10"/>
    <w:multiLevelType w:val="hybridMultilevel"/>
    <w:tmpl w:val="23248C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65771D"/>
    <w:multiLevelType w:val="hybridMultilevel"/>
    <w:tmpl w:val="23248C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AC515B"/>
    <w:multiLevelType w:val="multilevel"/>
    <w:tmpl w:val="2DF44B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9FB72C3"/>
    <w:multiLevelType w:val="hybridMultilevel"/>
    <w:tmpl w:val="23248C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0818894">
    <w:abstractNumId w:val="2"/>
  </w:num>
  <w:num w:numId="2" w16cid:durableId="1810202615">
    <w:abstractNumId w:val="1"/>
  </w:num>
  <w:num w:numId="3" w16cid:durableId="848373894">
    <w:abstractNumId w:val="3"/>
  </w:num>
  <w:num w:numId="4" w16cid:durableId="1314216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0F"/>
    <w:rsid w:val="00000C88"/>
    <w:rsid w:val="000108F3"/>
    <w:rsid w:val="00012E9E"/>
    <w:rsid w:val="000251BE"/>
    <w:rsid w:val="00031663"/>
    <w:rsid w:val="0003196B"/>
    <w:rsid w:val="00043E9D"/>
    <w:rsid w:val="00046D2E"/>
    <w:rsid w:val="00062161"/>
    <w:rsid w:val="00066DC6"/>
    <w:rsid w:val="0007008D"/>
    <w:rsid w:val="00070B24"/>
    <w:rsid w:val="000730F0"/>
    <w:rsid w:val="00073811"/>
    <w:rsid w:val="00082093"/>
    <w:rsid w:val="000821A4"/>
    <w:rsid w:val="00082704"/>
    <w:rsid w:val="00083E38"/>
    <w:rsid w:val="000A1238"/>
    <w:rsid w:val="000A4D1E"/>
    <w:rsid w:val="000A5F71"/>
    <w:rsid w:val="000B0B63"/>
    <w:rsid w:val="000B2A8A"/>
    <w:rsid w:val="000B3544"/>
    <w:rsid w:val="000C2413"/>
    <w:rsid w:val="000D5245"/>
    <w:rsid w:val="000F04AF"/>
    <w:rsid w:val="000F5F9F"/>
    <w:rsid w:val="000F6460"/>
    <w:rsid w:val="00101E69"/>
    <w:rsid w:val="0010742F"/>
    <w:rsid w:val="00110DDD"/>
    <w:rsid w:val="001117B0"/>
    <w:rsid w:val="0011654C"/>
    <w:rsid w:val="00116F26"/>
    <w:rsid w:val="00117D32"/>
    <w:rsid w:val="00121C9F"/>
    <w:rsid w:val="00122E65"/>
    <w:rsid w:val="0012489B"/>
    <w:rsid w:val="00125A8D"/>
    <w:rsid w:val="00127A65"/>
    <w:rsid w:val="0014307D"/>
    <w:rsid w:val="001809F3"/>
    <w:rsid w:val="00180CA4"/>
    <w:rsid w:val="00185098"/>
    <w:rsid w:val="0018564B"/>
    <w:rsid w:val="00187A13"/>
    <w:rsid w:val="00190079"/>
    <w:rsid w:val="00194AEE"/>
    <w:rsid w:val="001951D8"/>
    <w:rsid w:val="0019556B"/>
    <w:rsid w:val="00197016"/>
    <w:rsid w:val="001A0A3E"/>
    <w:rsid w:val="001A0B0D"/>
    <w:rsid w:val="001A1E6B"/>
    <w:rsid w:val="001A34A3"/>
    <w:rsid w:val="001A52B0"/>
    <w:rsid w:val="001B0544"/>
    <w:rsid w:val="001B0ABA"/>
    <w:rsid w:val="001B387E"/>
    <w:rsid w:val="001B68D3"/>
    <w:rsid w:val="001B6AD2"/>
    <w:rsid w:val="001D510A"/>
    <w:rsid w:val="001D5FDC"/>
    <w:rsid w:val="001E1B2E"/>
    <w:rsid w:val="001E72A5"/>
    <w:rsid w:val="001F2EDA"/>
    <w:rsid w:val="001F5B65"/>
    <w:rsid w:val="001F69DA"/>
    <w:rsid w:val="002004AF"/>
    <w:rsid w:val="00200BE4"/>
    <w:rsid w:val="002021BA"/>
    <w:rsid w:val="002049A6"/>
    <w:rsid w:val="00207999"/>
    <w:rsid w:val="00210EF6"/>
    <w:rsid w:val="00211AFA"/>
    <w:rsid w:val="00213C6A"/>
    <w:rsid w:val="0021665A"/>
    <w:rsid w:val="002237EC"/>
    <w:rsid w:val="00232870"/>
    <w:rsid w:val="00232F24"/>
    <w:rsid w:val="00240A0B"/>
    <w:rsid w:val="002424D4"/>
    <w:rsid w:val="002577B5"/>
    <w:rsid w:val="0026142E"/>
    <w:rsid w:val="0026731B"/>
    <w:rsid w:val="002719AB"/>
    <w:rsid w:val="002737F3"/>
    <w:rsid w:val="00275B86"/>
    <w:rsid w:val="0027736E"/>
    <w:rsid w:val="002812DD"/>
    <w:rsid w:val="0028596F"/>
    <w:rsid w:val="0028660C"/>
    <w:rsid w:val="00287EF0"/>
    <w:rsid w:val="00292B20"/>
    <w:rsid w:val="002A033F"/>
    <w:rsid w:val="002A2FC6"/>
    <w:rsid w:val="002A5B3C"/>
    <w:rsid w:val="002B01EF"/>
    <w:rsid w:val="002B5AD9"/>
    <w:rsid w:val="002C0A69"/>
    <w:rsid w:val="002C4B8B"/>
    <w:rsid w:val="002D0702"/>
    <w:rsid w:val="002D2480"/>
    <w:rsid w:val="002D303A"/>
    <w:rsid w:val="002D325F"/>
    <w:rsid w:val="002D548D"/>
    <w:rsid w:val="002D5C46"/>
    <w:rsid w:val="002E0B2C"/>
    <w:rsid w:val="002F4CE9"/>
    <w:rsid w:val="00303CBF"/>
    <w:rsid w:val="0032255A"/>
    <w:rsid w:val="00322975"/>
    <w:rsid w:val="00326BD1"/>
    <w:rsid w:val="00332923"/>
    <w:rsid w:val="00333633"/>
    <w:rsid w:val="003420BA"/>
    <w:rsid w:val="00345739"/>
    <w:rsid w:val="00356DA3"/>
    <w:rsid w:val="003659C4"/>
    <w:rsid w:val="0036608F"/>
    <w:rsid w:val="0036659D"/>
    <w:rsid w:val="00366948"/>
    <w:rsid w:val="00374D01"/>
    <w:rsid w:val="00385F96"/>
    <w:rsid w:val="0038757D"/>
    <w:rsid w:val="003915FF"/>
    <w:rsid w:val="003A3F8F"/>
    <w:rsid w:val="003A5361"/>
    <w:rsid w:val="003A6C23"/>
    <w:rsid w:val="003B78E0"/>
    <w:rsid w:val="003D52C4"/>
    <w:rsid w:val="003D654E"/>
    <w:rsid w:val="003D7A58"/>
    <w:rsid w:val="003E52FD"/>
    <w:rsid w:val="003E74B3"/>
    <w:rsid w:val="003F3308"/>
    <w:rsid w:val="003F4ECE"/>
    <w:rsid w:val="003F55BF"/>
    <w:rsid w:val="003F7A32"/>
    <w:rsid w:val="0040221D"/>
    <w:rsid w:val="00403957"/>
    <w:rsid w:val="0040563C"/>
    <w:rsid w:val="00411923"/>
    <w:rsid w:val="00411BB6"/>
    <w:rsid w:val="0041380B"/>
    <w:rsid w:val="00416E8D"/>
    <w:rsid w:val="00420E96"/>
    <w:rsid w:val="00421EF0"/>
    <w:rsid w:val="00422CAA"/>
    <w:rsid w:val="00423B99"/>
    <w:rsid w:val="00427B47"/>
    <w:rsid w:val="00432D4D"/>
    <w:rsid w:val="00433FC5"/>
    <w:rsid w:val="00437DDB"/>
    <w:rsid w:val="0044350D"/>
    <w:rsid w:val="0044373A"/>
    <w:rsid w:val="004570BC"/>
    <w:rsid w:val="00473CA6"/>
    <w:rsid w:val="00474432"/>
    <w:rsid w:val="004753B1"/>
    <w:rsid w:val="00485191"/>
    <w:rsid w:val="00486EB2"/>
    <w:rsid w:val="00491C1B"/>
    <w:rsid w:val="00492543"/>
    <w:rsid w:val="00492CB1"/>
    <w:rsid w:val="00493387"/>
    <w:rsid w:val="00495CDA"/>
    <w:rsid w:val="00496263"/>
    <w:rsid w:val="004A00D0"/>
    <w:rsid w:val="004A3F0B"/>
    <w:rsid w:val="004A7454"/>
    <w:rsid w:val="004B6702"/>
    <w:rsid w:val="004B6CD1"/>
    <w:rsid w:val="004B6F09"/>
    <w:rsid w:val="004C52D2"/>
    <w:rsid w:val="004D0682"/>
    <w:rsid w:val="004D29AF"/>
    <w:rsid w:val="004D57BF"/>
    <w:rsid w:val="004E22FF"/>
    <w:rsid w:val="004F283A"/>
    <w:rsid w:val="0050269B"/>
    <w:rsid w:val="005029B8"/>
    <w:rsid w:val="005144DA"/>
    <w:rsid w:val="00527C23"/>
    <w:rsid w:val="005305AE"/>
    <w:rsid w:val="0053446C"/>
    <w:rsid w:val="005364BA"/>
    <w:rsid w:val="0054426D"/>
    <w:rsid w:val="005503D4"/>
    <w:rsid w:val="0055330F"/>
    <w:rsid w:val="00555C5E"/>
    <w:rsid w:val="00556158"/>
    <w:rsid w:val="0055769A"/>
    <w:rsid w:val="00561B96"/>
    <w:rsid w:val="00566D55"/>
    <w:rsid w:val="00571DC1"/>
    <w:rsid w:val="00572846"/>
    <w:rsid w:val="00574B6B"/>
    <w:rsid w:val="00574D60"/>
    <w:rsid w:val="00576C7A"/>
    <w:rsid w:val="005772AB"/>
    <w:rsid w:val="005956E9"/>
    <w:rsid w:val="0059682C"/>
    <w:rsid w:val="005A299D"/>
    <w:rsid w:val="005A6494"/>
    <w:rsid w:val="005A6FEA"/>
    <w:rsid w:val="005C325F"/>
    <w:rsid w:val="005C65F3"/>
    <w:rsid w:val="005C75BF"/>
    <w:rsid w:val="005D148A"/>
    <w:rsid w:val="005D597B"/>
    <w:rsid w:val="005F17DE"/>
    <w:rsid w:val="00612C5F"/>
    <w:rsid w:val="00615065"/>
    <w:rsid w:val="00617B33"/>
    <w:rsid w:val="0062250F"/>
    <w:rsid w:val="006233E2"/>
    <w:rsid w:val="00626E86"/>
    <w:rsid w:val="00627F16"/>
    <w:rsid w:val="00634FC8"/>
    <w:rsid w:val="00644A71"/>
    <w:rsid w:val="00645F0B"/>
    <w:rsid w:val="00650614"/>
    <w:rsid w:val="00652E23"/>
    <w:rsid w:val="006568B5"/>
    <w:rsid w:val="006639D8"/>
    <w:rsid w:val="00670398"/>
    <w:rsid w:val="00674651"/>
    <w:rsid w:val="00674992"/>
    <w:rsid w:val="0068508C"/>
    <w:rsid w:val="006859AE"/>
    <w:rsid w:val="006B203F"/>
    <w:rsid w:val="006C107B"/>
    <w:rsid w:val="006D323B"/>
    <w:rsid w:val="006E7DBE"/>
    <w:rsid w:val="006F12AC"/>
    <w:rsid w:val="006F1AC7"/>
    <w:rsid w:val="006F1EAE"/>
    <w:rsid w:val="006F5864"/>
    <w:rsid w:val="006F65BD"/>
    <w:rsid w:val="006F6F68"/>
    <w:rsid w:val="00712084"/>
    <w:rsid w:val="00712116"/>
    <w:rsid w:val="007178BD"/>
    <w:rsid w:val="00720D3F"/>
    <w:rsid w:val="00724E52"/>
    <w:rsid w:val="00730032"/>
    <w:rsid w:val="00733622"/>
    <w:rsid w:val="0074141F"/>
    <w:rsid w:val="0074728F"/>
    <w:rsid w:val="007512AB"/>
    <w:rsid w:val="00755F62"/>
    <w:rsid w:val="007635C3"/>
    <w:rsid w:val="0077347C"/>
    <w:rsid w:val="00777F6B"/>
    <w:rsid w:val="00784588"/>
    <w:rsid w:val="0078499A"/>
    <w:rsid w:val="007916F3"/>
    <w:rsid w:val="00792CDA"/>
    <w:rsid w:val="00793B38"/>
    <w:rsid w:val="007D2AF7"/>
    <w:rsid w:val="007D47D5"/>
    <w:rsid w:val="007D527D"/>
    <w:rsid w:val="007D7673"/>
    <w:rsid w:val="007E5D34"/>
    <w:rsid w:val="007E644A"/>
    <w:rsid w:val="007F2AFE"/>
    <w:rsid w:val="00800B44"/>
    <w:rsid w:val="0080211C"/>
    <w:rsid w:val="00802AD9"/>
    <w:rsid w:val="00807D03"/>
    <w:rsid w:val="008115FA"/>
    <w:rsid w:val="00814C7D"/>
    <w:rsid w:val="00827644"/>
    <w:rsid w:val="00830088"/>
    <w:rsid w:val="008300A5"/>
    <w:rsid w:val="00834380"/>
    <w:rsid w:val="0083618A"/>
    <w:rsid w:val="00836463"/>
    <w:rsid w:val="008379C9"/>
    <w:rsid w:val="00837BF7"/>
    <w:rsid w:val="008510CB"/>
    <w:rsid w:val="008570D6"/>
    <w:rsid w:val="00867063"/>
    <w:rsid w:val="008759A5"/>
    <w:rsid w:val="00880B4F"/>
    <w:rsid w:val="00883EFC"/>
    <w:rsid w:val="00890B2B"/>
    <w:rsid w:val="0089138C"/>
    <w:rsid w:val="0089139A"/>
    <w:rsid w:val="00892C48"/>
    <w:rsid w:val="00896854"/>
    <w:rsid w:val="008A0612"/>
    <w:rsid w:val="008A180A"/>
    <w:rsid w:val="008B1043"/>
    <w:rsid w:val="008C0FAE"/>
    <w:rsid w:val="008C6BB0"/>
    <w:rsid w:val="008C6DD3"/>
    <w:rsid w:val="008C74A4"/>
    <w:rsid w:val="008C7EF8"/>
    <w:rsid w:val="008D1DE2"/>
    <w:rsid w:val="008D2D35"/>
    <w:rsid w:val="008D4271"/>
    <w:rsid w:val="008D5F88"/>
    <w:rsid w:val="008E2BC8"/>
    <w:rsid w:val="008E51E1"/>
    <w:rsid w:val="008F745B"/>
    <w:rsid w:val="00900909"/>
    <w:rsid w:val="00902C08"/>
    <w:rsid w:val="00912EBF"/>
    <w:rsid w:val="0092071E"/>
    <w:rsid w:val="009223CC"/>
    <w:rsid w:val="00922402"/>
    <w:rsid w:val="009249C8"/>
    <w:rsid w:val="009267B8"/>
    <w:rsid w:val="00926874"/>
    <w:rsid w:val="00926C77"/>
    <w:rsid w:val="00927933"/>
    <w:rsid w:val="00947DDF"/>
    <w:rsid w:val="00952B14"/>
    <w:rsid w:val="009549B5"/>
    <w:rsid w:val="00957EF6"/>
    <w:rsid w:val="00960BD7"/>
    <w:rsid w:val="009640A8"/>
    <w:rsid w:val="00976CCF"/>
    <w:rsid w:val="00980740"/>
    <w:rsid w:val="00983797"/>
    <w:rsid w:val="009864AB"/>
    <w:rsid w:val="009A620A"/>
    <w:rsid w:val="009C6717"/>
    <w:rsid w:val="009D04F3"/>
    <w:rsid w:val="009D0E64"/>
    <w:rsid w:val="009D2FFA"/>
    <w:rsid w:val="009D406A"/>
    <w:rsid w:val="009D534E"/>
    <w:rsid w:val="009D5DBB"/>
    <w:rsid w:val="009E08F1"/>
    <w:rsid w:val="009E0B03"/>
    <w:rsid w:val="009E0D7A"/>
    <w:rsid w:val="009E4318"/>
    <w:rsid w:val="009E73E1"/>
    <w:rsid w:val="009F2CAB"/>
    <w:rsid w:val="009F7996"/>
    <w:rsid w:val="00A014EA"/>
    <w:rsid w:val="00A0249D"/>
    <w:rsid w:val="00A10D7B"/>
    <w:rsid w:val="00A17535"/>
    <w:rsid w:val="00A21619"/>
    <w:rsid w:val="00A2316B"/>
    <w:rsid w:val="00A27F88"/>
    <w:rsid w:val="00A3079A"/>
    <w:rsid w:val="00A30885"/>
    <w:rsid w:val="00A32DC2"/>
    <w:rsid w:val="00A347DA"/>
    <w:rsid w:val="00A35F68"/>
    <w:rsid w:val="00A427F7"/>
    <w:rsid w:val="00A42C16"/>
    <w:rsid w:val="00A434AC"/>
    <w:rsid w:val="00A44308"/>
    <w:rsid w:val="00A47B3C"/>
    <w:rsid w:val="00A53102"/>
    <w:rsid w:val="00A53472"/>
    <w:rsid w:val="00A5385A"/>
    <w:rsid w:val="00A61457"/>
    <w:rsid w:val="00A631B4"/>
    <w:rsid w:val="00A63224"/>
    <w:rsid w:val="00A64453"/>
    <w:rsid w:val="00A706D2"/>
    <w:rsid w:val="00A84095"/>
    <w:rsid w:val="00A84E00"/>
    <w:rsid w:val="00A927AE"/>
    <w:rsid w:val="00A92990"/>
    <w:rsid w:val="00A968B4"/>
    <w:rsid w:val="00AA2740"/>
    <w:rsid w:val="00AA2BE3"/>
    <w:rsid w:val="00AB33E2"/>
    <w:rsid w:val="00AB5942"/>
    <w:rsid w:val="00AB77D1"/>
    <w:rsid w:val="00AC0B8E"/>
    <w:rsid w:val="00AC0C52"/>
    <w:rsid w:val="00AC114E"/>
    <w:rsid w:val="00AC14D6"/>
    <w:rsid w:val="00AD00FC"/>
    <w:rsid w:val="00AD4C53"/>
    <w:rsid w:val="00AD5CF4"/>
    <w:rsid w:val="00AD7963"/>
    <w:rsid w:val="00AE1F1E"/>
    <w:rsid w:val="00AE37EE"/>
    <w:rsid w:val="00AF413F"/>
    <w:rsid w:val="00AF5BFC"/>
    <w:rsid w:val="00B04F97"/>
    <w:rsid w:val="00B051EC"/>
    <w:rsid w:val="00B11F91"/>
    <w:rsid w:val="00B20BAD"/>
    <w:rsid w:val="00B238CB"/>
    <w:rsid w:val="00B305B9"/>
    <w:rsid w:val="00B33C6A"/>
    <w:rsid w:val="00B413FA"/>
    <w:rsid w:val="00B41E81"/>
    <w:rsid w:val="00B447E4"/>
    <w:rsid w:val="00B449C1"/>
    <w:rsid w:val="00B51378"/>
    <w:rsid w:val="00B51BC2"/>
    <w:rsid w:val="00B54DD7"/>
    <w:rsid w:val="00B65DEE"/>
    <w:rsid w:val="00B751CE"/>
    <w:rsid w:val="00B80868"/>
    <w:rsid w:val="00B8679E"/>
    <w:rsid w:val="00B928EC"/>
    <w:rsid w:val="00B9363C"/>
    <w:rsid w:val="00B94785"/>
    <w:rsid w:val="00BA4480"/>
    <w:rsid w:val="00BA7D19"/>
    <w:rsid w:val="00BB4C33"/>
    <w:rsid w:val="00BB77A9"/>
    <w:rsid w:val="00BC0DD2"/>
    <w:rsid w:val="00BC38B2"/>
    <w:rsid w:val="00BC7AEC"/>
    <w:rsid w:val="00BD4D16"/>
    <w:rsid w:val="00BD5EDA"/>
    <w:rsid w:val="00BE07BB"/>
    <w:rsid w:val="00BE2898"/>
    <w:rsid w:val="00BE5E7D"/>
    <w:rsid w:val="00BF2F1B"/>
    <w:rsid w:val="00BF4807"/>
    <w:rsid w:val="00C03DFB"/>
    <w:rsid w:val="00C03F0F"/>
    <w:rsid w:val="00C07E91"/>
    <w:rsid w:val="00C10929"/>
    <w:rsid w:val="00C11986"/>
    <w:rsid w:val="00C13A5A"/>
    <w:rsid w:val="00C154FF"/>
    <w:rsid w:val="00C1579A"/>
    <w:rsid w:val="00C16049"/>
    <w:rsid w:val="00C219AC"/>
    <w:rsid w:val="00C24CD4"/>
    <w:rsid w:val="00C37732"/>
    <w:rsid w:val="00C4020A"/>
    <w:rsid w:val="00C40C50"/>
    <w:rsid w:val="00C428A0"/>
    <w:rsid w:val="00C50569"/>
    <w:rsid w:val="00C542C7"/>
    <w:rsid w:val="00C55D4B"/>
    <w:rsid w:val="00C73841"/>
    <w:rsid w:val="00C755BD"/>
    <w:rsid w:val="00C75650"/>
    <w:rsid w:val="00C766D6"/>
    <w:rsid w:val="00C83DBE"/>
    <w:rsid w:val="00C91B14"/>
    <w:rsid w:val="00C926F5"/>
    <w:rsid w:val="00C93AD3"/>
    <w:rsid w:val="00C96548"/>
    <w:rsid w:val="00CA0C0A"/>
    <w:rsid w:val="00CA16CC"/>
    <w:rsid w:val="00CB638F"/>
    <w:rsid w:val="00CC0D42"/>
    <w:rsid w:val="00CC7301"/>
    <w:rsid w:val="00CD7BA0"/>
    <w:rsid w:val="00CE141C"/>
    <w:rsid w:val="00CE1D66"/>
    <w:rsid w:val="00CE5616"/>
    <w:rsid w:val="00CE7986"/>
    <w:rsid w:val="00CF25C8"/>
    <w:rsid w:val="00CF60D1"/>
    <w:rsid w:val="00CF7AB5"/>
    <w:rsid w:val="00D01914"/>
    <w:rsid w:val="00D05418"/>
    <w:rsid w:val="00D06515"/>
    <w:rsid w:val="00D271A0"/>
    <w:rsid w:val="00D37645"/>
    <w:rsid w:val="00D43BBC"/>
    <w:rsid w:val="00D63CD7"/>
    <w:rsid w:val="00D65B82"/>
    <w:rsid w:val="00D726AF"/>
    <w:rsid w:val="00D9052E"/>
    <w:rsid w:val="00D914E2"/>
    <w:rsid w:val="00D9207D"/>
    <w:rsid w:val="00D93735"/>
    <w:rsid w:val="00D9518B"/>
    <w:rsid w:val="00D96D03"/>
    <w:rsid w:val="00DA391A"/>
    <w:rsid w:val="00DA45A1"/>
    <w:rsid w:val="00DA6A91"/>
    <w:rsid w:val="00DC0519"/>
    <w:rsid w:val="00DD264C"/>
    <w:rsid w:val="00DD2EF3"/>
    <w:rsid w:val="00DD43D2"/>
    <w:rsid w:val="00DD49E2"/>
    <w:rsid w:val="00DD51C9"/>
    <w:rsid w:val="00DE2628"/>
    <w:rsid w:val="00DE5229"/>
    <w:rsid w:val="00DF584C"/>
    <w:rsid w:val="00DF698D"/>
    <w:rsid w:val="00E00ED3"/>
    <w:rsid w:val="00E10A18"/>
    <w:rsid w:val="00E13D3B"/>
    <w:rsid w:val="00E175EA"/>
    <w:rsid w:val="00E23318"/>
    <w:rsid w:val="00E25FB7"/>
    <w:rsid w:val="00E2770A"/>
    <w:rsid w:val="00E3160B"/>
    <w:rsid w:val="00E33431"/>
    <w:rsid w:val="00E3457E"/>
    <w:rsid w:val="00E44938"/>
    <w:rsid w:val="00E4521D"/>
    <w:rsid w:val="00E453C9"/>
    <w:rsid w:val="00E455EB"/>
    <w:rsid w:val="00E47060"/>
    <w:rsid w:val="00E47BD8"/>
    <w:rsid w:val="00E54312"/>
    <w:rsid w:val="00E561FF"/>
    <w:rsid w:val="00E61F80"/>
    <w:rsid w:val="00E6511C"/>
    <w:rsid w:val="00E66F82"/>
    <w:rsid w:val="00E7688E"/>
    <w:rsid w:val="00E81B6B"/>
    <w:rsid w:val="00E837D8"/>
    <w:rsid w:val="00E87E82"/>
    <w:rsid w:val="00E90892"/>
    <w:rsid w:val="00E90DFA"/>
    <w:rsid w:val="00EA157F"/>
    <w:rsid w:val="00EA3580"/>
    <w:rsid w:val="00EA5A07"/>
    <w:rsid w:val="00EA7130"/>
    <w:rsid w:val="00EA7C0E"/>
    <w:rsid w:val="00EB20E8"/>
    <w:rsid w:val="00EC1DF4"/>
    <w:rsid w:val="00EC5C93"/>
    <w:rsid w:val="00ED41D3"/>
    <w:rsid w:val="00EE14A6"/>
    <w:rsid w:val="00EE4926"/>
    <w:rsid w:val="00EE4D33"/>
    <w:rsid w:val="00EE7265"/>
    <w:rsid w:val="00F00AB5"/>
    <w:rsid w:val="00F07A56"/>
    <w:rsid w:val="00F110BD"/>
    <w:rsid w:val="00F1334C"/>
    <w:rsid w:val="00F153AE"/>
    <w:rsid w:val="00F266FF"/>
    <w:rsid w:val="00F26E99"/>
    <w:rsid w:val="00F26FCD"/>
    <w:rsid w:val="00F30F04"/>
    <w:rsid w:val="00F31FBF"/>
    <w:rsid w:val="00F36622"/>
    <w:rsid w:val="00F40ABD"/>
    <w:rsid w:val="00F4430C"/>
    <w:rsid w:val="00F44728"/>
    <w:rsid w:val="00F52628"/>
    <w:rsid w:val="00F56249"/>
    <w:rsid w:val="00F56B25"/>
    <w:rsid w:val="00F62780"/>
    <w:rsid w:val="00F64369"/>
    <w:rsid w:val="00F75E1E"/>
    <w:rsid w:val="00F810C7"/>
    <w:rsid w:val="00F83891"/>
    <w:rsid w:val="00FA0A40"/>
    <w:rsid w:val="00FB529E"/>
    <w:rsid w:val="00FB6C97"/>
    <w:rsid w:val="00FC1041"/>
    <w:rsid w:val="00FC2B33"/>
    <w:rsid w:val="00FC67E7"/>
    <w:rsid w:val="00FD3383"/>
    <w:rsid w:val="00FD3A75"/>
    <w:rsid w:val="00FD6A0F"/>
    <w:rsid w:val="00FD71B6"/>
    <w:rsid w:val="00FF01CC"/>
    <w:rsid w:val="00FF6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C63C2"/>
  <w15:chartTrackingRefBased/>
  <w15:docId w15:val="{9FC454D1-331E-4D56-92E1-D83A554D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A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A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A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A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A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A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A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A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A0F"/>
    <w:rPr>
      <w:rFonts w:eastAsiaTheme="majorEastAsia" w:cstheme="majorBidi"/>
      <w:color w:val="272727" w:themeColor="text1" w:themeTint="D8"/>
    </w:rPr>
  </w:style>
  <w:style w:type="paragraph" w:styleId="Title">
    <w:name w:val="Title"/>
    <w:basedOn w:val="Normal"/>
    <w:next w:val="Normal"/>
    <w:link w:val="TitleChar"/>
    <w:uiPriority w:val="10"/>
    <w:qFormat/>
    <w:rsid w:val="00FD6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A0F"/>
    <w:pPr>
      <w:spacing w:before="160"/>
      <w:jc w:val="center"/>
    </w:pPr>
    <w:rPr>
      <w:i/>
      <w:iCs/>
      <w:color w:val="404040" w:themeColor="text1" w:themeTint="BF"/>
    </w:rPr>
  </w:style>
  <w:style w:type="character" w:customStyle="1" w:styleId="QuoteChar">
    <w:name w:val="Quote Char"/>
    <w:basedOn w:val="DefaultParagraphFont"/>
    <w:link w:val="Quote"/>
    <w:uiPriority w:val="29"/>
    <w:rsid w:val="00FD6A0F"/>
    <w:rPr>
      <w:i/>
      <w:iCs/>
      <w:color w:val="404040" w:themeColor="text1" w:themeTint="BF"/>
    </w:rPr>
  </w:style>
  <w:style w:type="paragraph" w:styleId="ListParagraph">
    <w:name w:val="List Paragraph"/>
    <w:basedOn w:val="Normal"/>
    <w:uiPriority w:val="34"/>
    <w:qFormat/>
    <w:rsid w:val="00FD6A0F"/>
    <w:pPr>
      <w:ind w:left="720"/>
      <w:contextualSpacing/>
    </w:pPr>
  </w:style>
  <w:style w:type="character" w:styleId="IntenseEmphasis">
    <w:name w:val="Intense Emphasis"/>
    <w:basedOn w:val="DefaultParagraphFont"/>
    <w:uiPriority w:val="21"/>
    <w:qFormat/>
    <w:rsid w:val="00FD6A0F"/>
    <w:rPr>
      <w:i/>
      <w:iCs/>
      <w:color w:val="0F4761" w:themeColor="accent1" w:themeShade="BF"/>
    </w:rPr>
  </w:style>
  <w:style w:type="paragraph" w:styleId="IntenseQuote">
    <w:name w:val="Intense Quote"/>
    <w:basedOn w:val="Normal"/>
    <w:next w:val="Normal"/>
    <w:link w:val="IntenseQuoteChar"/>
    <w:uiPriority w:val="30"/>
    <w:qFormat/>
    <w:rsid w:val="00FD6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A0F"/>
    <w:rPr>
      <w:i/>
      <w:iCs/>
      <w:color w:val="0F4761" w:themeColor="accent1" w:themeShade="BF"/>
    </w:rPr>
  </w:style>
  <w:style w:type="character" w:styleId="IntenseReference">
    <w:name w:val="Intense Reference"/>
    <w:basedOn w:val="DefaultParagraphFont"/>
    <w:uiPriority w:val="32"/>
    <w:qFormat/>
    <w:rsid w:val="00FD6A0F"/>
    <w:rPr>
      <w:b/>
      <w:bCs/>
      <w:smallCaps/>
      <w:color w:val="0F4761" w:themeColor="accent1" w:themeShade="BF"/>
      <w:spacing w:val="5"/>
    </w:rPr>
  </w:style>
  <w:style w:type="character" w:styleId="Hyperlink">
    <w:name w:val="Hyperlink"/>
    <w:basedOn w:val="DefaultParagraphFont"/>
    <w:uiPriority w:val="99"/>
    <w:unhideWhenUsed/>
    <w:rsid w:val="0026731B"/>
    <w:rPr>
      <w:color w:val="467886" w:themeColor="hyperlink"/>
      <w:u w:val="single"/>
    </w:rPr>
  </w:style>
  <w:style w:type="character" w:styleId="UnresolvedMention">
    <w:name w:val="Unresolved Mention"/>
    <w:basedOn w:val="DefaultParagraphFont"/>
    <w:uiPriority w:val="99"/>
    <w:semiHidden/>
    <w:unhideWhenUsed/>
    <w:rsid w:val="0026731B"/>
    <w:rPr>
      <w:color w:val="605E5C"/>
      <w:shd w:val="clear" w:color="auto" w:fill="E1DFDD"/>
    </w:rPr>
  </w:style>
  <w:style w:type="character" w:styleId="FollowedHyperlink">
    <w:name w:val="FollowedHyperlink"/>
    <w:basedOn w:val="DefaultParagraphFont"/>
    <w:uiPriority w:val="99"/>
    <w:semiHidden/>
    <w:unhideWhenUsed/>
    <w:rsid w:val="003659C4"/>
    <w:rPr>
      <w:color w:val="96607D" w:themeColor="followedHyperlink"/>
      <w:u w:val="single"/>
    </w:rPr>
  </w:style>
  <w:style w:type="paragraph" w:styleId="FootnoteText">
    <w:name w:val="footnote text"/>
    <w:basedOn w:val="Normal"/>
    <w:link w:val="FootnoteTextChar"/>
    <w:uiPriority w:val="99"/>
    <w:unhideWhenUsed/>
    <w:rsid w:val="00082704"/>
    <w:pPr>
      <w:spacing w:after="0" w:line="240" w:lineRule="auto"/>
    </w:pPr>
    <w:rPr>
      <w:sz w:val="20"/>
      <w:szCs w:val="20"/>
    </w:rPr>
  </w:style>
  <w:style w:type="character" w:customStyle="1" w:styleId="FootnoteTextChar">
    <w:name w:val="Footnote Text Char"/>
    <w:basedOn w:val="DefaultParagraphFont"/>
    <w:link w:val="FootnoteText"/>
    <w:uiPriority w:val="99"/>
    <w:rsid w:val="00082704"/>
    <w:rPr>
      <w:sz w:val="20"/>
      <w:szCs w:val="20"/>
    </w:rPr>
  </w:style>
  <w:style w:type="character" w:styleId="FootnoteReference">
    <w:name w:val="footnote reference"/>
    <w:basedOn w:val="DefaultParagraphFont"/>
    <w:uiPriority w:val="99"/>
    <w:semiHidden/>
    <w:unhideWhenUsed/>
    <w:rsid w:val="00082704"/>
    <w:rPr>
      <w:vertAlign w:val="superscript"/>
    </w:rPr>
  </w:style>
  <w:style w:type="character" w:styleId="CommentReference">
    <w:name w:val="annotation reference"/>
    <w:basedOn w:val="DefaultParagraphFont"/>
    <w:uiPriority w:val="99"/>
    <w:semiHidden/>
    <w:unhideWhenUsed/>
    <w:rsid w:val="005D597B"/>
    <w:rPr>
      <w:sz w:val="16"/>
      <w:szCs w:val="16"/>
    </w:rPr>
  </w:style>
  <w:style w:type="paragraph" w:styleId="CommentText">
    <w:name w:val="annotation text"/>
    <w:basedOn w:val="Normal"/>
    <w:link w:val="CommentTextChar"/>
    <w:uiPriority w:val="99"/>
    <w:unhideWhenUsed/>
    <w:rsid w:val="005D597B"/>
    <w:pPr>
      <w:spacing w:line="240" w:lineRule="auto"/>
    </w:pPr>
    <w:rPr>
      <w:sz w:val="20"/>
      <w:szCs w:val="20"/>
    </w:rPr>
  </w:style>
  <w:style w:type="character" w:customStyle="1" w:styleId="CommentTextChar">
    <w:name w:val="Comment Text Char"/>
    <w:basedOn w:val="DefaultParagraphFont"/>
    <w:link w:val="CommentText"/>
    <w:uiPriority w:val="99"/>
    <w:rsid w:val="005D597B"/>
    <w:rPr>
      <w:sz w:val="20"/>
      <w:szCs w:val="20"/>
    </w:rPr>
  </w:style>
  <w:style w:type="paragraph" w:styleId="CommentSubject">
    <w:name w:val="annotation subject"/>
    <w:basedOn w:val="CommentText"/>
    <w:next w:val="CommentText"/>
    <w:link w:val="CommentSubjectChar"/>
    <w:uiPriority w:val="99"/>
    <w:semiHidden/>
    <w:unhideWhenUsed/>
    <w:rsid w:val="005D597B"/>
    <w:rPr>
      <w:b/>
      <w:bCs/>
    </w:rPr>
  </w:style>
  <w:style w:type="character" w:customStyle="1" w:styleId="CommentSubjectChar">
    <w:name w:val="Comment Subject Char"/>
    <w:basedOn w:val="CommentTextChar"/>
    <w:link w:val="CommentSubject"/>
    <w:uiPriority w:val="99"/>
    <w:semiHidden/>
    <w:rsid w:val="005D597B"/>
    <w:rPr>
      <w:b/>
      <w:bCs/>
      <w:sz w:val="20"/>
      <w:szCs w:val="20"/>
    </w:rPr>
  </w:style>
  <w:style w:type="paragraph" w:styleId="Header">
    <w:name w:val="header"/>
    <w:basedOn w:val="Normal"/>
    <w:link w:val="HeaderChar"/>
    <w:uiPriority w:val="99"/>
    <w:unhideWhenUsed/>
    <w:rsid w:val="00FD3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383"/>
  </w:style>
  <w:style w:type="paragraph" w:styleId="Footer">
    <w:name w:val="footer"/>
    <w:basedOn w:val="Normal"/>
    <w:link w:val="FooterChar"/>
    <w:uiPriority w:val="99"/>
    <w:unhideWhenUsed/>
    <w:rsid w:val="00FD3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383"/>
  </w:style>
  <w:style w:type="paragraph" w:styleId="BalloonText">
    <w:name w:val="Balloon Text"/>
    <w:basedOn w:val="Normal"/>
    <w:link w:val="BalloonTextChar"/>
    <w:uiPriority w:val="99"/>
    <w:semiHidden/>
    <w:unhideWhenUsed/>
    <w:rsid w:val="00755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F62"/>
    <w:rPr>
      <w:rFonts w:ascii="Segoe UI" w:hAnsi="Segoe UI" w:cs="Segoe UI"/>
      <w:sz w:val="18"/>
      <w:szCs w:val="18"/>
    </w:rPr>
  </w:style>
  <w:style w:type="paragraph" w:styleId="Revision">
    <w:name w:val="Revision"/>
    <w:hidden/>
    <w:uiPriority w:val="99"/>
    <w:semiHidden/>
    <w:rsid w:val="003336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5926">
      <w:bodyDiv w:val="1"/>
      <w:marLeft w:val="0"/>
      <w:marRight w:val="0"/>
      <w:marTop w:val="0"/>
      <w:marBottom w:val="0"/>
      <w:divBdr>
        <w:top w:val="none" w:sz="0" w:space="0" w:color="auto"/>
        <w:left w:val="none" w:sz="0" w:space="0" w:color="auto"/>
        <w:bottom w:val="none" w:sz="0" w:space="0" w:color="auto"/>
        <w:right w:val="none" w:sz="0" w:space="0" w:color="auto"/>
      </w:divBdr>
    </w:div>
    <w:div w:id="201983788">
      <w:bodyDiv w:val="1"/>
      <w:marLeft w:val="0"/>
      <w:marRight w:val="0"/>
      <w:marTop w:val="0"/>
      <w:marBottom w:val="0"/>
      <w:divBdr>
        <w:top w:val="none" w:sz="0" w:space="0" w:color="auto"/>
        <w:left w:val="none" w:sz="0" w:space="0" w:color="auto"/>
        <w:bottom w:val="none" w:sz="0" w:space="0" w:color="auto"/>
        <w:right w:val="none" w:sz="0" w:space="0" w:color="auto"/>
      </w:divBdr>
    </w:div>
    <w:div w:id="308175480">
      <w:bodyDiv w:val="1"/>
      <w:marLeft w:val="0"/>
      <w:marRight w:val="0"/>
      <w:marTop w:val="0"/>
      <w:marBottom w:val="0"/>
      <w:divBdr>
        <w:top w:val="none" w:sz="0" w:space="0" w:color="auto"/>
        <w:left w:val="none" w:sz="0" w:space="0" w:color="auto"/>
        <w:bottom w:val="none" w:sz="0" w:space="0" w:color="auto"/>
        <w:right w:val="none" w:sz="0" w:space="0" w:color="auto"/>
      </w:divBdr>
      <w:divsChild>
        <w:div w:id="294532921">
          <w:marLeft w:val="0"/>
          <w:marRight w:val="0"/>
          <w:marTop w:val="0"/>
          <w:marBottom w:val="0"/>
          <w:divBdr>
            <w:top w:val="none" w:sz="0" w:space="0" w:color="auto"/>
            <w:left w:val="none" w:sz="0" w:space="0" w:color="auto"/>
            <w:bottom w:val="none" w:sz="0" w:space="0" w:color="auto"/>
            <w:right w:val="none" w:sz="0" w:space="0" w:color="auto"/>
          </w:divBdr>
        </w:div>
      </w:divsChild>
    </w:div>
    <w:div w:id="352194775">
      <w:bodyDiv w:val="1"/>
      <w:marLeft w:val="0"/>
      <w:marRight w:val="0"/>
      <w:marTop w:val="0"/>
      <w:marBottom w:val="0"/>
      <w:divBdr>
        <w:top w:val="none" w:sz="0" w:space="0" w:color="auto"/>
        <w:left w:val="none" w:sz="0" w:space="0" w:color="auto"/>
        <w:bottom w:val="none" w:sz="0" w:space="0" w:color="auto"/>
        <w:right w:val="none" w:sz="0" w:space="0" w:color="auto"/>
      </w:divBdr>
    </w:div>
    <w:div w:id="372122703">
      <w:bodyDiv w:val="1"/>
      <w:marLeft w:val="0"/>
      <w:marRight w:val="0"/>
      <w:marTop w:val="0"/>
      <w:marBottom w:val="0"/>
      <w:divBdr>
        <w:top w:val="none" w:sz="0" w:space="0" w:color="auto"/>
        <w:left w:val="none" w:sz="0" w:space="0" w:color="auto"/>
        <w:bottom w:val="none" w:sz="0" w:space="0" w:color="auto"/>
        <w:right w:val="none" w:sz="0" w:space="0" w:color="auto"/>
      </w:divBdr>
      <w:divsChild>
        <w:div w:id="1427966234">
          <w:marLeft w:val="0"/>
          <w:marRight w:val="0"/>
          <w:marTop w:val="0"/>
          <w:marBottom w:val="0"/>
          <w:divBdr>
            <w:top w:val="none" w:sz="0" w:space="0" w:color="auto"/>
            <w:left w:val="none" w:sz="0" w:space="0" w:color="auto"/>
            <w:bottom w:val="none" w:sz="0" w:space="0" w:color="auto"/>
            <w:right w:val="none" w:sz="0" w:space="0" w:color="auto"/>
          </w:divBdr>
        </w:div>
        <w:div w:id="1148127623">
          <w:marLeft w:val="0"/>
          <w:marRight w:val="0"/>
          <w:marTop w:val="0"/>
          <w:marBottom w:val="0"/>
          <w:divBdr>
            <w:top w:val="none" w:sz="0" w:space="0" w:color="auto"/>
            <w:left w:val="none" w:sz="0" w:space="0" w:color="auto"/>
            <w:bottom w:val="none" w:sz="0" w:space="0" w:color="auto"/>
            <w:right w:val="none" w:sz="0" w:space="0" w:color="auto"/>
          </w:divBdr>
        </w:div>
      </w:divsChild>
    </w:div>
    <w:div w:id="414862331">
      <w:bodyDiv w:val="1"/>
      <w:marLeft w:val="0"/>
      <w:marRight w:val="0"/>
      <w:marTop w:val="0"/>
      <w:marBottom w:val="0"/>
      <w:divBdr>
        <w:top w:val="none" w:sz="0" w:space="0" w:color="auto"/>
        <w:left w:val="none" w:sz="0" w:space="0" w:color="auto"/>
        <w:bottom w:val="none" w:sz="0" w:space="0" w:color="auto"/>
        <w:right w:val="none" w:sz="0" w:space="0" w:color="auto"/>
      </w:divBdr>
    </w:div>
    <w:div w:id="433597368">
      <w:bodyDiv w:val="1"/>
      <w:marLeft w:val="0"/>
      <w:marRight w:val="0"/>
      <w:marTop w:val="0"/>
      <w:marBottom w:val="0"/>
      <w:divBdr>
        <w:top w:val="none" w:sz="0" w:space="0" w:color="auto"/>
        <w:left w:val="none" w:sz="0" w:space="0" w:color="auto"/>
        <w:bottom w:val="none" w:sz="0" w:space="0" w:color="auto"/>
        <w:right w:val="none" w:sz="0" w:space="0" w:color="auto"/>
      </w:divBdr>
    </w:div>
    <w:div w:id="553274478">
      <w:bodyDiv w:val="1"/>
      <w:marLeft w:val="0"/>
      <w:marRight w:val="0"/>
      <w:marTop w:val="0"/>
      <w:marBottom w:val="0"/>
      <w:divBdr>
        <w:top w:val="none" w:sz="0" w:space="0" w:color="auto"/>
        <w:left w:val="none" w:sz="0" w:space="0" w:color="auto"/>
        <w:bottom w:val="none" w:sz="0" w:space="0" w:color="auto"/>
        <w:right w:val="none" w:sz="0" w:space="0" w:color="auto"/>
      </w:divBdr>
    </w:div>
    <w:div w:id="625358213">
      <w:bodyDiv w:val="1"/>
      <w:marLeft w:val="0"/>
      <w:marRight w:val="0"/>
      <w:marTop w:val="0"/>
      <w:marBottom w:val="0"/>
      <w:divBdr>
        <w:top w:val="none" w:sz="0" w:space="0" w:color="auto"/>
        <w:left w:val="none" w:sz="0" w:space="0" w:color="auto"/>
        <w:bottom w:val="none" w:sz="0" w:space="0" w:color="auto"/>
        <w:right w:val="none" w:sz="0" w:space="0" w:color="auto"/>
      </w:divBdr>
    </w:div>
    <w:div w:id="628560375">
      <w:bodyDiv w:val="1"/>
      <w:marLeft w:val="0"/>
      <w:marRight w:val="0"/>
      <w:marTop w:val="0"/>
      <w:marBottom w:val="0"/>
      <w:divBdr>
        <w:top w:val="none" w:sz="0" w:space="0" w:color="auto"/>
        <w:left w:val="none" w:sz="0" w:space="0" w:color="auto"/>
        <w:bottom w:val="none" w:sz="0" w:space="0" w:color="auto"/>
        <w:right w:val="none" w:sz="0" w:space="0" w:color="auto"/>
      </w:divBdr>
    </w:div>
    <w:div w:id="774908436">
      <w:bodyDiv w:val="1"/>
      <w:marLeft w:val="0"/>
      <w:marRight w:val="0"/>
      <w:marTop w:val="0"/>
      <w:marBottom w:val="0"/>
      <w:divBdr>
        <w:top w:val="none" w:sz="0" w:space="0" w:color="auto"/>
        <w:left w:val="none" w:sz="0" w:space="0" w:color="auto"/>
        <w:bottom w:val="none" w:sz="0" w:space="0" w:color="auto"/>
        <w:right w:val="none" w:sz="0" w:space="0" w:color="auto"/>
      </w:divBdr>
    </w:div>
    <w:div w:id="779106831">
      <w:bodyDiv w:val="1"/>
      <w:marLeft w:val="0"/>
      <w:marRight w:val="0"/>
      <w:marTop w:val="0"/>
      <w:marBottom w:val="0"/>
      <w:divBdr>
        <w:top w:val="none" w:sz="0" w:space="0" w:color="auto"/>
        <w:left w:val="none" w:sz="0" w:space="0" w:color="auto"/>
        <w:bottom w:val="none" w:sz="0" w:space="0" w:color="auto"/>
        <w:right w:val="none" w:sz="0" w:space="0" w:color="auto"/>
      </w:divBdr>
    </w:div>
    <w:div w:id="1032413000">
      <w:bodyDiv w:val="1"/>
      <w:marLeft w:val="0"/>
      <w:marRight w:val="0"/>
      <w:marTop w:val="0"/>
      <w:marBottom w:val="0"/>
      <w:divBdr>
        <w:top w:val="none" w:sz="0" w:space="0" w:color="auto"/>
        <w:left w:val="none" w:sz="0" w:space="0" w:color="auto"/>
        <w:bottom w:val="none" w:sz="0" w:space="0" w:color="auto"/>
        <w:right w:val="none" w:sz="0" w:space="0" w:color="auto"/>
      </w:divBdr>
    </w:div>
    <w:div w:id="1143347890">
      <w:bodyDiv w:val="1"/>
      <w:marLeft w:val="0"/>
      <w:marRight w:val="0"/>
      <w:marTop w:val="0"/>
      <w:marBottom w:val="0"/>
      <w:divBdr>
        <w:top w:val="none" w:sz="0" w:space="0" w:color="auto"/>
        <w:left w:val="none" w:sz="0" w:space="0" w:color="auto"/>
        <w:bottom w:val="none" w:sz="0" w:space="0" w:color="auto"/>
        <w:right w:val="none" w:sz="0" w:space="0" w:color="auto"/>
      </w:divBdr>
    </w:div>
    <w:div w:id="1361051900">
      <w:bodyDiv w:val="1"/>
      <w:marLeft w:val="0"/>
      <w:marRight w:val="0"/>
      <w:marTop w:val="0"/>
      <w:marBottom w:val="0"/>
      <w:divBdr>
        <w:top w:val="none" w:sz="0" w:space="0" w:color="auto"/>
        <w:left w:val="none" w:sz="0" w:space="0" w:color="auto"/>
        <w:bottom w:val="none" w:sz="0" w:space="0" w:color="auto"/>
        <w:right w:val="none" w:sz="0" w:space="0" w:color="auto"/>
      </w:divBdr>
    </w:div>
    <w:div w:id="1362589834">
      <w:bodyDiv w:val="1"/>
      <w:marLeft w:val="0"/>
      <w:marRight w:val="0"/>
      <w:marTop w:val="0"/>
      <w:marBottom w:val="0"/>
      <w:divBdr>
        <w:top w:val="none" w:sz="0" w:space="0" w:color="auto"/>
        <w:left w:val="none" w:sz="0" w:space="0" w:color="auto"/>
        <w:bottom w:val="none" w:sz="0" w:space="0" w:color="auto"/>
        <w:right w:val="none" w:sz="0" w:space="0" w:color="auto"/>
      </w:divBdr>
    </w:div>
    <w:div w:id="1376081027">
      <w:bodyDiv w:val="1"/>
      <w:marLeft w:val="0"/>
      <w:marRight w:val="0"/>
      <w:marTop w:val="0"/>
      <w:marBottom w:val="0"/>
      <w:divBdr>
        <w:top w:val="none" w:sz="0" w:space="0" w:color="auto"/>
        <w:left w:val="none" w:sz="0" w:space="0" w:color="auto"/>
        <w:bottom w:val="none" w:sz="0" w:space="0" w:color="auto"/>
        <w:right w:val="none" w:sz="0" w:space="0" w:color="auto"/>
      </w:divBdr>
    </w:div>
    <w:div w:id="1521122313">
      <w:bodyDiv w:val="1"/>
      <w:marLeft w:val="0"/>
      <w:marRight w:val="0"/>
      <w:marTop w:val="0"/>
      <w:marBottom w:val="0"/>
      <w:divBdr>
        <w:top w:val="none" w:sz="0" w:space="0" w:color="auto"/>
        <w:left w:val="none" w:sz="0" w:space="0" w:color="auto"/>
        <w:bottom w:val="none" w:sz="0" w:space="0" w:color="auto"/>
        <w:right w:val="none" w:sz="0" w:space="0" w:color="auto"/>
      </w:divBdr>
      <w:divsChild>
        <w:div w:id="1957983793">
          <w:marLeft w:val="0"/>
          <w:marRight w:val="0"/>
          <w:marTop w:val="0"/>
          <w:marBottom w:val="0"/>
          <w:divBdr>
            <w:top w:val="none" w:sz="0" w:space="0" w:color="auto"/>
            <w:left w:val="none" w:sz="0" w:space="0" w:color="auto"/>
            <w:bottom w:val="none" w:sz="0" w:space="0" w:color="auto"/>
            <w:right w:val="none" w:sz="0" w:space="0" w:color="auto"/>
          </w:divBdr>
        </w:div>
      </w:divsChild>
    </w:div>
    <w:div w:id="1681853563">
      <w:bodyDiv w:val="1"/>
      <w:marLeft w:val="0"/>
      <w:marRight w:val="0"/>
      <w:marTop w:val="0"/>
      <w:marBottom w:val="0"/>
      <w:divBdr>
        <w:top w:val="none" w:sz="0" w:space="0" w:color="auto"/>
        <w:left w:val="none" w:sz="0" w:space="0" w:color="auto"/>
        <w:bottom w:val="none" w:sz="0" w:space="0" w:color="auto"/>
        <w:right w:val="none" w:sz="0" w:space="0" w:color="auto"/>
      </w:divBdr>
    </w:div>
    <w:div w:id="1709835909">
      <w:bodyDiv w:val="1"/>
      <w:marLeft w:val="0"/>
      <w:marRight w:val="0"/>
      <w:marTop w:val="0"/>
      <w:marBottom w:val="0"/>
      <w:divBdr>
        <w:top w:val="none" w:sz="0" w:space="0" w:color="auto"/>
        <w:left w:val="none" w:sz="0" w:space="0" w:color="auto"/>
        <w:bottom w:val="none" w:sz="0" w:space="0" w:color="auto"/>
        <w:right w:val="none" w:sz="0" w:space="0" w:color="auto"/>
      </w:divBdr>
      <w:divsChild>
        <w:div w:id="1965579747">
          <w:marLeft w:val="0"/>
          <w:marRight w:val="0"/>
          <w:marTop w:val="0"/>
          <w:marBottom w:val="0"/>
          <w:divBdr>
            <w:top w:val="none" w:sz="0" w:space="0" w:color="auto"/>
            <w:left w:val="none" w:sz="0" w:space="0" w:color="auto"/>
            <w:bottom w:val="none" w:sz="0" w:space="0" w:color="auto"/>
            <w:right w:val="none" w:sz="0" w:space="0" w:color="auto"/>
          </w:divBdr>
        </w:div>
      </w:divsChild>
    </w:div>
    <w:div w:id="1726761143">
      <w:bodyDiv w:val="1"/>
      <w:marLeft w:val="0"/>
      <w:marRight w:val="0"/>
      <w:marTop w:val="0"/>
      <w:marBottom w:val="0"/>
      <w:divBdr>
        <w:top w:val="none" w:sz="0" w:space="0" w:color="auto"/>
        <w:left w:val="none" w:sz="0" w:space="0" w:color="auto"/>
        <w:bottom w:val="none" w:sz="0" w:space="0" w:color="auto"/>
        <w:right w:val="none" w:sz="0" w:space="0" w:color="auto"/>
      </w:divBdr>
    </w:div>
    <w:div w:id="1920283030">
      <w:bodyDiv w:val="1"/>
      <w:marLeft w:val="0"/>
      <w:marRight w:val="0"/>
      <w:marTop w:val="0"/>
      <w:marBottom w:val="0"/>
      <w:divBdr>
        <w:top w:val="none" w:sz="0" w:space="0" w:color="auto"/>
        <w:left w:val="none" w:sz="0" w:space="0" w:color="auto"/>
        <w:bottom w:val="none" w:sz="0" w:space="0" w:color="auto"/>
        <w:right w:val="none" w:sz="0" w:space="0" w:color="auto"/>
      </w:divBdr>
    </w:div>
    <w:div w:id="1921285127">
      <w:bodyDiv w:val="1"/>
      <w:marLeft w:val="0"/>
      <w:marRight w:val="0"/>
      <w:marTop w:val="0"/>
      <w:marBottom w:val="0"/>
      <w:divBdr>
        <w:top w:val="none" w:sz="0" w:space="0" w:color="auto"/>
        <w:left w:val="none" w:sz="0" w:space="0" w:color="auto"/>
        <w:bottom w:val="none" w:sz="0" w:space="0" w:color="auto"/>
        <w:right w:val="none" w:sz="0" w:space="0" w:color="auto"/>
      </w:divBdr>
    </w:div>
    <w:div w:id="1930580106">
      <w:bodyDiv w:val="1"/>
      <w:marLeft w:val="0"/>
      <w:marRight w:val="0"/>
      <w:marTop w:val="0"/>
      <w:marBottom w:val="0"/>
      <w:divBdr>
        <w:top w:val="none" w:sz="0" w:space="0" w:color="auto"/>
        <w:left w:val="none" w:sz="0" w:space="0" w:color="auto"/>
        <w:bottom w:val="none" w:sz="0" w:space="0" w:color="auto"/>
        <w:right w:val="none" w:sz="0" w:space="0" w:color="auto"/>
      </w:divBdr>
    </w:div>
    <w:div w:id="1972057911">
      <w:bodyDiv w:val="1"/>
      <w:marLeft w:val="0"/>
      <w:marRight w:val="0"/>
      <w:marTop w:val="0"/>
      <w:marBottom w:val="0"/>
      <w:divBdr>
        <w:top w:val="none" w:sz="0" w:space="0" w:color="auto"/>
        <w:left w:val="none" w:sz="0" w:space="0" w:color="auto"/>
        <w:bottom w:val="none" w:sz="0" w:space="0" w:color="auto"/>
        <w:right w:val="none" w:sz="0" w:space="0" w:color="auto"/>
      </w:divBdr>
      <w:divsChild>
        <w:div w:id="611090424">
          <w:marLeft w:val="0"/>
          <w:marRight w:val="0"/>
          <w:marTop w:val="0"/>
          <w:marBottom w:val="0"/>
          <w:divBdr>
            <w:top w:val="none" w:sz="0" w:space="0" w:color="auto"/>
            <w:left w:val="none" w:sz="0" w:space="0" w:color="auto"/>
            <w:bottom w:val="none" w:sz="0" w:space="0" w:color="auto"/>
            <w:right w:val="none" w:sz="0" w:space="0" w:color="auto"/>
          </w:divBdr>
        </w:div>
        <w:div w:id="1063715267">
          <w:marLeft w:val="0"/>
          <w:marRight w:val="0"/>
          <w:marTop w:val="0"/>
          <w:marBottom w:val="0"/>
          <w:divBdr>
            <w:top w:val="none" w:sz="0" w:space="0" w:color="auto"/>
            <w:left w:val="none" w:sz="0" w:space="0" w:color="auto"/>
            <w:bottom w:val="none" w:sz="0" w:space="0" w:color="auto"/>
            <w:right w:val="none" w:sz="0" w:space="0" w:color="auto"/>
          </w:divBdr>
        </w:div>
      </w:divsChild>
    </w:div>
    <w:div w:id="1992059231">
      <w:bodyDiv w:val="1"/>
      <w:marLeft w:val="0"/>
      <w:marRight w:val="0"/>
      <w:marTop w:val="0"/>
      <w:marBottom w:val="0"/>
      <w:divBdr>
        <w:top w:val="none" w:sz="0" w:space="0" w:color="auto"/>
        <w:left w:val="none" w:sz="0" w:space="0" w:color="auto"/>
        <w:bottom w:val="none" w:sz="0" w:space="0" w:color="auto"/>
        <w:right w:val="none" w:sz="0" w:space="0" w:color="auto"/>
      </w:divBdr>
      <w:divsChild>
        <w:div w:id="1162237284">
          <w:marLeft w:val="0"/>
          <w:marRight w:val="0"/>
          <w:marTop w:val="0"/>
          <w:marBottom w:val="0"/>
          <w:divBdr>
            <w:top w:val="none" w:sz="0" w:space="0" w:color="auto"/>
            <w:left w:val="none" w:sz="0" w:space="0" w:color="auto"/>
            <w:bottom w:val="none" w:sz="0" w:space="0" w:color="auto"/>
            <w:right w:val="none" w:sz="0" w:space="0" w:color="auto"/>
          </w:divBdr>
        </w:div>
        <w:div w:id="1551115211">
          <w:marLeft w:val="0"/>
          <w:marRight w:val="0"/>
          <w:marTop w:val="0"/>
          <w:marBottom w:val="0"/>
          <w:divBdr>
            <w:top w:val="none" w:sz="0" w:space="0" w:color="auto"/>
            <w:left w:val="none" w:sz="0" w:space="0" w:color="auto"/>
            <w:bottom w:val="none" w:sz="0" w:space="0" w:color="auto"/>
            <w:right w:val="none" w:sz="0" w:space="0" w:color="auto"/>
          </w:divBdr>
        </w:div>
      </w:divsChild>
    </w:div>
    <w:div w:id="1994488063">
      <w:bodyDiv w:val="1"/>
      <w:marLeft w:val="0"/>
      <w:marRight w:val="0"/>
      <w:marTop w:val="0"/>
      <w:marBottom w:val="0"/>
      <w:divBdr>
        <w:top w:val="none" w:sz="0" w:space="0" w:color="auto"/>
        <w:left w:val="none" w:sz="0" w:space="0" w:color="auto"/>
        <w:bottom w:val="none" w:sz="0" w:space="0" w:color="auto"/>
        <w:right w:val="none" w:sz="0" w:space="0" w:color="auto"/>
      </w:divBdr>
    </w:div>
    <w:div w:id="2013871547">
      <w:bodyDiv w:val="1"/>
      <w:marLeft w:val="0"/>
      <w:marRight w:val="0"/>
      <w:marTop w:val="0"/>
      <w:marBottom w:val="0"/>
      <w:divBdr>
        <w:top w:val="none" w:sz="0" w:space="0" w:color="auto"/>
        <w:left w:val="none" w:sz="0" w:space="0" w:color="auto"/>
        <w:bottom w:val="none" w:sz="0" w:space="0" w:color="auto"/>
        <w:right w:val="none" w:sz="0" w:space="0" w:color="auto"/>
      </w:divBdr>
    </w:div>
    <w:div w:id="2031031899">
      <w:bodyDiv w:val="1"/>
      <w:marLeft w:val="0"/>
      <w:marRight w:val="0"/>
      <w:marTop w:val="0"/>
      <w:marBottom w:val="0"/>
      <w:divBdr>
        <w:top w:val="none" w:sz="0" w:space="0" w:color="auto"/>
        <w:left w:val="none" w:sz="0" w:space="0" w:color="auto"/>
        <w:bottom w:val="none" w:sz="0" w:space="0" w:color="auto"/>
        <w:right w:val="none" w:sz="0" w:space="0" w:color="auto"/>
      </w:divBdr>
      <w:divsChild>
        <w:div w:id="1315528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oup.com/bjc/advance-article/doi/10.1093/bjc/azae039/7708313" TargetMode="External"/><Relationship Id="rId18" Type="http://schemas.openxmlformats.org/officeDocument/2006/relationships/hyperlink" Target="https://irr.org.uk/research/statistics/criminal-justice/" TargetMode="External"/><Relationship Id="rId26" Type="http://schemas.openxmlformats.org/officeDocument/2006/relationships/hyperlink" Target="https://osf.io/preprints/socarxiv/ymzsv" TargetMode="External"/><Relationship Id="rId3" Type="http://schemas.openxmlformats.org/officeDocument/2006/relationships/customXml" Target="../customXml/item3.xml"/><Relationship Id="rId21" Type="http://schemas.openxmlformats.org/officeDocument/2006/relationships/hyperlink" Target="https://academic.oup.com/bjc/article/64/5/1189/7612940"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ps.gov.uk/publication/cps-charging-decisions-examining-demographic-disparities-outcomes-our-decision-making" TargetMode="External"/><Relationship Id="rId17" Type="http://schemas.openxmlformats.org/officeDocument/2006/relationships/hyperlink" Target="https://hansard.parliament.uk/Commons/2021-06-10/debates/fc94f669-16a7-4e5d-94b0-eea72d258033/PoliceCrimeSentencingAndCourtsBill%28TwelfthSitting%29" TargetMode="External"/><Relationship Id="rId25" Type="http://schemas.openxmlformats.org/officeDocument/2006/relationships/hyperlink" Target="https://www.e-elgar.com/shop/gbp/research-handbook-on-judicial-politics-9781035309313.html?srsltid=AfmBOoqWhcMQP1PxgW0jVICArFQ875-KvayYthP176uIUxEkCCyQU_Tw"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39261/bame-disproportionality-in-the-cjs.pdf" TargetMode="External"/><Relationship Id="rId20" Type="http://schemas.openxmlformats.org/officeDocument/2006/relationships/hyperlink" Target="https://www.gov.uk/government/publications/lammy-review-final-report" TargetMode="External"/><Relationship Id="rId29" Type="http://schemas.openxmlformats.org/officeDocument/2006/relationships/hyperlink" Target="https://www.sentencingcouncil.org.uk/overarching-guides/magistrates-court/item/imposition-of-community-and-custodial-sentences-overarching-guide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ntencingcouncil.org.uk/wp-content/uploads/Equality-and-Diversity-Report-FINAL.pdf" TargetMode="External"/><Relationship Id="rId24" Type="http://schemas.openxmlformats.org/officeDocument/2006/relationships/hyperlink" Target="https://howardleague.org/news/explain-or-reform-howard-league-responds-to-lammy-review/" TargetMode="External"/><Relationship Id="rId32" Type="http://schemas.openxmlformats.org/officeDocument/2006/relationships/hyperlink" Target="https://onlinelibrary.wiley.com/doi/10.1111/hojo.12496" TargetMode="External"/><Relationship Id="rId5" Type="http://schemas.openxmlformats.org/officeDocument/2006/relationships/numbering" Target="numbering.xml"/><Relationship Id="rId15" Type="http://schemas.openxmlformats.org/officeDocument/2006/relationships/hyperlink" Target="https://www.justiceinspectorates.gov.uk/hmiprobation/wp-content/uploads/sites/5/2023/09/Race-equality-in-probation-follow-up-thematic-inspection-v1.0.pdf" TargetMode="External"/><Relationship Id="rId23" Type="http://schemas.openxmlformats.org/officeDocument/2006/relationships/hyperlink" Target="https://documents.manchester.ac.uk/display.aspx?DocID=64125" TargetMode="External"/><Relationship Id="rId28" Type="http://schemas.openxmlformats.org/officeDocument/2006/relationships/hyperlink" Target="https://www.sentencingacademy.org.uk/wp-content/uploads/2023/09/Ethnicity-and-Custodial-Sentencing-1.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ntencingcouncil.org.uk/wp-content/uploads/Sex-and-ethnicity-analysis-final-1.pdf" TargetMode="External"/><Relationship Id="rId31" Type="http://schemas.openxmlformats.org/officeDocument/2006/relationships/hyperlink" Target="https://www.adruk.org/fileadmin/uploads/adruk/Documents/Data_Insights/Data_Insight_The_number_of_convictions_before_the_imposition_of_a_short_sentence_of_immediate_custody_ethnicity_and_gender_differences_August_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iceinspectorates.gov.uk/hmiprobation/wp-content/uploads/sites/5/2021/03/Race-Equality-in-Probation-thematic-inspection-report-v1.0.pdf" TargetMode="External"/><Relationship Id="rId22" Type="http://schemas.openxmlformats.org/officeDocument/2006/relationships/hyperlink" Target="https://www.gov.uk/government/statistics/ethnicity-and-the-criminal-justice-system-2022/statistics-on-ethnicity-and-the-criminal-justice-system-2022-html" TargetMode="External"/><Relationship Id="rId27" Type="http://schemas.openxmlformats.org/officeDocument/2006/relationships/hyperlink" Target="https://www.crimrxiv.com/pub/9pmllz74/release/1" TargetMode="External"/><Relationship Id="rId30" Type="http://schemas.openxmlformats.org/officeDocument/2006/relationships/hyperlink" Target="https://link.springer.com/article/10.1007/s10940-023-09577-w"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owncloud.cesnet.cz/index.php/s/jRyF1RHARSSay2P" TargetMode="External"/><Relationship Id="rId1" Type="http://schemas.openxmlformats.org/officeDocument/2006/relationships/hyperlink" Target="https://empiricalresearchonsentencing.wordpress.com/presen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77dafa0-c422-4a30-9f2f-5804bff441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969BC33E20D34C99F317EA264F6549" ma:contentTypeVersion="14" ma:contentTypeDescription="Create a new document." ma:contentTypeScope="" ma:versionID="b059cacd56333bad54977d6f44f7e66d">
  <xsd:schema xmlns:xsd="http://www.w3.org/2001/XMLSchema" xmlns:xs="http://www.w3.org/2001/XMLSchema" xmlns:p="http://schemas.microsoft.com/office/2006/metadata/properties" xmlns:ns3="a77dafa0-c422-4a30-9f2f-5804bff44127" xmlns:ns4="693f8f60-6fba-4638-8fdf-0c0619edf9f3" targetNamespace="http://schemas.microsoft.com/office/2006/metadata/properties" ma:root="true" ma:fieldsID="41fda9ddad136cd6ad9468d87dcf7d03" ns3:_="" ns4:_="">
    <xsd:import namespace="a77dafa0-c422-4a30-9f2f-5804bff44127"/>
    <xsd:import namespace="693f8f60-6fba-4638-8fdf-0c0619edf9f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afa0-c422-4a30-9f2f-5804bff44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3f8f60-6fba-4638-8fdf-0c0619edf9f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E3C80-7ED4-41B4-B08C-EBF8B4605FCE}">
  <ds:schemaRefs>
    <ds:schemaRef ds:uri="http://schemas.openxmlformats.org/officeDocument/2006/bibliography"/>
  </ds:schemaRefs>
</ds:datastoreItem>
</file>

<file path=customXml/itemProps2.xml><?xml version="1.0" encoding="utf-8"?>
<ds:datastoreItem xmlns:ds="http://schemas.openxmlformats.org/officeDocument/2006/customXml" ds:itemID="{39556CF0-3C11-4CB1-8771-AB9E621703A6}">
  <ds:schemaRefs>
    <ds:schemaRef ds:uri="http://schemas.microsoft.com/office/2006/metadata/properties"/>
    <ds:schemaRef ds:uri="http://schemas.microsoft.com/office/infopath/2007/PartnerControls"/>
    <ds:schemaRef ds:uri="a77dafa0-c422-4a30-9f2f-5804bff44127"/>
  </ds:schemaRefs>
</ds:datastoreItem>
</file>

<file path=customXml/itemProps3.xml><?xml version="1.0" encoding="utf-8"?>
<ds:datastoreItem xmlns:ds="http://schemas.openxmlformats.org/officeDocument/2006/customXml" ds:itemID="{5EBAD131-9073-45C5-9450-AC0DAF56DED8}">
  <ds:schemaRefs>
    <ds:schemaRef ds:uri="http://schemas.microsoft.com/sharepoint/v3/contenttype/forms"/>
  </ds:schemaRefs>
</ds:datastoreItem>
</file>

<file path=customXml/itemProps4.xml><?xml version="1.0" encoding="utf-8"?>
<ds:datastoreItem xmlns:ds="http://schemas.openxmlformats.org/officeDocument/2006/customXml" ds:itemID="{43371921-B7AE-4071-9D71-E965F7462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afa0-c422-4a30-9f2f-5804bff44127"/>
    <ds:schemaRef ds:uri="693f8f60-6fba-4638-8fdf-0c0619edf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7711</Words>
  <Characters>37709</Characters>
  <Application>Microsoft Office Word</Application>
  <DocSecurity>4</DocSecurity>
  <Lines>1346</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Pina Sanchez</dc:creator>
  <cp:keywords/>
  <dc:description/>
  <cp:lastModifiedBy>Elena Carlaw</cp:lastModifiedBy>
  <cp:revision>2</cp:revision>
  <cp:lastPrinted>2024-12-16T15:58:00Z</cp:lastPrinted>
  <dcterms:created xsi:type="dcterms:W3CDTF">2025-03-07T11:11:00Z</dcterms:created>
  <dcterms:modified xsi:type="dcterms:W3CDTF">2025-03-07T11:11:00Z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0x0101004D969BC33E20D34C99F317EA264F6549</vt:lpwstr>
  </property>
</Properties>
</file>